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430DF" w:rsidP="006430DF">
      <w:pPr>
        <w:pStyle w:val="Title"/>
      </w:pPr>
      <w:r>
        <w:fldChar w:fldCharType="begin"/>
      </w:r>
      <w:r>
        <w:instrText xml:space="preserve"> TITLE   \* MERGEFORMAT </w:instrText>
      </w:r>
      <w:r>
        <w:fldChar w:fldCharType="separate"/>
      </w:r>
      <w:r>
        <w:t>TLIL3035A Allocate motive power</w:t>
      </w:r>
      <w:r>
        <w:fldChar w:fldCharType="end"/>
      </w:r>
    </w:p>
    <w:p w:rsidR="006430DF" w:rsidP="006430DF">
      <w:pPr>
        <w:pStyle w:val="Version"/>
        <w:sectPr w:rsidSect="006417B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417BE" w:rsidP="006417BE">
      <w:pPr>
        <w:pStyle w:val="SuperHeading"/>
      </w:pPr>
      <w:r w:rsidRPr="006417BE">
        <w:t>TLIL3035A Allocate motive power</w:t>
      </w:r>
    </w:p>
    <w:p w:rsidR="00000000" w:rsidRPr="006417BE" w:rsidP="006417BE">
      <w:pPr>
        <w:pStyle w:val="Heading1"/>
      </w:pPr>
      <w:bookmarkStart w:id="1" w:name="O_274186"/>
      <w:bookmarkEnd w:id="1"/>
      <w:r w:rsidRPr="006417BE">
        <w:t>Modification History</w:t>
      </w:r>
    </w:p>
    <w:p w:rsidR="00000000" w:rsidRPr="006417BE" w:rsidP="006417BE">
      <w:pPr>
        <w:pStyle w:val="BodyText"/>
      </w:pPr>
      <w:r w:rsidRPr="006417BE">
        <w:t>Not Applicable</w:t>
      </w:r>
    </w:p>
    <w:p w:rsidR="00000000" w:rsidRPr="006417BE" w:rsidP="006417BE">
      <w:pPr>
        <w:pStyle w:val="AllowPageBreak"/>
      </w:pPr>
    </w:p>
    <w:p w:rsidR="00000000" w:rsidRPr="006417BE" w:rsidP="006417BE">
      <w:pPr>
        <w:pStyle w:val="Heading1"/>
      </w:pPr>
      <w:bookmarkStart w:id="2" w:name="O_223818"/>
      <w:bookmarkEnd w:id="2"/>
      <w:r w:rsidRPr="006417BE">
        <w:t>Unit Descriptor</w:t>
      </w:r>
    </w:p>
    <w:tbl>
      <w:tblPr>
        <w:tblW w:w="9640" w:type="dxa"/>
        <w:tblLayout w:type="fixed"/>
        <w:tblCellMar>
          <w:left w:w="62" w:type="dxa"/>
          <w:right w:w="62" w:type="dxa"/>
        </w:tblCellMar>
        <w:tblLook w:val="0000"/>
      </w:tblPr>
      <w:tblGrid>
        <w:gridCol w:w="2978"/>
        <w:gridCol w:w="6662"/>
      </w:tblGrid>
      <w:tr w:rsidTr="006430DF">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6417BE">
            <w:pPr>
              <w:pStyle w:val="BodyText"/>
              <w:rPr>
                <w:lang w:val="en-NZ"/>
              </w:rPr>
            </w:pPr>
            <w:r w:rsidRPr="006417BE">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6417BE" w:rsidP="006417BE">
            <w:pPr>
              <w:pStyle w:val="BodyText"/>
            </w:pPr>
            <w:r w:rsidRPr="006417BE">
              <w:t>This unit involves the skills and knowledge required to allocate motive power in accordance with workplace procedures a</w:t>
            </w:r>
            <w:r w:rsidRPr="006417BE">
              <w:t>nd the requirements of relevant safeworking regulations and codes of practice. It includes identifying train operating requirements, establishing motive power requirements and availability, allocating individual motive power units, and adjusting motive pow</w:t>
            </w:r>
            <w:r w:rsidRPr="006417BE">
              <w:t>er allocation in accordance with workplace requirements. Licensing, legislative, regulatory or certification requirements are applicable to this unit.</w:t>
            </w:r>
          </w:p>
        </w:tc>
      </w:tr>
    </w:tbl>
    <w:p w:rsidR="006430DF" w:rsidP="006417BE">
      <w:pPr>
        <w:pStyle w:val="BodyText"/>
      </w:pPr>
    </w:p>
    <w:p w:rsidR="006430DF" w:rsidP="006417BE">
      <w:pPr>
        <w:pStyle w:val="BodyText"/>
      </w:pPr>
    </w:p>
    <w:p w:rsidR="00000000" w:rsidRPr="006417BE" w:rsidP="006417BE">
      <w:pPr>
        <w:pStyle w:val="Heading1"/>
      </w:pPr>
      <w:bookmarkStart w:id="3" w:name="O_223820"/>
      <w:bookmarkEnd w:id="3"/>
      <w:r w:rsidRPr="006417BE">
        <w:t>Application of the Unit</w:t>
      </w:r>
    </w:p>
    <w:tbl>
      <w:tblPr>
        <w:tblW w:w="9640" w:type="dxa"/>
        <w:tblLayout w:type="fixed"/>
        <w:tblCellMar>
          <w:left w:w="62" w:type="dxa"/>
          <w:right w:w="62" w:type="dxa"/>
        </w:tblCellMar>
        <w:tblLook w:val="0000"/>
      </w:tblPr>
      <w:tblGrid>
        <w:gridCol w:w="2978"/>
        <w:gridCol w:w="6662"/>
      </w:tblGrid>
      <w:tr w:rsidTr="006430DF">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6417BE">
            <w:pPr>
              <w:pStyle w:val="BodyText"/>
              <w:rPr>
                <w:lang w:val="en-NZ"/>
              </w:rPr>
            </w:pPr>
            <w:r w:rsidRPr="006417BE">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6417BE" w:rsidP="006417BE">
            <w:pPr>
              <w:pStyle w:val="BodyText"/>
            </w:pPr>
            <w:r w:rsidRPr="006417BE">
              <w:t>Persons achieving competence in this unit will need to fulfil the applicable legislated rail safety requirements including acts and regulations from each state and territory together with any nationally approved compliance codes and/or guidelines.</w:t>
            </w:r>
          </w:p>
          <w:p w:rsidR="00000000" w:rsidRPr="006417BE" w:rsidP="006417BE">
            <w:pPr>
              <w:pStyle w:val="BodyText"/>
            </w:pPr>
            <w:r w:rsidRPr="006417BE">
              <w:t xml:space="preserve">Work is </w:t>
            </w:r>
            <w:r w:rsidRPr="006417BE">
              <w:t>performed individually and skills are required to work within a team environment. It involves the application of routine operational principles and procedures to allocate motive power across a variety of operational contexts in the Australian rail systems.</w:t>
            </w:r>
          </w:p>
        </w:tc>
      </w:tr>
    </w:tbl>
    <w:p w:rsidR="006430DF" w:rsidP="006417BE">
      <w:pPr>
        <w:pStyle w:val="BodyText"/>
      </w:pPr>
    </w:p>
    <w:p w:rsidR="006430DF" w:rsidP="006417BE">
      <w:pPr>
        <w:pStyle w:val="BodyText"/>
      </w:pPr>
    </w:p>
    <w:p w:rsidR="00000000" w:rsidRPr="006417BE" w:rsidP="006417BE">
      <w:pPr>
        <w:pStyle w:val="Heading1"/>
      </w:pPr>
      <w:bookmarkStart w:id="4" w:name="O_282446"/>
      <w:bookmarkEnd w:id="4"/>
      <w:r w:rsidRPr="006417BE">
        <w:t>Licensing/Regulatory Information</w:t>
      </w:r>
    </w:p>
    <w:p w:rsidR="00000000" w:rsidRPr="006417BE" w:rsidP="006417BE">
      <w:pPr>
        <w:pStyle w:val="BodyText"/>
      </w:pPr>
      <w:r w:rsidRPr="006417BE">
        <w:t>Refer to Unit Descriptor</w:t>
      </w:r>
    </w:p>
    <w:p w:rsidR="00000000" w:rsidRPr="006417BE" w:rsidP="006417BE">
      <w:pPr>
        <w:pStyle w:val="AllowPageBreak"/>
      </w:pPr>
    </w:p>
    <w:p w:rsidR="00000000" w:rsidRPr="006417BE" w:rsidP="006417BE">
      <w:pPr>
        <w:pStyle w:val="Heading1"/>
      </w:pPr>
      <w:bookmarkStart w:id="5" w:name="O_284896"/>
      <w:bookmarkEnd w:id="5"/>
      <w:r w:rsidRPr="006417BE">
        <w:t>Pre-Requisites</w:t>
      </w:r>
    </w:p>
    <w:p w:rsidR="00000000" w:rsidRPr="006417BE" w:rsidP="006417BE">
      <w:pPr>
        <w:pStyle w:val="BodyText"/>
      </w:pPr>
      <w:r w:rsidRPr="006417BE">
        <w:t>Not Applicable</w:t>
      </w:r>
    </w:p>
    <w:p w:rsidR="00000000" w:rsidRPr="006417BE" w:rsidP="006417BE">
      <w:pPr>
        <w:pStyle w:val="AllowPageBreak"/>
      </w:pPr>
    </w:p>
    <w:p w:rsidR="00000000" w:rsidRPr="006417BE" w:rsidP="006417BE">
      <w:pPr>
        <w:pStyle w:val="Heading1"/>
      </w:pPr>
      <w:bookmarkStart w:id="6" w:name="O_223819"/>
      <w:bookmarkEnd w:id="6"/>
      <w:r w:rsidRPr="006417BE">
        <w:t>Employability Skills Information</w:t>
      </w:r>
    </w:p>
    <w:tbl>
      <w:tblPr>
        <w:tblW w:w="9640" w:type="dxa"/>
        <w:tblLayout w:type="fixed"/>
        <w:tblCellMar>
          <w:left w:w="62" w:type="dxa"/>
          <w:right w:w="62" w:type="dxa"/>
        </w:tblCellMar>
        <w:tblLook w:val="0000"/>
      </w:tblPr>
      <w:tblGrid>
        <w:gridCol w:w="2978"/>
        <w:gridCol w:w="6662"/>
      </w:tblGrid>
      <w:tr w:rsidTr="006430DF">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6417BE">
            <w:pPr>
              <w:pStyle w:val="BodyText"/>
              <w:rPr>
                <w:lang w:val="en-NZ"/>
              </w:rPr>
            </w:pPr>
            <w:r w:rsidRPr="006417BE">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6417BE" w:rsidP="006417BE">
            <w:pPr>
              <w:pStyle w:val="BodyText"/>
            </w:pPr>
            <w:r w:rsidRPr="006417BE">
              <w:t>This unit contains employability skills.</w:t>
            </w:r>
          </w:p>
        </w:tc>
      </w:tr>
    </w:tbl>
    <w:p w:rsidR="006430DF" w:rsidP="006417BE">
      <w:pPr>
        <w:pStyle w:val="BodyText"/>
      </w:pPr>
    </w:p>
    <w:p w:rsidR="006430DF" w:rsidP="006417BE">
      <w:pPr>
        <w:pStyle w:val="BodyText"/>
      </w:pPr>
    </w:p>
    <w:p w:rsidR="00000000" w:rsidRPr="006417BE" w:rsidP="006417BE">
      <w:pPr>
        <w:pStyle w:val="Heading1"/>
      </w:pPr>
      <w:bookmarkStart w:id="7" w:name="O_292232"/>
      <w:bookmarkEnd w:id="7"/>
      <w:r w:rsidRPr="006417BE">
        <w:t>Elements and Performance Criteria Pre-Content</w:t>
      </w:r>
    </w:p>
    <w:tbl>
      <w:tblPr>
        <w:tblW w:w="9640" w:type="dxa"/>
        <w:tblLayout w:type="fixed"/>
        <w:tblCellMar>
          <w:left w:w="62" w:type="dxa"/>
          <w:right w:w="62" w:type="dxa"/>
        </w:tblCellMar>
        <w:tblLook w:val="0000"/>
      </w:tblPr>
      <w:tblGrid>
        <w:gridCol w:w="2978"/>
        <w:gridCol w:w="6662"/>
      </w:tblGrid>
      <w:tr w:rsidTr="006430DF">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6417BE">
            <w:pPr>
              <w:pStyle w:val="BodyText"/>
              <w:rPr>
                <w:lang w:val="en-NZ"/>
              </w:rPr>
            </w:pPr>
            <w:r w:rsidRPr="006417BE">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6417BE" w:rsidP="006417BE">
            <w:pPr>
              <w:pStyle w:val="BodyText"/>
            </w:pPr>
            <w:r w:rsidRPr="006417BE">
              <w:t>Performance criteria describe the required performance needed to demonstrate achievement of the element. Assessment of performance is to</w:t>
            </w:r>
            <w:r w:rsidRPr="006417BE">
              <w:t xml:space="preserve"> be consistent with the evidence guide.</w:t>
            </w:r>
          </w:p>
        </w:tc>
      </w:tr>
    </w:tbl>
    <w:p w:rsidR="00000000" w:rsidRPr="006417BE" w:rsidP="006417BE">
      <w:pPr>
        <w:pStyle w:val="BodyText"/>
      </w:pPr>
    </w:p>
    <w:p w:rsidR="00000000" w:rsidRPr="006417BE" w:rsidP="006417BE">
      <w:pPr>
        <w:pStyle w:val="AllowPageBreak"/>
      </w:pPr>
    </w:p>
    <w:p w:rsidR="00000000" w:rsidRPr="006417BE" w:rsidP="006417BE">
      <w:pPr>
        <w:pStyle w:val="Heading1"/>
      </w:pPr>
      <w:bookmarkStart w:id="8" w:name="O_238900"/>
      <w:bookmarkEnd w:id="8"/>
      <w:r w:rsidRPr="006417BE">
        <w:t>Elements and Performance Criteria</w:t>
      </w:r>
    </w:p>
    <w:tbl>
      <w:tblPr>
        <w:tblW w:w="9640" w:type="dxa"/>
        <w:tblLayout w:type="fixed"/>
        <w:tblCellMar>
          <w:left w:w="62" w:type="dxa"/>
          <w:right w:w="62" w:type="dxa"/>
        </w:tblCellMar>
        <w:tblLook w:val="0000"/>
      </w:tblPr>
      <w:tblGrid>
        <w:gridCol w:w="2978"/>
        <w:gridCol w:w="6662"/>
      </w:tblGrid>
      <w:tr w:rsidTr="006430DF">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6417BE" w:rsidP="006417BE">
            <w:pPr>
              <w:pStyle w:val="List"/>
            </w:pPr>
            <w:r w:rsidRPr="006417BE">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6417BE">
            <w:pPr>
              <w:pStyle w:val="List"/>
              <w:rPr>
                <w:lang w:val="en-NZ"/>
              </w:rPr>
            </w:pPr>
            <w:r w:rsidRPr="006417BE">
              <w:rPr>
                <w:rStyle w:val="SpecialBold"/>
              </w:rPr>
              <w:t>PERFORMANCE CRITERIA</w:t>
            </w:r>
          </w:p>
        </w:tc>
      </w:tr>
      <w:tr w:rsidTr="006430DF">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6417BE">
            <w:pPr>
              <w:pStyle w:val="List"/>
              <w:rPr>
                <w:lang w:val="en-NZ"/>
              </w:rPr>
            </w:pPr>
            <w:r w:rsidRPr="006417BE">
              <w:rPr>
                <w:rStyle w:val="SpecialBold"/>
              </w:rPr>
              <w:t>1</w:t>
            </w:r>
            <w:r w:rsidRPr="006417BE">
              <w:tab/>
            </w:r>
            <w:r w:rsidRPr="006417BE">
              <w:rPr>
                <w:rStyle w:val="SpecialBold"/>
              </w:rPr>
              <w:t>Identify train operating requirements</w:t>
            </w:r>
          </w:p>
        </w:tc>
        <w:tc>
          <w:tcPr>
            <w:tcW w:w="6662" w:type="dxa"/>
            <w:tcBorders>
              <w:top w:val="nil"/>
              <w:left w:val="nil"/>
              <w:bottom w:val="nil"/>
              <w:right w:val="nil"/>
            </w:tcBorders>
            <w:tcMar>
              <w:top w:w="0" w:type="dxa"/>
              <w:left w:w="62" w:type="dxa"/>
              <w:bottom w:w="0" w:type="dxa"/>
              <w:right w:w="62" w:type="dxa"/>
            </w:tcMar>
          </w:tcPr>
          <w:p w:rsidR="00000000" w:rsidRPr="006417BE" w:rsidP="006417BE">
            <w:pPr>
              <w:pStyle w:val="List"/>
            </w:pPr>
            <w:r w:rsidRPr="006417BE">
              <w:t>1.1</w:t>
            </w:r>
            <w:r w:rsidRPr="006417BE">
              <w:tab/>
            </w:r>
            <w:r w:rsidRPr="006417BE">
              <w:t>Train timetables, shunting requirements and track conditions for each line or service are identified and records kept up to date</w:t>
            </w:r>
          </w:p>
          <w:p w:rsidR="00000000" w:rsidRPr="006417BE" w:rsidP="006417BE">
            <w:pPr>
              <w:pStyle w:val="List"/>
            </w:pPr>
            <w:r w:rsidRPr="006417BE">
              <w:t>1.2</w:t>
            </w:r>
            <w:r w:rsidRPr="006417BE">
              <w:tab/>
              <w:t>Tonnage of individual trains is identified to enable planning of suitable motive power</w:t>
            </w:r>
          </w:p>
          <w:p w:rsidR="00000000" w:rsidRPr="006417BE" w:rsidP="006417BE">
            <w:pPr>
              <w:pStyle w:val="List"/>
            </w:pPr>
            <w:r w:rsidRPr="006417BE">
              <w:t>1.3</w:t>
            </w:r>
            <w:r w:rsidRPr="006417BE">
              <w:tab/>
              <w:t>Routine usage of motive power un</w:t>
            </w:r>
            <w:r w:rsidRPr="006417BE">
              <w:t>its is established to provide an initial allocation framework</w:t>
            </w:r>
          </w:p>
          <w:p w:rsidR="00000000" w:rsidP="006417BE">
            <w:pPr>
              <w:pStyle w:val="List"/>
              <w:rPr>
                <w:lang w:val="en-NZ"/>
              </w:rPr>
            </w:pPr>
            <w:r w:rsidRPr="006417BE">
              <w:t>1.4</w:t>
            </w:r>
            <w:r w:rsidRPr="006417BE">
              <w:tab/>
              <w:t>Contingency plans covering operational problems are developed and their impact on motive power requirements taken into account</w:t>
            </w:r>
          </w:p>
        </w:tc>
      </w:tr>
      <w:tr w:rsidTr="006430DF">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6417BE">
            <w:pPr>
              <w:pStyle w:val="List"/>
              <w:rPr>
                <w:lang w:val="en-NZ"/>
              </w:rPr>
            </w:pPr>
            <w:r w:rsidRPr="006417BE">
              <w:rPr>
                <w:rStyle w:val="SpecialBold"/>
              </w:rPr>
              <w:t>2</w:t>
            </w:r>
            <w:r w:rsidRPr="006417BE">
              <w:tab/>
            </w:r>
            <w:r w:rsidRPr="006417BE">
              <w:rPr>
                <w:rStyle w:val="SpecialBold"/>
              </w:rPr>
              <w:t>Establish motive power requirements and availability</w:t>
            </w:r>
          </w:p>
        </w:tc>
        <w:tc>
          <w:tcPr>
            <w:tcW w:w="6662" w:type="dxa"/>
            <w:tcBorders>
              <w:top w:val="nil"/>
              <w:left w:val="nil"/>
              <w:bottom w:val="nil"/>
              <w:right w:val="nil"/>
            </w:tcBorders>
            <w:tcMar>
              <w:top w:w="0" w:type="dxa"/>
              <w:left w:w="62" w:type="dxa"/>
              <w:bottom w:w="0" w:type="dxa"/>
              <w:right w:w="62" w:type="dxa"/>
            </w:tcMar>
          </w:tcPr>
          <w:p w:rsidR="00000000" w:rsidRPr="006417BE" w:rsidP="006417BE">
            <w:pPr>
              <w:pStyle w:val="List"/>
            </w:pPr>
            <w:r w:rsidRPr="006417BE">
              <w:t>2.1</w:t>
            </w:r>
            <w:r w:rsidRPr="006417BE">
              <w:tab/>
              <w:t>Ava</w:t>
            </w:r>
            <w:r w:rsidRPr="006417BE">
              <w:t>ilability of all motive power units is determined including location, operational status, special and routine maintenance requirements</w:t>
            </w:r>
          </w:p>
          <w:p w:rsidR="00000000" w:rsidP="006417BE">
            <w:pPr>
              <w:pStyle w:val="List"/>
              <w:rPr>
                <w:lang w:val="en-NZ"/>
              </w:rPr>
            </w:pPr>
            <w:r w:rsidRPr="006417BE">
              <w:t>2.2</w:t>
            </w:r>
            <w:r w:rsidRPr="006417BE">
              <w:tab/>
              <w:t>Motive power required to haul tonnage is determined for each train/service and support activity consistent with track</w:t>
            </w:r>
            <w:r w:rsidRPr="006417BE">
              <w:t xml:space="preserve"> geography, gauge, train weight and conditions is identified</w:t>
            </w:r>
          </w:p>
        </w:tc>
      </w:tr>
      <w:tr w:rsidTr="006430DF">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6417BE">
            <w:pPr>
              <w:pStyle w:val="List"/>
              <w:rPr>
                <w:lang w:val="en-NZ"/>
              </w:rPr>
            </w:pPr>
            <w:r w:rsidRPr="006417BE">
              <w:rPr>
                <w:rStyle w:val="SpecialBold"/>
              </w:rPr>
              <w:t>3</w:t>
            </w:r>
            <w:r w:rsidRPr="006417BE">
              <w:tab/>
            </w:r>
            <w:r w:rsidRPr="006417BE">
              <w:rPr>
                <w:rStyle w:val="SpecialBold"/>
              </w:rPr>
              <w:t>Allocate individual motive power units</w:t>
            </w:r>
          </w:p>
        </w:tc>
        <w:tc>
          <w:tcPr>
            <w:tcW w:w="6662" w:type="dxa"/>
            <w:tcBorders>
              <w:top w:val="nil"/>
              <w:left w:val="nil"/>
              <w:bottom w:val="nil"/>
              <w:right w:val="nil"/>
            </w:tcBorders>
            <w:tcMar>
              <w:top w:w="0" w:type="dxa"/>
              <w:left w:w="62" w:type="dxa"/>
              <w:bottom w:w="0" w:type="dxa"/>
              <w:right w:w="62" w:type="dxa"/>
            </w:tcMar>
          </w:tcPr>
          <w:p w:rsidR="00000000" w:rsidRPr="006417BE" w:rsidP="006417BE">
            <w:pPr>
              <w:pStyle w:val="List"/>
            </w:pPr>
            <w:r w:rsidRPr="006417BE">
              <w:t>3.1</w:t>
            </w:r>
            <w:r w:rsidRPr="006417BE">
              <w:tab/>
              <w:t>Motive power units, including railcar and locomotive types, are allocated to ensure train and support activities are serviced</w:t>
            </w:r>
          </w:p>
          <w:p w:rsidR="00000000" w:rsidRPr="006417BE" w:rsidP="006417BE">
            <w:pPr>
              <w:pStyle w:val="List"/>
            </w:pPr>
            <w:r w:rsidRPr="006417BE">
              <w:t>3.2</w:t>
            </w:r>
            <w:r w:rsidRPr="006417BE">
              <w:tab/>
              <w:t>Allocations are doc</w:t>
            </w:r>
            <w:r w:rsidRPr="006417BE">
              <w:t>umented and communicated to operations personnel and feedback sought to ensure suitability of units planned</w:t>
            </w:r>
          </w:p>
          <w:p w:rsidR="00000000" w:rsidRPr="006417BE" w:rsidP="006417BE">
            <w:pPr>
              <w:pStyle w:val="List"/>
            </w:pPr>
            <w:r w:rsidRPr="006417BE">
              <w:t>3.3</w:t>
            </w:r>
            <w:r w:rsidRPr="006417BE">
              <w:tab/>
              <w:t>Relevant OH&amp;S requirements are identified and included in the allocation considerations</w:t>
            </w:r>
          </w:p>
          <w:p w:rsidR="00000000" w:rsidP="006417BE">
            <w:pPr>
              <w:pStyle w:val="List"/>
              <w:rPr>
                <w:lang w:val="en-NZ"/>
              </w:rPr>
            </w:pPr>
            <w:r w:rsidRPr="006417BE">
              <w:t>3.4</w:t>
            </w:r>
            <w:r w:rsidRPr="006417BE">
              <w:tab/>
              <w:t>Documentation authorising the use of allocated motiv</w:t>
            </w:r>
            <w:r w:rsidRPr="006417BE">
              <w:t>e power for the train service is completed and processed</w:t>
            </w:r>
          </w:p>
        </w:tc>
      </w:tr>
      <w:tr w:rsidTr="006430DF">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6417BE">
            <w:pPr>
              <w:pStyle w:val="List"/>
              <w:rPr>
                <w:lang w:val="en-NZ"/>
              </w:rPr>
            </w:pPr>
            <w:r w:rsidRPr="006417BE">
              <w:rPr>
                <w:rStyle w:val="SpecialBold"/>
              </w:rPr>
              <w:t>4</w:t>
            </w:r>
            <w:r w:rsidRPr="006417BE">
              <w:tab/>
            </w:r>
            <w:r w:rsidRPr="006417BE">
              <w:rPr>
                <w:rStyle w:val="SpecialBold"/>
              </w:rPr>
              <w:t>Monitor and adjust motive power allocation</w:t>
            </w:r>
          </w:p>
        </w:tc>
        <w:tc>
          <w:tcPr>
            <w:tcW w:w="6662" w:type="dxa"/>
            <w:tcBorders>
              <w:top w:val="nil"/>
              <w:left w:val="nil"/>
              <w:bottom w:val="nil"/>
              <w:right w:val="nil"/>
            </w:tcBorders>
            <w:tcMar>
              <w:top w:w="0" w:type="dxa"/>
              <w:left w:w="62" w:type="dxa"/>
              <w:bottom w:w="0" w:type="dxa"/>
              <w:right w:w="62" w:type="dxa"/>
            </w:tcMar>
          </w:tcPr>
          <w:p w:rsidR="00000000" w:rsidRPr="006417BE" w:rsidP="006417BE">
            <w:pPr>
              <w:pStyle w:val="List"/>
            </w:pPr>
            <w:r w:rsidRPr="006417BE">
              <w:t>4.1</w:t>
            </w:r>
            <w:r w:rsidRPr="006417BE">
              <w:tab/>
              <w:t>Use and requirements for motive power are monitored and possible allocation changes determined to maintain efficient use of resources</w:t>
            </w:r>
          </w:p>
          <w:p w:rsidR="00000000" w:rsidRPr="006417BE" w:rsidP="006417BE">
            <w:pPr>
              <w:pStyle w:val="List"/>
            </w:pPr>
            <w:r w:rsidRPr="006417BE">
              <w:t>4.2</w:t>
            </w:r>
            <w:r w:rsidRPr="006417BE">
              <w:tab/>
            </w:r>
            <w:r w:rsidRPr="006417BE">
              <w:t>Contingency plans for unexpected non-availability of specific motive power units or operational non-performance are implemented</w:t>
            </w:r>
          </w:p>
          <w:p w:rsidR="00000000" w:rsidRPr="006417BE" w:rsidP="006417BE">
            <w:pPr>
              <w:pStyle w:val="List"/>
            </w:pPr>
            <w:r w:rsidRPr="006417BE">
              <w:t>4.3</w:t>
            </w:r>
            <w:r w:rsidRPr="006417BE">
              <w:tab/>
              <w:t>Changes to allocation are negotiated with operational personnel and motive power maintenance personnel to achieve suitable o</w:t>
            </w:r>
            <w:r w:rsidRPr="006417BE">
              <w:t>utcomes</w:t>
            </w:r>
          </w:p>
        </w:tc>
      </w:tr>
    </w:tbl>
    <w:p w:rsidR="006430DF" w:rsidP="006417BE">
      <w:pPr>
        <w:pStyle w:val="BodyText"/>
      </w:pPr>
    </w:p>
    <w:p w:rsidR="006430DF" w:rsidP="006417BE">
      <w:pPr>
        <w:pStyle w:val="BodyText"/>
      </w:pPr>
    </w:p>
    <w:p w:rsidR="00000000" w:rsidRPr="006417BE" w:rsidP="006417BE">
      <w:pPr>
        <w:pStyle w:val="Heading1"/>
      </w:pPr>
      <w:bookmarkStart w:id="9" w:name="O_262691"/>
      <w:bookmarkEnd w:id="9"/>
      <w:r w:rsidRPr="006417BE">
        <w:t>Required Skills and Knowledge</w:t>
      </w:r>
    </w:p>
    <w:tbl>
      <w:tblPr>
        <w:tblW w:w="9640" w:type="dxa"/>
        <w:tblLayout w:type="fixed"/>
        <w:tblCellMar>
          <w:left w:w="62" w:type="dxa"/>
          <w:right w:w="62" w:type="dxa"/>
        </w:tblCellMar>
        <w:tblLook w:val="0000"/>
      </w:tblPr>
      <w:tblGrid>
        <w:gridCol w:w="9640"/>
      </w:tblGrid>
      <w:tr w:rsidTr="006430DF">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6417BE">
            <w:pPr>
              <w:pStyle w:val="BodyText"/>
              <w:rPr>
                <w:lang w:val="en-NZ"/>
              </w:rPr>
            </w:pPr>
            <w:r w:rsidRPr="006417BE">
              <w:rPr>
                <w:rStyle w:val="SpecialBold"/>
              </w:rPr>
              <w:t>REQUIRED KNOWLEDGE AND SKILLS</w:t>
            </w:r>
          </w:p>
        </w:tc>
      </w:tr>
      <w:tr w:rsidTr="006430D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417BE">
            <w:pPr>
              <w:pStyle w:val="BodyText"/>
              <w:rPr>
                <w:lang w:val="en-NZ"/>
              </w:rPr>
            </w:pPr>
            <w:r w:rsidRPr="006417BE">
              <w:t>This describes the essential knowledge and skills and their level required for this unit.</w:t>
            </w:r>
          </w:p>
        </w:tc>
      </w:tr>
      <w:tr w:rsidTr="006430D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417BE">
            <w:pPr>
              <w:pStyle w:val="BodyText"/>
              <w:rPr>
                <w:lang w:val="en-NZ"/>
              </w:rPr>
            </w:pPr>
            <w:r w:rsidRPr="006417BE">
              <w:rPr>
                <w:rStyle w:val="SpecialBold"/>
              </w:rPr>
              <w:t>Required knowledge</w:t>
            </w:r>
            <w:r w:rsidRPr="006417BE">
              <w:t>:</w:t>
            </w:r>
          </w:p>
        </w:tc>
      </w:tr>
      <w:tr w:rsidTr="006430D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417BE">
            <w:pPr>
              <w:pStyle w:val="ListBullet"/>
              <w:rPr>
                <w:lang w:val="en-NZ"/>
              </w:rPr>
            </w:pPr>
            <w:r w:rsidRPr="006417BE">
              <w:t>Applicable legislated rail safety requirements including acts and regulations from each state and territory together with any nationally approved compliance codes and/or guidelines</w:t>
            </w:r>
          </w:p>
        </w:tc>
      </w:tr>
      <w:tr w:rsidTr="006430D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417BE">
            <w:pPr>
              <w:pStyle w:val="ListBullet"/>
              <w:rPr>
                <w:lang w:val="en-NZ"/>
              </w:rPr>
            </w:pPr>
            <w:r w:rsidRPr="006417BE">
              <w:t>Relevant OH&amp;S and environmental procedures and regulations including code</w:t>
            </w:r>
            <w:r w:rsidRPr="006417BE">
              <w:t>s of practice</w:t>
            </w:r>
          </w:p>
        </w:tc>
      </w:tr>
      <w:tr w:rsidTr="006430D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417BE">
            <w:pPr>
              <w:pStyle w:val="ListBullet"/>
              <w:rPr>
                <w:lang w:val="en-NZ"/>
              </w:rPr>
            </w:pPr>
            <w:r w:rsidRPr="006417BE">
              <w:t>Workplace procedures and policies for allocating motive power</w:t>
            </w:r>
          </w:p>
        </w:tc>
      </w:tr>
      <w:tr w:rsidTr="006430D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417BE">
            <w:pPr>
              <w:pStyle w:val="ListBullet"/>
              <w:rPr>
                <w:lang w:val="en-NZ"/>
              </w:rPr>
            </w:pPr>
            <w:r w:rsidRPr="006417BE">
              <w:t>Motive power units and specifications, capabilities and capacity</w:t>
            </w:r>
          </w:p>
        </w:tc>
      </w:tr>
      <w:tr w:rsidTr="006430D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417BE">
            <w:pPr>
              <w:pStyle w:val="ListBullet"/>
              <w:rPr>
                <w:lang w:val="en-NZ"/>
              </w:rPr>
            </w:pPr>
            <w:r w:rsidRPr="006417BE">
              <w:t>Crew requirements and working patterns</w:t>
            </w:r>
          </w:p>
        </w:tc>
      </w:tr>
      <w:tr w:rsidTr="006430D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417BE">
            <w:pPr>
              <w:pStyle w:val="ListBullet"/>
              <w:rPr>
                <w:lang w:val="en-NZ"/>
              </w:rPr>
            </w:pPr>
            <w:r w:rsidRPr="006417BE">
              <w:t>Allocation and maintenance schedules of motive power units</w:t>
            </w:r>
          </w:p>
        </w:tc>
      </w:tr>
      <w:tr w:rsidTr="006430D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417BE">
            <w:pPr>
              <w:pStyle w:val="ListBullet"/>
              <w:rPr>
                <w:lang w:val="en-NZ"/>
              </w:rPr>
            </w:pPr>
            <w:r w:rsidRPr="006417BE">
              <w:t>Track specifications and limitations</w:t>
            </w:r>
          </w:p>
        </w:tc>
      </w:tr>
      <w:tr w:rsidTr="006430D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417BE">
            <w:pPr>
              <w:pStyle w:val="ListBullet"/>
              <w:rPr>
                <w:lang w:val="en-NZ"/>
              </w:rPr>
            </w:pPr>
            <w:r w:rsidRPr="006417BE">
              <w:t>Gauges, distance, gradients and tonnages for relevant track area</w:t>
            </w:r>
          </w:p>
        </w:tc>
      </w:tr>
      <w:tr w:rsidTr="006430D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417BE">
            <w:pPr>
              <w:pStyle w:val="ListBullet"/>
              <w:rPr>
                <w:lang w:val="en-NZ"/>
              </w:rPr>
            </w:pPr>
            <w:r w:rsidRPr="006417BE">
              <w:t>Communication requirements</w:t>
            </w:r>
          </w:p>
        </w:tc>
      </w:tr>
      <w:tr w:rsidTr="006430D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417BE">
            <w:pPr>
              <w:pStyle w:val="ListBullet"/>
              <w:rPr>
                <w:lang w:val="en-NZ"/>
              </w:rPr>
            </w:pPr>
            <w:r w:rsidRPr="006417BE">
              <w:t>Load types</w:t>
            </w:r>
          </w:p>
        </w:tc>
      </w:tr>
      <w:tr w:rsidTr="006430D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417BE">
            <w:pPr>
              <w:pStyle w:val="ListBullet"/>
              <w:rPr>
                <w:lang w:val="en-NZ"/>
              </w:rPr>
            </w:pPr>
            <w:r w:rsidRPr="006417BE">
              <w:t>Timetables and train details</w:t>
            </w:r>
          </w:p>
        </w:tc>
      </w:tr>
      <w:tr w:rsidTr="006430D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417BE">
            <w:pPr>
              <w:pStyle w:val="ListBullet"/>
              <w:rPr>
                <w:lang w:val="en-NZ"/>
              </w:rPr>
            </w:pPr>
            <w:r w:rsidRPr="006417BE">
              <w:t>Emergency procedures</w:t>
            </w:r>
          </w:p>
        </w:tc>
      </w:tr>
      <w:tr w:rsidTr="006430D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417BE">
            <w:pPr>
              <w:pStyle w:val="ListBullet"/>
              <w:rPr>
                <w:lang w:val="en-NZ"/>
              </w:rPr>
            </w:pPr>
            <w:r w:rsidRPr="006417BE">
              <w:t>Relevant industrial awards and agreements</w:t>
            </w:r>
          </w:p>
        </w:tc>
      </w:tr>
      <w:tr w:rsidTr="006430D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417BE">
            <w:pPr>
              <w:pStyle w:val="ListBullet"/>
              <w:rPr>
                <w:lang w:val="en-NZ"/>
              </w:rPr>
            </w:pPr>
            <w:r w:rsidRPr="006417BE">
              <w:t>Equipment, and materials used when allocating motive power, and procedures that should be followed in their use</w:t>
            </w:r>
          </w:p>
        </w:tc>
      </w:tr>
      <w:tr w:rsidTr="006430D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417BE">
            <w:pPr>
              <w:pStyle w:val="ListBullet"/>
              <w:rPr>
                <w:lang w:val="en-NZ"/>
              </w:rPr>
            </w:pPr>
            <w:r w:rsidRPr="006417BE">
              <w:t>Problems that may occur when allocating motive power and appropriate action that can be taken to resolve the problems</w:t>
            </w:r>
          </w:p>
        </w:tc>
      </w:tr>
      <w:tr w:rsidTr="006430D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417BE">
            <w:pPr>
              <w:pStyle w:val="ListBullet"/>
              <w:rPr>
                <w:lang w:val="en-NZ"/>
              </w:rPr>
            </w:pPr>
            <w:r w:rsidRPr="006417BE">
              <w:t>Communication and nego</w:t>
            </w:r>
            <w:r w:rsidRPr="006417BE">
              <w:t>tiation requirements when allocating motive power</w:t>
            </w:r>
          </w:p>
        </w:tc>
      </w:tr>
      <w:tr w:rsidTr="006430D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6417BE" w:rsidP="006417BE">
            <w:pPr>
              <w:pStyle w:val="ListBullet"/>
            </w:pPr>
            <w:r w:rsidRPr="006417BE">
              <w:t>Documentation and record requirements</w:t>
            </w:r>
          </w:p>
        </w:tc>
      </w:tr>
    </w:tbl>
    <w:p w:rsidR="00000000" w:rsidRPr="006417BE" w:rsidP="006417BE">
      <w:pPr>
        <w:pStyle w:val="BodyText"/>
      </w:pPr>
    </w:p>
    <w:tbl>
      <w:tblPr>
        <w:tblW w:w="9640" w:type="dxa"/>
        <w:tblLayout w:type="fixed"/>
        <w:tblCellMar>
          <w:left w:w="62" w:type="dxa"/>
          <w:right w:w="62" w:type="dxa"/>
        </w:tblCellMar>
        <w:tblLook w:val="0000"/>
      </w:tblPr>
      <w:tblGrid>
        <w:gridCol w:w="9640"/>
      </w:tblGrid>
      <w:tr w:rsidTr="006430DF">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6417BE">
            <w:pPr>
              <w:pStyle w:val="BodyText"/>
              <w:rPr>
                <w:lang w:val="en-NZ"/>
              </w:rPr>
            </w:pPr>
            <w:r w:rsidRPr="006417BE">
              <w:rPr>
                <w:rStyle w:val="SpecialBold"/>
              </w:rPr>
              <w:t>Required skills</w:t>
            </w:r>
            <w:r w:rsidRPr="006417BE">
              <w:t>:</w:t>
            </w:r>
          </w:p>
        </w:tc>
      </w:tr>
      <w:tr w:rsidTr="006430D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417BE">
            <w:pPr>
              <w:pStyle w:val="ListBullet"/>
              <w:rPr>
                <w:lang w:val="en-NZ"/>
              </w:rPr>
            </w:pPr>
            <w:r w:rsidRPr="006417BE">
              <w:t>Communicate and negotiate effectively with others when allocating motive power</w:t>
            </w:r>
          </w:p>
        </w:tc>
      </w:tr>
      <w:tr w:rsidTr="006430D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417BE">
            <w:pPr>
              <w:pStyle w:val="ListBullet"/>
              <w:rPr>
                <w:lang w:val="en-NZ"/>
              </w:rPr>
            </w:pPr>
            <w:r w:rsidRPr="006417BE">
              <w:t>Read and interpret instructions, procedures and information relevant to the allocation of motive power</w:t>
            </w:r>
          </w:p>
        </w:tc>
      </w:tr>
      <w:tr w:rsidTr="006430D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417BE">
            <w:pPr>
              <w:pStyle w:val="ListBullet"/>
              <w:rPr>
                <w:lang w:val="en-NZ"/>
              </w:rPr>
            </w:pPr>
            <w:r w:rsidRPr="006417BE">
              <w:t>Read and interpret train graphs and diagrams</w:t>
            </w:r>
          </w:p>
        </w:tc>
      </w:tr>
      <w:tr w:rsidTr="006430D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417BE">
            <w:pPr>
              <w:pStyle w:val="ListBullet"/>
              <w:rPr>
                <w:lang w:val="en-NZ"/>
              </w:rPr>
            </w:pPr>
            <w:r w:rsidRPr="006417BE">
              <w:t>Interpret and follow operational instructions and prioritise work</w:t>
            </w:r>
          </w:p>
        </w:tc>
      </w:tr>
      <w:tr w:rsidTr="006430D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417BE">
            <w:pPr>
              <w:pStyle w:val="ListBullet"/>
              <w:rPr>
                <w:lang w:val="en-NZ"/>
              </w:rPr>
            </w:pPr>
            <w:r w:rsidRPr="006417BE">
              <w:t>Complete documentation related to th</w:t>
            </w:r>
            <w:r w:rsidRPr="006417BE">
              <w:t>e allocation of motive power</w:t>
            </w:r>
          </w:p>
        </w:tc>
      </w:tr>
      <w:tr w:rsidTr="006430D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417BE">
            <w:pPr>
              <w:pStyle w:val="ListBullet"/>
              <w:rPr>
                <w:lang w:val="en-NZ"/>
              </w:rPr>
            </w:pPr>
            <w:r w:rsidRPr="006417BE">
              <w:t>Operate electronic communication equipment to required protocol</w:t>
            </w:r>
          </w:p>
        </w:tc>
      </w:tr>
      <w:tr w:rsidTr="006430D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417BE">
            <w:pPr>
              <w:pStyle w:val="ListBullet"/>
              <w:rPr>
                <w:lang w:val="en-NZ"/>
              </w:rPr>
            </w:pPr>
            <w:r w:rsidRPr="006417BE">
              <w:t>Work collaboratively with others when allocating motive power</w:t>
            </w:r>
          </w:p>
        </w:tc>
      </w:tr>
      <w:tr w:rsidTr="006430D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417BE">
            <w:pPr>
              <w:pStyle w:val="ListBullet"/>
              <w:rPr>
                <w:lang w:val="en-NZ"/>
              </w:rPr>
            </w:pPr>
            <w:r w:rsidRPr="006417BE">
              <w:t xml:space="preserve">Adapt appropriately to cultural differences in the workplace, including modes of </w:t>
            </w:r>
            <w:r w:rsidRPr="006417BE">
              <w:t>behaviour and interactions with others</w:t>
            </w:r>
          </w:p>
        </w:tc>
      </w:tr>
      <w:tr w:rsidTr="006430D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417BE">
            <w:pPr>
              <w:pStyle w:val="ListBullet"/>
              <w:rPr>
                <w:lang w:val="en-NZ"/>
              </w:rPr>
            </w:pPr>
            <w:r w:rsidRPr="006417BE">
              <w:t>Promptly report and/or rectify any problems, faults or malfunctions that are identified when allocating motive power in accordance with regulatory requirements and workplace procedures</w:t>
            </w:r>
          </w:p>
        </w:tc>
      </w:tr>
      <w:tr w:rsidTr="006430D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417BE">
            <w:pPr>
              <w:pStyle w:val="ListBullet"/>
              <w:rPr>
                <w:lang w:val="en-NZ"/>
              </w:rPr>
            </w:pPr>
            <w:r w:rsidRPr="006417BE">
              <w:t xml:space="preserve">Implement contingency plans </w:t>
            </w:r>
            <w:r w:rsidRPr="006417BE">
              <w:t>for unanticipated situations that may arise when allocating motive power</w:t>
            </w:r>
          </w:p>
        </w:tc>
      </w:tr>
      <w:tr w:rsidTr="006430D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417BE">
            <w:pPr>
              <w:pStyle w:val="ListBullet"/>
              <w:rPr>
                <w:lang w:val="en-NZ"/>
              </w:rPr>
            </w:pPr>
            <w:r w:rsidRPr="006417BE">
              <w:t>Apply precautions and required action to minimise, control or eliminate hazards that may exist during work activities</w:t>
            </w:r>
          </w:p>
        </w:tc>
      </w:tr>
      <w:tr w:rsidTr="006430D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417BE">
            <w:pPr>
              <w:pStyle w:val="ListBullet"/>
              <w:rPr>
                <w:lang w:val="en-NZ"/>
              </w:rPr>
            </w:pPr>
            <w:r w:rsidRPr="006417BE">
              <w:t>Monitor work activities in terms of planned schedule</w:t>
            </w:r>
          </w:p>
        </w:tc>
      </w:tr>
      <w:tr w:rsidTr="006430D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417BE">
            <w:pPr>
              <w:pStyle w:val="ListBullet"/>
              <w:rPr>
                <w:lang w:val="en-NZ"/>
              </w:rPr>
            </w:pPr>
            <w:r w:rsidRPr="006417BE">
              <w:t>Modify</w:t>
            </w:r>
            <w:r w:rsidRPr="006417BE">
              <w:t xml:space="preserve"> activities depending on differing operational contingencies, risk situations and environments</w:t>
            </w:r>
          </w:p>
        </w:tc>
      </w:tr>
      <w:tr w:rsidTr="006430D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417BE">
            <w:pPr>
              <w:pStyle w:val="ListBullet"/>
              <w:rPr>
                <w:lang w:val="en-NZ"/>
              </w:rPr>
            </w:pPr>
            <w:r w:rsidRPr="006417BE">
              <w:t>Work systematically with required attention to detail without injury to self or others, or damage to goods or equipment</w:t>
            </w:r>
          </w:p>
        </w:tc>
      </w:tr>
      <w:tr w:rsidTr="006430D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417BE">
            <w:pPr>
              <w:pStyle w:val="ListBullet"/>
              <w:rPr>
                <w:lang w:val="en-NZ"/>
              </w:rPr>
            </w:pPr>
            <w:r w:rsidRPr="006417BE">
              <w:t>Select and use relevant computing</w:t>
            </w:r>
            <w:r w:rsidRPr="006417BE">
              <w:t xml:space="preserve"> and communications equipment and materials when allocating motive power</w:t>
            </w:r>
          </w:p>
        </w:tc>
      </w:tr>
      <w:tr w:rsidTr="006430D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417BE">
            <w:pPr>
              <w:pStyle w:val="ListBullet"/>
              <w:rPr>
                <w:lang w:val="en-NZ"/>
              </w:rPr>
            </w:pPr>
            <w:r w:rsidRPr="006417BE">
              <w:t>Operate and adapt to differences in equipment in accordance with standard operating procedures</w:t>
            </w:r>
          </w:p>
        </w:tc>
      </w:tr>
      <w:tr w:rsidTr="006430D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6417BE" w:rsidP="006417BE">
            <w:pPr>
              <w:pStyle w:val="ListBullet"/>
            </w:pPr>
            <w:r w:rsidRPr="006417BE">
              <w:t>Select and use required personal protective equipment conforming to industry and OH&amp;</w:t>
            </w:r>
            <w:r w:rsidRPr="006417BE">
              <w:t>S standards</w:t>
            </w:r>
          </w:p>
        </w:tc>
      </w:tr>
    </w:tbl>
    <w:p w:rsidR="006430DF" w:rsidP="006417BE">
      <w:pPr>
        <w:pStyle w:val="BodyText"/>
      </w:pPr>
    </w:p>
    <w:p w:rsidR="006430DF" w:rsidP="006417BE">
      <w:pPr>
        <w:pStyle w:val="BodyText"/>
      </w:pPr>
    </w:p>
    <w:p w:rsidR="00000000" w:rsidRPr="006417BE" w:rsidP="006417BE">
      <w:pPr>
        <w:pStyle w:val="Heading1"/>
      </w:pPr>
      <w:bookmarkStart w:id="10" w:name="O_246884"/>
      <w:bookmarkEnd w:id="10"/>
      <w:r w:rsidRPr="006417BE">
        <w:t>Evidence Guide</w:t>
      </w:r>
    </w:p>
    <w:tbl>
      <w:tblPr>
        <w:tblW w:w="9499" w:type="dxa"/>
        <w:tblLayout w:type="fixed"/>
        <w:tblCellMar>
          <w:left w:w="62" w:type="dxa"/>
          <w:right w:w="62" w:type="dxa"/>
        </w:tblCellMar>
        <w:tblLook w:val="0000"/>
      </w:tblPr>
      <w:tblGrid>
        <w:gridCol w:w="3524"/>
        <w:gridCol w:w="5975"/>
      </w:tblGrid>
      <w:tr w:rsidTr="006430DF">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6417BE">
            <w:pPr>
              <w:pStyle w:val="BodyText"/>
              <w:rPr>
                <w:lang w:val="en-NZ"/>
              </w:rPr>
            </w:pPr>
            <w:r w:rsidRPr="006417BE">
              <w:rPr>
                <w:rStyle w:val="SpecialBold"/>
              </w:rPr>
              <w:t>EVIDENCE GUIDE</w:t>
            </w:r>
          </w:p>
        </w:tc>
      </w:tr>
      <w:tr w:rsidTr="006430DF">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6417BE">
            <w:pPr>
              <w:pStyle w:val="BodyText"/>
              <w:rPr>
                <w:lang w:val="en-NZ"/>
              </w:rPr>
            </w:pPr>
            <w:r w:rsidRPr="006417BE">
              <w:t xml:space="preserve">The evidence guide provides advice on assessment and must be read in conjunction with the performance criteria, required knowledge and skills, </w:t>
            </w:r>
            <w:r w:rsidRPr="006417BE">
              <w:t>the range statement and the assessment guidelines for this Training Package.</w:t>
            </w:r>
          </w:p>
        </w:tc>
      </w:tr>
      <w:tr w:rsidTr="006430DF">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6417BE">
            <w:pPr>
              <w:pStyle w:val="BodyText"/>
              <w:rPr>
                <w:lang w:val="en-NZ"/>
              </w:rPr>
            </w:pPr>
            <w:r w:rsidRPr="006417BE">
              <w:rPr>
                <w:rStyle w:val="SpecialBold"/>
              </w:rPr>
              <w:t>Critical aspects for assessment and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6417BE" w:rsidP="006417BE">
            <w:pPr>
              <w:pStyle w:val="ListBullet"/>
            </w:pPr>
            <w:r w:rsidRPr="006417BE">
              <w:t>The evidence required to demonstrate competency in this unit must be relevant to an</w:t>
            </w:r>
            <w:r w:rsidRPr="006417BE">
              <w:t>d satisfy all of the requirements of the elements and performance criteria of this unit and include demonstration of applying:</w:t>
            </w:r>
          </w:p>
          <w:p w:rsidR="00000000" w:rsidRPr="006417BE" w:rsidP="006417BE">
            <w:pPr>
              <w:pStyle w:val="ListBullet2"/>
            </w:pPr>
            <w:r w:rsidRPr="006417BE">
              <w:t>the underpinning knowledge and skills</w:t>
            </w:r>
          </w:p>
          <w:p w:rsidR="00000000" w:rsidRPr="006417BE" w:rsidP="006417BE">
            <w:pPr>
              <w:pStyle w:val="ListBullet2"/>
            </w:pPr>
            <w:r w:rsidRPr="006417BE">
              <w:t>relevant legislation and workplace procedures</w:t>
            </w:r>
          </w:p>
          <w:p w:rsidR="00000000" w:rsidP="006417BE">
            <w:pPr>
              <w:pStyle w:val="ListBullet2"/>
              <w:rPr>
                <w:lang w:val="en-NZ"/>
              </w:rPr>
            </w:pPr>
            <w:r w:rsidRPr="006417BE">
              <w:t>other relevant aspects of the range statement</w:t>
            </w:r>
          </w:p>
        </w:tc>
      </w:tr>
      <w:tr w:rsidTr="006430DF">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6417BE">
            <w:pPr>
              <w:pStyle w:val="BodyText"/>
              <w:rPr>
                <w:lang w:val="en-NZ"/>
              </w:rPr>
            </w:pPr>
            <w:r w:rsidRPr="006417BE">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6417BE" w:rsidP="006417BE">
            <w:pPr>
              <w:pStyle w:val="ListBullet"/>
            </w:pPr>
            <w:r w:rsidRPr="006417BE">
              <w:t>Performance is demonstrated consistently over a period of time and in a suitable range of contexts</w:t>
            </w:r>
          </w:p>
          <w:p w:rsidR="00000000" w:rsidRPr="006417BE" w:rsidP="006417BE">
            <w:pPr>
              <w:pStyle w:val="ListBullet"/>
            </w:pPr>
            <w:r w:rsidRPr="006417BE">
              <w:t>Resources for assessment include:</w:t>
            </w:r>
          </w:p>
          <w:p w:rsidR="00000000" w:rsidRPr="006417BE" w:rsidP="006417BE">
            <w:pPr>
              <w:pStyle w:val="ListBullet2"/>
            </w:pPr>
            <w:r w:rsidRPr="006417BE">
              <w:t>a range of relevant exercises, case studies and/or other simulated practical and knowledge assessment, and/or</w:t>
            </w:r>
          </w:p>
          <w:p w:rsidR="00000000" w:rsidRPr="006417BE" w:rsidP="006417BE">
            <w:pPr>
              <w:pStyle w:val="ListBullet2"/>
            </w:pPr>
            <w:r w:rsidRPr="006417BE">
              <w:t>access to an appropriate range of relevant operational situations in the workplace</w:t>
            </w:r>
          </w:p>
          <w:p w:rsidR="00000000" w:rsidRPr="006417BE" w:rsidP="006417BE">
            <w:pPr>
              <w:pStyle w:val="ListBullet"/>
            </w:pPr>
            <w:r w:rsidRPr="006417BE">
              <w:t>In both real and simulated environments, access is required to</w:t>
            </w:r>
            <w:r w:rsidRPr="006417BE">
              <w:t>:</w:t>
            </w:r>
          </w:p>
          <w:p w:rsidR="00000000" w:rsidRPr="006417BE" w:rsidP="006417BE">
            <w:pPr>
              <w:pStyle w:val="ListBullet2"/>
            </w:pPr>
            <w:r w:rsidRPr="006417BE">
              <w:t>relevant and appropriate materials and equipment, and</w:t>
            </w:r>
          </w:p>
          <w:p w:rsidR="00000000" w:rsidP="006417BE">
            <w:pPr>
              <w:pStyle w:val="ListBullet2"/>
              <w:rPr>
                <w:lang w:val="en-NZ"/>
              </w:rPr>
            </w:pPr>
            <w:r w:rsidRPr="006417BE">
              <w:t>applicable documentation including workplace procedures, regulations, codes of practice and operation manuals</w:t>
            </w:r>
          </w:p>
        </w:tc>
      </w:tr>
      <w:tr w:rsidTr="006430DF">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6417BE">
            <w:pPr>
              <w:pStyle w:val="BodyText"/>
              <w:rPr>
                <w:lang w:val="en-NZ"/>
              </w:rPr>
            </w:pPr>
            <w:r w:rsidRPr="006417BE">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6417BE" w:rsidP="006417BE">
            <w:pPr>
              <w:pStyle w:val="ListBullet"/>
            </w:pPr>
            <w:r w:rsidRPr="006417BE">
              <w:t>Assessment of this unit must be undertaken by a registered training organisation</w:t>
            </w:r>
          </w:p>
          <w:p w:rsidR="00000000" w:rsidRPr="006417BE" w:rsidP="006417BE">
            <w:pPr>
              <w:pStyle w:val="ListBullet"/>
            </w:pPr>
            <w:r w:rsidRPr="006417BE">
              <w:t>As a minimum, assessment of knowledge must be conducted through appropriate written/oral tests</w:t>
            </w:r>
          </w:p>
          <w:p w:rsidR="00000000" w:rsidRPr="006417BE" w:rsidP="006417BE">
            <w:pPr>
              <w:pStyle w:val="ListBullet"/>
            </w:pPr>
            <w:r w:rsidRPr="006417BE">
              <w:t>Practical assessment must occur:</w:t>
            </w:r>
          </w:p>
          <w:p w:rsidR="00000000" w:rsidRPr="006417BE" w:rsidP="006417BE">
            <w:pPr>
              <w:pStyle w:val="ListBullet2"/>
            </w:pPr>
            <w:r w:rsidRPr="006417BE">
              <w:t>through activities in an appropriately simulat</w:t>
            </w:r>
            <w:r w:rsidRPr="006417BE">
              <w:t>ed environment at the registered training organisation, and/or</w:t>
            </w:r>
          </w:p>
          <w:p w:rsidR="00000000" w:rsidRPr="006417BE" w:rsidP="006417BE">
            <w:pPr>
              <w:pStyle w:val="ListBullet2"/>
            </w:pPr>
            <w:r w:rsidRPr="006417BE">
              <w:t>in an appropriate range of situations in the workplace</w:t>
            </w:r>
          </w:p>
        </w:tc>
      </w:tr>
    </w:tbl>
    <w:p w:rsidR="006430DF" w:rsidP="006417BE">
      <w:pPr>
        <w:pStyle w:val="BodyText"/>
      </w:pPr>
    </w:p>
    <w:p w:rsidR="006430DF" w:rsidP="006417BE">
      <w:pPr>
        <w:pStyle w:val="BodyText"/>
      </w:pPr>
    </w:p>
    <w:p w:rsidR="00000000" w:rsidRPr="006417BE" w:rsidP="006417BE">
      <w:pPr>
        <w:pStyle w:val="Heading1"/>
      </w:pPr>
      <w:bookmarkStart w:id="11" w:name="O_254867"/>
      <w:bookmarkEnd w:id="11"/>
      <w:r w:rsidRPr="006417BE">
        <w:t>Range Statement</w:t>
      </w:r>
    </w:p>
    <w:tbl>
      <w:tblPr>
        <w:tblW w:w="9640" w:type="dxa"/>
        <w:tblLayout w:type="fixed"/>
        <w:tblCellMar>
          <w:left w:w="62" w:type="dxa"/>
          <w:right w:w="62" w:type="dxa"/>
        </w:tblCellMar>
        <w:tblLook w:val="0000"/>
      </w:tblPr>
      <w:tblGrid>
        <w:gridCol w:w="3486"/>
        <w:gridCol w:w="6154"/>
      </w:tblGrid>
      <w:tr w:rsidTr="006430DF">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6417BE">
            <w:pPr>
              <w:pStyle w:val="BodyText"/>
              <w:rPr>
                <w:lang w:val="en-NZ"/>
              </w:rPr>
            </w:pPr>
            <w:r w:rsidRPr="006417BE">
              <w:rPr>
                <w:rStyle w:val="SpecialBold"/>
              </w:rPr>
              <w:t>RANGE STATEMENT</w:t>
            </w:r>
            <w:r w:rsidRPr="006417BE">
              <w:t xml:space="preserve"> </w:t>
            </w:r>
          </w:p>
        </w:tc>
      </w:tr>
      <w:tr w:rsidTr="006430DF">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6417BE">
            <w:pPr>
              <w:pStyle w:val="BodyText"/>
              <w:rPr>
                <w:lang w:val="en-NZ"/>
              </w:rPr>
            </w:pPr>
            <w:r w:rsidRPr="006417BE">
              <w:t>The range statement relates to the unit of competency as a whole. It allows for different work environments and situations that may affect performance.</w:t>
            </w:r>
          </w:p>
        </w:tc>
      </w:tr>
      <w:tr w:rsidTr="006430D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417BE">
            <w:pPr>
              <w:pStyle w:val="BodyText"/>
              <w:rPr>
                <w:lang w:val="en-NZ"/>
              </w:rPr>
            </w:pPr>
            <w:r w:rsidRPr="006417BE">
              <w:t>Operations may be:</w:t>
            </w:r>
          </w:p>
        </w:tc>
        <w:tc>
          <w:tcPr>
            <w:tcW w:w="6154" w:type="dxa"/>
            <w:tcBorders>
              <w:top w:val="nil"/>
              <w:left w:val="nil"/>
              <w:bottom w:val="nil"/>
              <w:right w:val="nil"/>
            </w:tcBorders>
            <w:tcMar>
              <w:top w:w="0" w:type="dxa"/>
              <w:left w:w="62" w:type="dxa"/>
              <w:bottom w:w="0" w:type="dxa"/>
              <w:right w:w="62" w:type="dxa"/>
            </w:tcMar>
          </w:tcPr>
          <w:p w:rsidR="00000000" w:rsidRPr="006417BE" w:rsidP="006417BE">
            <w:pPr>
              <w:pStyle w:val="ListBullet"/>
            </w:pPr>
            <w:r w:rsidRPr="006417BE">
              <w:t>conducted by day or night</w:t>
            </w:r>
          </w:p>
          <w:p w:rsidR="00000000" w:rsidP="006417BE">
            <w:pPr>
              <w:pStyle w:val="ListBullet"/>
              <w:rPr>
                <w:lang w:val="en-NZ"/>
              </w:rPr>
            </w:pPr>
            <w:r w:rsidRPr="006417BE">
              <w:t>in all relevant weather conditions</w:t>
            </w:r>
          </w:p>
        </w:tc>
      </w:tr>
      <w:tr w:rsidTr="006430D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417BE">
            <w:pPr>
              <w:pStyle w:val="BodyText"/>
              <w:rPr>
                <w:lang w:val="en-NZ"/>
              </w:rPr>
            </w:pPr>
            <w:r w:rsidRPr="006417BE">
              <w:t>Motive power allocated may include:</w:t>
            </w:r>
          </w:p>
        </w:tc>
        <w:tc>
          <w:tcPr>
            <w:tcW w:w="6154" w:type="dxa"/>
            <w:tcBorders>
              <w:top w:val="nil"/>
              <w:left w:val="nil"/>
              <w:bottom w:val="nil"/>
              <w:right w:val="nil"/>
            </w:tcBorders>
            <w:tcMar>
              <w:top w:w="0" w:type="dxa"/>
              <w:left w:w="62" w:type="dxa"/>
              <w:bottom w:w="0" w:type="dxa"/>
              <w:right w:w="62" w:type="dxa"/>
            </w:tcMar>
          </w:tcPr>
          <w:p w:rsidR="00000000" w:rsidRPr="006417BE" w:rsidP="006417BE">
            <w:pPr>
              <w:pStyle w:val="ListBullet"/>
            </w:pPr>
            <w:r w:rsidRPr="006417BE">
              <w:t>locomotives and self propelled railcars</w:t>
            </w:r>
          </w:p>
          <w:p w:rsidR="00000000" w:rsidRPr="006417BE" w:rsidP="006417BE">
            <w:pPr>
              <w:pStyle w:val="ListBullet"/>
            </w:pPr>
            <w:r w:rsidRPr="006417BE">
              <w:t>steam locomotives</w:t>
            </w:r>
          </w:p>
          <w:p w:rsidR="00000000" w:rsidP="006417BE">
            <w:pPr>
              <w:pStyle w:val="ListBullet"/>
              <w:rPr>
                <w:lang w:val="en-NZ"/>
              </w:rPr>
            </w:pPr>
            <w:r w:rsidRPr="006417BE">
              <w:t>diesel and electric types</w:t>
            </w:r>
          </w:p>
        </w:tc>
      </w:tr>
      <w:tr w:rsidTr="006430D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417BE">
            <w:pPr>
              <w:pStyle w:val="BodyText"/>
              <w:rPr>
                <w:lang w:val="en-NZ"/>
              </w:rPr>
            </w:pPr>
            <w:r w:rsidRPr="006417BE">
              <w:t>Resources may include:</w:t>
            </w:r>
          </w:p>
        </w:tc>
        <w:tc>
          <w:tcPr>
            <w:tcW w:w="6154" w:type="dxa"/>
            <w:tcBorders>
              <w:top w:val="nil"/>
              <w:left w:val="nil"/>
              <w:bottom w:val="nil"/>
              <w:right w:val="nil"/>
            </w:tcBorders>
            <w:tcMar>
              <w:top w:w="0" w:type="dxa"/>
              <w:left w:w="62" w:type="dxa"/>
              <w:bottom w:w="0" w:type="dxa"/>
              <w:right w:w="62" w:type="dxa"/>
            </w:tcMar>
          </w:tcPr>
          <w:p w:rsidR="00000000" w:rsidRPr="006417BE" w:rsidP="006417BE">
            <w:pPr>
              <w:pStyle w:val="ListBullet"/>
            </w:pPr>
            <w:r w:rsidRPr="006417BE">
              <w:t>timetables</w:t>
            </w:r>
          </w:p>
          <w:p w:rsidR="00000000" w:rsidRPr="006417BE" w:rsidP="006417BE">
            <w:pPr>
              <w:pStyle w:val="ListBullet"/>
            </w:pPr>
            <w:r w:rsidRPr="006417BE">
              <w:t>track and shunting requirements</w:t>
            </w:r>
          </w:p>
          <w:p w:rsidR="00000000" w:rsidRPr="006417BE" w:rsidP="006417BE">
            <w:pPr>
              <w:pStyle w:val="ListBullet"/>
            </w:pPr>
            <w:r w:rsidRPr="006417BE">
              <w:t>motive power units</w:t>
            </w:r>
          </w:p>
          <w:p w:rsidR="00000000" w:rsidRPr="006417BE" w:rsidP="006417BE">
            <w:pPr>
              <w:pStyle w:val="ListBullet"/>
            </w:pPr>
            <w:r w:rsidRPr="006417BE">
              <w:t>relevant workplace policy</w:t>
            </w:r>
          </w:p>
          <w:p w:rsidR="00000000" w:rsidP="006417BE">
            <w:pPr>
              <w:pStyle w:val="ListBullet"/>
              <w:rPr>
                <w:lang w:val="en-NZ"/>
              </w:rPr>
            </w:pPr>
            <w:r w:rsidRPr="006417BE">
              <w:t>authorisation documentation</w:t>
            </w:r>
          </w:p>
        </w:tc>
      </w:tr>
      <w:tr w:rsidTr="006430D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417BE">
            <w:pPr>
              <w:pStyle w:val="BodyText"/>
              <w:rPr>
                <w:lang w:val="en-NZ"/>
              </w:rPr>
            </w:pPr>
            <w:r w:rsidRPr="006417BE">
              <w:t>Trains/services for which allocations are made may include:</w:t>
            </w:r>
          </w:p>
        </w:tc>
        <w:tc>
          <w:tcPr>
            <w:tcW w:w="6154" w:type="dxa"/>
            <w:tcBorders>
              <w:top w:val="nil"/>
              <w:left w:val="nil"/>
              <w:bottom w:val="nil"/>
              <w:right w:val="nil"/>
            </w:tcBorders>
            <w:tcMar>
              <w:top w:w="0" w:type="dxa"/>
              <w:left w:w="62" w:type="dxa"/>
              <w:bottom w:w="0" w:type="dxa"/>
              <w:right w:w="62" w:type="dxa"/>
            </w:tcMar>
          </w:tcPr>
          <w:p w:rsidR="00000000" w:rsidRPr="006417BE" w:rsidP="006417BE">
            <w:pPr>
              <w:pStyle w:val="ListBullet"/>
            </w:pPr>
            <w:r w:rsidRPr="006417BE">
              <w:t>short distance freight</w:t>
            </w:r>
          </w:p>
          <w:p w:rsidR="00000000" w:rsidRPr="006417BE" w:rsidP="006417BE">
            <w:pPr>
              <w:pStyle w:val="ListBullet"/>
            </w:pPr>
            <w:r w:rsidRPr="006417BE">
              <w:t>long distance passenger service</w:t>
            </w:r>
          </w:p>
          <w:p w:rsidR="00000000" w:rsidRPr="006417BE" w:rsidP="006417BE">
            <w:pPr>
              <w:pStyle w:val="ListBullet"/>
            </w:pPr>
            <w:r w:rsidRPr="006417BE">
              <w:t>work trains</w:t>
            </w:r>
          </w:p>
          <w:p w:rsidR="00000000" w:rsidRPr="006417BE" w:rsidP="006417BE">
            <w:pPr>
              <w:pStyle w:val="ListBullet"/>
            </w:pPr>
            <w:r w:rsidRPr="006417BE">
              <w:t>special trains</w:t>
            </w:r>
          </w:p>
          <w:p w:rsidR="00000000" w:rsidRPr="006417BE" w:rsidP="006417BE">
            <w:pPr>
              <w:pStyle w:val="ListBullet"/>
            </w:pPr>
            <w:r w:rsidRPr="006417BE">
              <w:t>long distance freight</w:t>
            </w:r>
          </w:p>
          <w:p w:rsidR="00000000" w:rsidRPr="006417BE" w:rsidP="006417BE">
            <w:pPr>
              <w:pStyle w:val="ListBullet"/>
            </w:pPr>
            <w:r w:rsidRPr="006417BE">
              <w:t>urban passenger service</w:t>
            </w:r>
          </w:p>
          <w:p w:rsidR="00000000" w:rsidRPr="006417BE" w:rsidP="006417BE">
            <w:pPr>
              <w:pStyle w:val="ListBullet"/>
            </w:pPr>
            <w:r w:rsidRPr="006417BE">
              <w:t>train service motive power requirement</w:t>
            </w:r>
            <w:r w:rsidRPr="006417BE">
              <w:t>s</w:t>
            </w:r>
          </w:p>
          <w:p w:rsidR="00000000" w:rsidP="006417BE">
            <w:pPr>
              <w:pStyle w:val="ListBullet"/>
              <w:rPr>
                <w:lang w:val="en-NZ"/>
              </w:rPr>
            </w:pPr>
            <w:r w:rsidRPr="006417BE">
              <w:t>support activities such as shunting</w:t>
            </w:r>
          </w:p>
        </w:tc>
      </w:tr>
      <w:tr w:rsidTr="006430D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417BE">
            <w:pPr>
              <w:pStyle w:val="BodyText"/>
              <w:rPr>
                <w:lang w:val="en-NZ"/>
              </w:rPr>
            </w:pPr>
            <w:r w:rsidRPr="006417BE">
              <w:t>Establishing motive power requirements and availability may take into consideration:</w:t>
            </w:r>
          </w:p>
        </w:tc>
        <w:tc>
          <w:tcPr>
            <w:tcW w:w="6154" w:type="dxa"/>
            <w:tcBorders>
              <w:top w:val="nil"/>
              <w:left w:val="nil"/>
              <w:bottom w:val="nil"/>
              <w:right w:val="nil"/>
            </w:tcBorders>
            <w:tcMar>
              <w:top w:w="0" w:type="dxa"/>
              <w:left w:w="62" w:type="dxa"/>
              <w:bottom w:w="0" w:type="dxa"/>
              <w:right w:w="62" w:type="dxa"/>
            </w:tcMar>
          </w:tcPr>
          <w:p w:rsidR="00000000" w:rsidRPr="006417BE" w:rsidP="006417BE">
            <w:pPr>
              <w:pStyle w:val="ListBullet"/>
            </w:pPr>
            <w:r w:rsidRPr="006417BE">
              <w:t>operating policies</w:t>
            </w:r>
          </w:p>
          <w:p w:rsidR="00000000" w:rsidRPr="006417BE" w:rsidP="006417BE">
            <w:pPr>
              <w:pStyle w:val="ListBullet"/>
            </w:pPr>
            <w:r w:rsidRPr="006417BE">
              <w:t>track specifications and limitations</w:t>
            </w:r>
          </w:p>
          <w:p w:rsidR="00000000" w:rsidRPr="006417BE" w:rsidP="006417BE">
            <w:pPr>
              <w:pStyle w:val="ListBullet"/>
            </w:pPr>
            <w:r w:rsidRPr="006417BE">
              <w:t>distances</w:t>
            </w:r>
          </w:p>
          <w:p w:rsidR="00000000" w:rsidRPr="006417BE" w:rsidP="006417BE">
            <w:pPr>
              <w:pStyle w:val="ListBullet"/>
            </w:pPr>
            <w:r w:rsidRPr="006417BE">
              <w:t>communication requirements</w:t>
            </w:r>
          </w:p>
          <w:p w:rsidR="00000000" w:rsidRPr="006417BE" w:rsidP="006417BE">
            <w:pPr>
              <w:pStyle w:val="ListBullet"/>
            </w:pPr>
            <w:r w:rsidRPr="006417BE">
              <w:t>tonnages</w:t>
            </w:r>
          </w:p>
          <w:p w:rsidR="00000000" w:rsidRPr="006417BE" w:rsidP="006417BE">
            <w:pPr>
              <w:pStyle w:val="ListBullet"/>
            </w:pPr>
            <w:r w:rsidRPr="006417BE">
              <w:t>double ended locomotives</w:t>
            </w:r>
          </w:p>
          <w:p w:rsidR="00000000" w:rsidRPr="006417BE" w:rsidP="006417BE">
            <w:pPr>
              <w:pStyle w:val="ListBullet"/>
            </w:pPr>
            <w:r w:rsidRPr="006417BE">
              <w:t>coupling requirements</w:t>
            </w:r>
          </w:p>
          <w:p w:rsidR="00000000" w:rsidRPr="006417BE" w:rsidP="006417BE">
            <w:pPr>
              <w:pStyle w:val="ListBullet"/>
            </w:pPr>
            <w:r w:rsidRPr="006417BE">
              <w:t>available motive power units</w:t>
            </w:r>
          </w:p>
          <w:p w:rsidR="00000000" w:rsidRPr="006417BE" w:rsidP="006417BE">
            <w:pPr>
              <w:pStyle w:val="ListBullet"/>
            </w:pPr>
            <w:r w:rsidRPr="006417BE">
              <w:t>gauges</w:t>
            </w:r>
          </w:p>
          <w:p w:rsidR="00000000" w:rsidRPr="006417BE" w:rsidP="006417BE">
            <w:pPr>
              <w:pStyle w:val="ListBullet"/>
            </w:pPr>
            <w:r w:rsidRPr="006417BE">
              <w:t>crew requirements</w:t>
            </w:r>
          </w:p>
          <w:p w:rsidR="00000000" w:rsidRPr="006417BE" w:rsidP="006417BE">
            <w:pPr>
              <w:pStyle w:val="ListBullet"/>
            </w:pPr>
            <w:r w:rsidRPr="006417BE">
              <w:t>gradients</w:t>
            </w:r>
          </w:p>
          <w:p w:rsidR="00000000" w:rsidRPr="006417BE" w:rsidP="006417BE">
            <w:pPr>
              <w:pStyle w:val="ListBullet"/>
            </w:pPr>
            <w:r w:rsidRPr="006417BE">
              <w:t>load types</w:t>
            </w:r>
          </w:p>
          <w:p w:rsidR="00000000" w:rsidP="006417BE">
            <w:pPr>
              <w:pStyle w:val="ListBullet"/>
              <w:rPr>
                <w:lang w:val="en-NZ"/>
              </w:rPr>
            </w:pPr>
            <w:r w:rsidRPr="006417BE">
              <w:t>configuration</w:t>
            </w:r>
          </w:p>
        </w:tc>
      </w:tr>
      <w:tr w:rsidTr="006430D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417BE">
            <w:pPr>
              <w:pStyle w:val="BodyText"/>
              <w:rPr>
                <w:lang w:val="en-NZ"/>
              </w:rPr>
            </w:pPr>
            <w:r w:rsidRPr="006417BE">
              <w:t>Contingency processes may involve:</w:t>
            </w:r>
          </w:p>
        </w:tc>
        <w:tc>
          <w:tcPr>
            <w:tcW w:w="6154" w:type="dxa"/>
            <w:tcBorders>
              <w:top w:val="nil"/>
              <w:left w:val="nil"/>
              <w:bottom w:val="nil"/>
              <w:right w:val="nil"/>
            </w:tcBorders>
            <w:tcMar>
              <w:top w:w="0" w:type="dxa"/>
              <w:left w:w="62" w:type="dxa"/>
              <w:bottom w:w="0" w:type="dxa"/>
              <w:right w:w="62" w:type="dxa"/>
            </w:tcMar>
          </w:tcPr>
          <w:p w:rsidR="00000000" w:rsidRPr="006417BE" w:rsidP="006417BE">
            <w:pPr>
              <w:pStyle w:val="ListBullet"/>
            </w:pPr>
            <w:r w:rsidRPr="006417BE">
              <w:t>non-availability of specified motive power</w:t>
            </w:r>
          </w:p>
          <w:p w:rsidR="00000000" w:rsidRPr="006417BE" w:rsidP="006417BE">
            <w:pPr>
              <w:pStyle w:val="ListBullet"/>
            </w:pPr>
            <w:r w:rsidRPr="006417BE">
              <w:t>equipment failure</w:t>
            </w:r>
          </w:p>
          <w:p w:rsidR="00000000" w:rsidRPr="006417BE" w:rsidP="006417BE">
            <w:pPr>
              <w:pStyle w:val="ListBullet"/>
            </w:pPr>
            <w:r w:rsidRPr="006417BE">
              <w:t>operational breakdowns</w:t>
            </w:r>
          </w:p>
          <w:p w:rsidR="00000000" w:rsidP="006417BE">
            <w:pPr>
              <w:pStyle w:val="ListBullet"/>
              <w:rPr>
                <w:lang w:val="en-NZ"/>
              </w:rPr>
            </w:pPr>
            <w:r w:rsidRPr="006417BE">
              <w:t>communications difficulties</w:t>
            </w:r>
          </w:p>
        </w:tc>
      </w:tr>
      <w:tr w:rsidTr="006430D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417BE">
            <w:pPr>
              <w:pStyle w:val="BodyText"/>
              <w:rPr>
                <w:lang w:val="en-NZ"/>
              </w:rPr>
            </w:pPr>
            <w:r w:rsidRPr="006417BE">
              <w:t>Consultative processes may involve:</w:t>
            </w:r>
          </w:p>
        </w:tc>
        <w:tc>
          <w:tcPr>
            <w:tcW w:w="6154" w:type="dxa"/>
            <w:tcBorders>
              <w:top w:val="nil"/>
              <w:left w:val="nil"/>
              <w:bottom w:val="nil"/>
              <w:right w:val="nil"/>
            </w:tcBorders>
            <w:tcMar>
              <w:top w:w="0" w:type="dxa"/>
              <w:left w:w="62" w:type="dxa"/>
              <w:bottom w:w="0" w:type="dxa"/>
              <w:right w:w="62" w:type="dxa"/>
            </w:tcMar>
          </w:tcPr>
          <w:p w:rsidR="00000000" w:rsidRPr="006417BE" w:rsidP="006417BE">
            <w:pPr>
              <w:pStyle w:val="ListBullet"/>
            </w:pPr>
            <w:r w:rsidRPr="006417BE">
              <w:t>workplace personnel including supervisors and managers</w:t>
            </w:r>
          </w:p>
          <w:p w:rsidR="00000000" w:rsidP="006417BE">
            <w:pPr>
              <w:pStyle w:val="ListBullet"/>
              <w:rPr>
                <w:lang w:val="en-NZ"/>
              </w:rPr>
            </w:pPr>
            <w:r w:rsidRPr="006417BE">
              <w:t>other professional or technical staff</w:t>
            </w:r>
          </w:p>
        </w:tc>
      </w:tr>
      <w:tr w:rsidTr="006430D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417BE">
            <w:pPr>
              <w:pStyle w:val="BodyText"/>
              <w:rPr>
                <w:lang w:val="en-NZ"/>
              </w:rPr>
            </w:pPr>
            <w:r w:rsidRPr="006417BE">
              <w:t>Depending on the type of organisation concerned and the local terminology used, workplace proced</w:t>
            </w:r>
            <w:r w:rsidRPr="006417BE">
              <w:t>ures may include:</w:t>
            </w:r>
          </w:p>
        </w:tc>
        <w:tc>
          <w:tcPr>
            <w:tcW w:w="6154" w:type="dxa"/>
            <w:tcBorders>
              <w:top w:val="nil"/>
              <w:left w:val="nil"/>
              <w:bottom w:val="nil"/>
              <w:right w:val="nil"/>
            </w:tcBorders>
            <w:tcMar>
              <w:top w:w="0" w:type="dxa"/>
              <w:left w:w="62" w:type="dxa"/>
              <w:bottom w:w="0" w:type="dxa"/>
              <w:right w:w="62" w:type="dxa"/>
            </w:tcMar>
          </w:tcPr>
          <w:p w:rsidR="00000000" w:rsidRPr="006417BE" w:rsidP="006417BE">
            <w:pPr>
              <w:pStyle w:val="ListBullet"/>
            </w:pPr>
            <w:r w:rsidRPr="006417BE">
              <w:t>company procedures</w:t>
            </w:r>
          </w:p>
          <w:p w:rsidR="00000000" w:rsidRPr="006417BE" w:rsidP="006417BE">
            <w:pPr>
              <w:pStyle w:val="ListBullet"/>
            </w:pPr>
            <w:r w:rsidRPr="006417BE">
              <w:t>enterprise procedures</w:t>
            </w:r>
          </w:p>
          <w:p w:rsidR="00000000" w:rsidRPr="006417BE" w:rsidP="006417BE">
            <w:pPr>
              <w:pStyle w:val="ListBullet"/>
            </w:pPr>
            <w:r w:rsidRPr="006417BE">
              <w:t>organisational procedures</w:t>
            </w:r>
          </w:p>
          <w:p w:rsidR="00000000" w:rsidP="006417BE">
            <w:pPr>
              <w:pStyle w:val="ListBullet"/>
              <w:rPr>
                <w:lang w:val="en-NZ"/>
              </w:rPr>
            </w:pPr>
            <w:r w:rsidRPr="006417BE">
              <w:t>established procedures</w:t>
            </w:r>
          </w:p>
        </w:tc>
      </w:tr>
      <w:tr w:rsidTr="006430D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417BE">
            <w:pPr>
              <w:pStyle w:val="BodyText"/>
              <w:rPr>
                <w:lang w:val="en-NZ"/>
              </w:rPr>
            </w:pPr>
            <w:r w:rsidRPr="006417BE">
              <w:t>Information/documents may include:</w:t>
            </w:r>
          </w:p>
        </w:tc>
        <w:tc>
          <w:tcPr>
            <w:tcW w:w="6154" w:type="dxa"/>
            <w:tcBorders>
              <w:top w:val="nil"/>
              <w:left w:val="nil"/>
              <w:bottom w:val="nil"/>
              <w:right w:val="nil"/>
            </w:tcBorders>
            <w:tcMar>
              <w:top w:w="0" w:type="dxa"/>
              <w:left w:w="62" w:type="dxa"/>
              <w:bottom w:w="0" w:type="dxa"/>
              <w:right w:w="62" w:type="dxa"/>
            </w:tcMar>
          </w:tcPr>
          <w:p w:rsidR="00000000" w:rsidRPr="006417BE" w:rsidP="006417BE">
            <w:pPr>
              <w:pStyle w:val="ListBullet"/>
            </w:pPr>
            <w:r w:rsidRPr="006417BE">
              <w:t xml:space="preserve">applicable legislated rail safety requirements including acts and regulations from </w:t>
            </w:r>
            <w:r w:rsidRPr="006417BE">
              <w:t>each state and territory together with any nationally approved compliance codes and/or guidelines</w:t>
            </w:r>
          </w:p>
          <w:p w:rsidR="00000000" w:rsidRPr="006417BE" w:rsidP="006417BE">
            <w:pPr>
              <w:pStyle w:val="ListBullet"/>
            </w:pPr>
            <w:r w:rsidRPr="006417BE">
              <w:t>the Code of Practice for the Defined Interstate Rail Network in situations where marshalling operations are carried out on that network</w:t>
            </w:r>
          </w:p>
          <w:p w:rsidR="00000000" w:rsidRPr="006417BE" w:rsidP="006417BE">
            <w:pPr>
              <w:pStyle w:val="ListBullet"/>
            </w:pPr>
            <w:r w:rsidRPr="006417BE">
              <w:t>workplace rules and op</w:t>
            </w:r>
            <w:r w:rsidRPr="006417BE">
              <w:t>erating procedures</w:t>
            </w:r>
          </w:p>
          <w:p w:rsidR="00000000" w:rsidRPr="006417BE" w:rsidP="006417BE">
            <w:pPr>
              <w:pStyle w:val="ListBullet"/>
            </w:pPr>
            <w:r w:rsidRPr="006417BE">
              <w:t>train graphs</w:t>
            </w:r>
          </w:p>
          <w:p w:rsidR="00000000" w:rsidRPr="006417BE" w:rsidP="006417BE">
            <w:pPr>
              <w:pStyle w:val="ListBullet"/>
            </w:pPr>
            <w:r w:rsidRPr="006417BE">
              <w:t>timetables</w:t>
            </w:r>
          </w:p>
          <w:p w:rsidR="00000000" w:rsidRPr="006417BE" w:rsidP="006417BE">
            <w:pPr>
              <w:pStyle w:val="ListBullet"/>
            </w:pPr>
            <w:r w:rsidRPr="006417BE">
              <w:t>printouts from office machines</w:t>
            </w:r>
          </w:p>
          <w:p w:rsidR="00000000" w:rsidRPr="006417BE" w:rsidP="006417BE">
            <w:pPr>
              <w:pStyle w:val="ListBullet"/>
            </w:pPr>
            <w:r w:rsidRPr="006417BE">
              <w:t>displays on computer monitors</w:t>
            </w:r>
          </w:p>
          <w:p w:rsidR="00000000" w:rsidRPr="006417BE" w:rsidP="006417BE">
            <w:pPr>
              <w:pStyle w:val="ListBullet"/>
            </w:pPr>
            <w:r w:rsidRPr="006417BE">
              <w:t>hard copy documentation</w:t>
            </w:r>
          </w:p>
          <w:p w:rsidR="00000000" w:rsidRPr="006417BE" w:rsidP="006417BE">
            <w:pPr>
              <w:pStyle w:val="ListBullet"/>
            </w:pPr>
            <w:r w:rsidRPr="006417BE">
              <w:t>computer based data systems</w:t>
            </w:r>
          </w:p>
          <w:p w:rsidR="00000000" w:rsidRPr="006417BE" w:rsidP="006417BE">
            <w:pPr>
              <w:pStyle w:val="ListBullet"/>
            </w:pPr>
            <w:r w:rsidRPr="006417BE">
              <w:t>verbal and written information from relevant staff and management</w:t>
            </w:r>
          </w:p>
          <w:p w:rsidR="00000000" w:rsidP="006417BE">
            <w:pPr>
              <w:pStyle w:val="ListBullet"/>
              <w:rPr>
                <w:lang w:val="en-NZ"/>
              </w:rPr>
            </w:pPr>
            <w:r w:rsidRPr="006417BE">
              <w:t>conditions of service, legislation</w:t>
            </w:r>
            <w:r w:rsidRPr="006417BE">
              <w:t xml:space="preserve"> and industrial agreements including workplace agreements and awards</w:t>
            </w:r>
          </w:p>
        </w:tc>
      </w:tr>
      <w:tr w:rsidTr="006430D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417BE">
            <w:pPr>
              <w:pStyle w:val="BodyText"/>
              <w:rPr>
                <w:lang w:val="en-NZ"/>
              </w:rPr>
            </w:pPr>
            <w:r w:rsidRPr="006417BE">
              <w:t>Applicable procedures and codes may include:</w:t>
            </w:r>
          </w:p>
        </w:tc>
        <w:tc>
          <w:tcPr>
            <w:tcW w:w="6154" w:type="dxa"/>
            <w:tcBorders>
              <w:top w:val="nil"/>
              <w:left w:val="nil"/>
              <w:bottom w:val="nil"/>
              <w:right w:val="nil"/>
            </w:tcBorders>
            <w:tcMar>
              <w:top w:w="0" w:type="dxa"/>
              <w:left w:w="62" w:type="dxa"/>
              <w:bottom w:w="0" w:type="dxa"/>
              <w:right w:w="62" w:type="dxa"/>
            </w:tcMar>
          </w:tcPr>
          <w:p w:rsidR="00000000" w:rsidRPr="006417BE" w:rsidP="006417BE">
            <w:pPr>
              <w:pStyle w:val="ListBullet"/>
            </w:pPr>
            <w:r w:rsidRPr="006417BE">
              <w:t>relevant state/territory codes of practice and safeworking system requirements</w:t>
            </w:r>
          </w:p>
          <w:p w:rsidR="00000000" w:rsidRPr="006417BE" w:rsidP="006417BE">
            <w:pPr>
              <w:pStyle w:val="ListBullet"/>
            </w:pPr>
            <w:r w:rsidRPr="006417BE">
              <w:t>the Code of Practice for the Defined Interstate Rail Network in situations where marshalling operations are carried out on that network</w:t>
            </w:r>
          </w:p>
          <w:p w:rsidR="00000000" w:rsidRPr="006417BE" w:rsidP="006417BE">
            <w:pPr>
              <w:pStyle w:val="ListBullet"/>
            </w:pPr>
            <w:r w:rsidRPr="006417BE">
              <w:t>relevant Australian Standards and related requirements</w:t>
            </w:r>
          </w:p>
          <w:p w:rsidR="00000000" w:rsidRPr="006417BE" w:rsidP="006417BE">
            <w:pPr>
              <w:pStyle w:val="ListBullet"/>
            </w:pPr>
            <w:r w:rsidRPr="006417BE">
              <w:t>relevant state/territory OH&amp;S legislation</w:t>
            </w:r>
          </w:p>
          <w:p w:rsidR="00000000" w:rsidRPr="006417BE" w:rsidP="006417BE">
            <w:pPr>
              <w:pStyle w:val="ListBullet"/>
            </w:pPr>
            <w:r w:rsidRPr="006417BE">
              <w:t>relevant state/territor</w:t>
            </w:r>
            <w:r w:rsidRPr="006417BE">
              <w:t>y environmental protection legislation</w:t>
            </w:r>
          </w:p>
        </w:tc>
      </w:tr>
    </w:tbl>
    <w:p w:rsidR="006430DF" w:rsidP="006417BE">
      <w:pPr>
        <w:pStyle w:val="BodyText"/>
      </w:pPr>
    </w:p>
    <w:p w:rsidR="006430DF" w:rsidP="006417BE">
      <w:pPr>
        <w:pStyle w:val="BodyText"/>
      </w:pPr>
    </w:p>
    <w:p w:rsidR="00000000" w:rsidRPr="006417BE" w:rsidP="006417BE">
      <w:pPr>
        <w:pStyle w:val="Heading1"/>
      </w:pPr>
      <w:bookmarkStart w:id="12" w:name="O_295880"/>
      <w:bookmarkEnd w:id="12"/>
      <w:r w:rsidRPr="006417BE">
        <w:t>Unit Sector(s)</w:t>
      </w:r>
    </w:p>
    <w:p w:rsidR="00000000" w:rsidRPr="006417BE" w:rsidP="006417BE">
      <w:pPr>
        <w:pStyle w:val="BodyText"/>
      </w:pPr>
      <w:r w:rsidRPr="006417BE">
        <w:t>Not Applicable</w:t>
      </w:r>
    </w:p>
    <w:p w:rsidR="00000000" w:rsidRPr="006417BE" w:rsidP="006417BE">
      <w:pPr>
        <w:pStyle w:val="AllowPageBreak"/>
      </w:pPr>
    </w:p>
    <w:p w:rsidR="00000000" w:rsidRPr="006417BE" w:rsidP="006417BE">
      <w:pPr>
        <w:pStyle w:val="Heading1"/>
      </w:pPr>
      <w:bookmarkStart w:id="13" w:name="O_223821"/>
      <w:bookmarkEnd w:id="13"/>
      <w:r w:rsidRPr="006417BE">
        <w:t>Competency Field</w:t>
      </w:r>
    </w:p>
    <w:tbl>
      <w:tblPr>
        <w:tblW w:w="9640" w:type="dxa"/>
        <w:tblLayout w:type="fixed"/>
        <w:tblCellMar>
          <w:left w:w="62" w:type="dxa"/>
          <w:right w:w="62" w:type="dxa"/>
        </w:tblCellMar>
        <w:tblLook w:val="0000"/>
      </w:tblPr>
      <w:tblGrid>
        <w:gridCol w:w="2978"/>
        <w:gridCol w:w="6662"/>
      </w:tblGrid>
      <w:tr w:rsidTr="006430DF">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6417BE">
            <w:pPr>
              <w:pStyle w:val="BodyText"/>
              <w:rPr>
                <w:lang w:val="en-NZ"/>
              </w:rPr>
            </w:pPr>
            <w:r w:rsidRPr="006417BE">
              <w:rPr>
                <w:rStyle w:val="SpecialBold"/>
              </w:rPr>
              <w:t>Competency Field</w:t>
            </w:r>
            <w:r w:rsidRPr="006417BE">
              <w:t xml:space="preserve"> </w:t>
            </w:r>
          </w:p>
        </w:tc>
        <w:tc>
          <w:tcPr>
            <w:tcW w:w="6662" w:type="dxa"/>
            <w:tcBorders>
              <w:top w:val="nil"/>
              <w:left w:val="nil"/>
              <w:bottom w:val="nil"/>
              <w:right w:val="nil"/>
            </w:tcBorders>
            <w:tcMar>
              <w:top w:w="0" w:type="dxa"/>
              <w:left w:w="62" w:type="dxa"/>
              <w:bottom w:w="0" w:type="dxa"/>
              <w:right w:w="62" w:type="dxa"/>
            </w:tcMar>
          </w:tcPr>
          <w:p w:rsidR="00000000" w:rsidRPr="006417BE" w:rsidP="006417BE">
            <w:pPr>
              <w:pStyle w:val="BodyText"/>
            </w:pPr>
            <w:r w:rsidRPr="006417BE">
              <w:t>L - Resource Management</w:t>
            </w:r>
          </w:p>
        </w:tc>
      </w:tr>
    </w:tbl>
    <w:p w:rsidR="006430DF" w:rsidP="006417BE">
      <w:pPr>
        <w:pStyle w:val="BodyText"/>
      </w:pPr>
    </w:p>
    <w:p w:rsidR="006430DF" w:rsidP="006417BE">
      <w:pPr>
        <w:pStyle w:val="BodyText"/>
      </w:pPr>
    </w:p>
    <w:p w:rsidR="00000000" w:rsidRPr="006417BE" w:rsidP="006417BE"/>
    <w:sectPr w:rsidSect="006417B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17B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430DF" w:rsidP="006430D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17B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30DF" w:rsidP="006417B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6430DF" w:rsidP="006417B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6430DF" w:rsidP="006417B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17B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430DF" w:rsidP="006430D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17B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30DF" w:rsidP="006417BE">
    <w:pPr>
      <w:pStyle w:val="Header"/>
      <w:framePr w:wrap="around"/>
    </w:pPr>
    <w:r>
      <w:fldChar w:fldCharType="begin"/>
    </w:r>
    <w:r>
      <w:instrText xml:space="preserve"> TITLE   \* MERGEFORMAT </w:instrText>
    </w:r>
    <w:r>
      <w:fldChar w:fldCharType="separate"/>
    </w:r>
    <w:r>
      <w:t>TLIL3035A Allocate motive power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430DF" w:rsidP="006417B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F8A4C0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EC60EA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CCC033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17B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417BE"/>
    <w:pPr>
      <w:spacing w:before="360" w:after="60"/>
      <w:outlineLvl w:val="0"/>
    </w:pPr>
    <w:rPr>
      <w:sz w:val="32"/>
    </w:rPr>
  </w:style>
  <w:style w:type="paragraph" w:styleId="Heading2">
    <w:name w:val="heading 2"/>
    <w:basedOn w:val="HeadingBase"/>
    <w:next w:val="BodyText"/>
    <w:link w:val="Heading2Char"/>
    <w:qFormat/>
    <w:rsid w:val="006417BE"/>
    <w:pPr>
      <w:keepLines/>
      <w:spacing w:before="240" w:after="120"/>
      <w:outlineLvl w:val="1"/>
    </w:pPr>
    <w:rPr>
      <w:sz w:val="28"/>
      <w:szCs w:val="40"/>
    </w:rPr>
  </w:style>
  <w:style w:type="paragraph" w:styleId="Heading3">
    <w:name w:val="heading 3"/>
    <w:basedOn w:val="HeadingBase"/>
    <w:next w:val="BodyText"/>
    <w:link w:val="Heading3Char"/>
    <w:qFormat/>
    <w:rsid w:val="006417BE"/>
    <w:pPr>
      <w:spacing w:before="180" w:after="120"/>
      <w:outlineLvl w:val="2"/>
    </w:pPr>
    <w:rPr>
      <w:spacing w:val="-10"/>
      <w:kern w:val="32"/>
    </w:rPr>
  </w:style>
  <w:style w:type="paragraph" w:styleId="Heading4">
    <w:name w:val="heading 4"/>
    <w:basedOn w:val="HeadingBase"/>
    <w:next w:val="BodyText"/>
    <w:link w:val="Heading4Char"/>
    <w:qFormat/>
    <w:rsid w:val="006417BE"/>
    <w:pPr>
      <w:spacing w:before="160" w:after="120"/>
      <w:outlineLvl w:val="3"/>
    </w:pPr>
    <w:rPr>
      <w:sz w:val="22"/>
    </w:rPr>
  </w:style>
  <w:style w:type="paragraph" w:styleId="Heading5">
    <w:name w:val="heading 5"/>
    <w:basedOn w:val="HeadingBase"/>
    <w:next w:val="Normal"/>
    <w:link w:val="Heading5Char"/>
    <w:qFormat/>
    <w:rsid w:val="006417BE"/>
    <w:pPr>
      <w:spacing w:before="80"/>
      <w:outlineLvl w:val="4"/>
    </w:pPr>
    <w:rPr>
      <w:color w:val="918585"/>
      <w:sz w:val="20"/>
    </w:rPr>
  </w:style>
  <w:style w:type="paragraph" w:styleId="Heading6">
    <w:name w:val="heading 6"/>
    <w:basedOn w:val="HeadingBase"/>
    <w:next w:val="Normal"/>
    <w:link w:val="Heading6Char"/>
    <w:qFormat/>
    <w:rsid w:val="006417BE"/>
    <w:pPr>
      <w:spacing w:before="60"/>
      <w:outlineLvl w:val="5"/>
    </w:pPr>
    <w:rPr>
      <w:color w:val="918585"/>
      <w:sz w:val="20"/>
    </w:rPr>
  </w:style>
  <w:style w:type="paragraph" w:styleId="Heading7">
    <w:name w:val="heading 7"/>
    <w:basedOn w:val="Normal"/>
    <w:next w:val="Normal"/>
    <w:link w:val="Heading7Char"/>
    <w:qFormat/>
    <w:rsid w:val="006417BE"/>
    <w:pPr>
      <w:ind w:left="720"/>
      <w:outlineLvl w:val="6"/>
    </w:pPr>
    <w:rPr>
      <w:i/>
    </w:rPr>
  </w:style>
  <w:style w:type="paragraph" w:styleId="Heading8">
    <w:name w:val="heading 8"/>
    <w:basedOn w:val="Normal"/>
    <w:next w:val="Normal"/>
    <w:link w:val="Heading8Char"/>
    <w:qFormat/>
    <w:rsid w:val="006417BE"/>
    <w:pPr>
      <w:ind w:left="720"/>
      <w:outlineLvl w:val="7"/>
    </w:pPr>
    <w:rPr>
      <w:i/>
    </w:rPr>
  </w:style>
  <w:style w:type="paragraph" w:styleId="Heading9">
    <w:name w:val="heading 9"/>
    <w:basedOn w:val="Normal"/>
    <w:next w:val="Normal"/>
    <w:link w:val="Heading9Char"/>
    <w:qFormat/>
    <w:rsid w:val="006417BE"/>
    <w:pPr>
      <w:ind w:left="720"/>
      <w:outlineLvl w:val="8"/>
    </w:pPr>
    <w:rPr>
      <w:i/>
    </w:rPr>
  </w:style>
  <w:style w:type="character" w:default="1" w:styleId="DefaultParagraphFont">
    <w:name w:val="Default Paragraph Font"/>
    <w:uiPriority w:val="1"/>
    <w:unhideWhenUsed/>
    <w:rsid w:val="006417B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417BE"/>
  </w:style>
  <w:style w:type="character" w:customStyle="1" w:styleId="Heading1Char">
    <w:name w:val="Heading 1 Char"/>
    <w:basedOn w:val="DefaultParagraphFont"/>
    <w:link w:val="Heading1"/>
    <w:rsid w:val="006417BE"/>
    <w:rPr>
      <w:rFonts w:ascii="Times New Roman" w:eastAsia="Times New Roman" w:hAnsi="Times New Roman" w:cs="Times New Roman"/>
      <w:b/>
      <w:sz w:val="32"/>
      <w:szCs w:val="20"/>
      <w:lang w:eastAsia="en-US"/>
    </w:rPr>
  </w:style>
  <w:style w:type="paragraph" w:styleId="BodyText">
    <w:name w:val="Body Text"/>
    <w:basedOn w:val="Normal"/>
    <w:link w:val="BodyTextChar"/>
    <w:rsid w:val="006417B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417BE"/>
    <w:rPr>
      <w:rFonts w:ascii="Times New Roman" w:eastAsia="Times New Roman" w:hAnsi="Times New Roman" w:cs="Times New Roman"/>
      <w:sz w:val="24"/>
      <w:lang w:val="en-US" w:eastAsia="en-US"/>
    </w:rPr>
  </w:style>
  <w:style w:type="paragraph" w:styleId="Footer">
    <w:name w:val="footer"/>
    <w:basedOn w:val="Normal"/>
    <w:link w:val="FooterChar"/>
    <w:rsid w:val="006417B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417BE"/>
    <w:rPr>
      <w:rFonts w:ascii="Times New Roman" w:eastAsia="Times New Roman" w:hAnsi="Times New Roman" w:cs="Times New Roman"/>
      <w:sz w:val="16"/>
      <w:lang w:val="en-US" w:eastAsia="en-US"/>
    </w:rPr>
  </w:style>
  <w:style w:type="paragraph" w:styleId="List">
    <w:name w:val="List"/>
    <w:basedOn w:val="BodyText"/>
    <w:next w:val="BodyText"/>
    <w:rsid w:val="006417BE"/>
    <w:pPr>
      <w:tabs>
        <w:tab w:val="left" w:pos="340"/>
      </w:tabs>
      <w:spacing w:before="60" w:after="60"/>
      <w:ind w:left="340" w:hanging="340"/>
    </w:pPr>
  </w:style>
  <w:style w:type="paragraph" w:styleId="ListBullet">
    <w:name w:val="List Bullet"/>
    <w:basedOn w:val="List"/>
    <w:rsid w:val="006417BE"/>
    <w:pPr>
      <w:numPr>
        <w:numId w:val="13"/>
      </w:numPr>
      <w:tabs>
        <w:tab w:val="clear" w:pos="340"/>
      </w:tabs>
      <w:spacing w:before="40" w:after="40"/>
    </w:pPr>
  </w:style>
  <w:style w:type="character" w:customStyle="1" w:styleId="SpecialBold">
    <w:name w:val="Special Bold"/>
    <w:basedOn w:val="DefaultParagraphFont"/>
    <w:rsid w:val="006417BE"/>
    <w:rPr>
      <w:b/>
      <w:spacing w:val="0"/>
    </w:rPr>
  </w:style>
  <w:style w:type="paragraph" w:styleId="ListBullet2">
    <w:name w:val="List Bullet 2"/>
    <w:basedOn w:val="List2"/>
    <w:rsid w:val="006417BE"/>
    <w:pPr>
      <w:numPr>
        <w:numId w:val="14"/>
      </w:numPr>
      <w:tabs>
        <w:tab w:val="clear" w:pos="680"/>
      </w:tabs>
    </w:pPr>
  </w:style>
  <w:style w:type="paragraph" w:styleId="Header">
    <w:name w:val="header"/>
    <w:basedOn w:val="Normal"/>
    <w:link w:val="HeaderChar"/>
    <w:rsid w:val="006417B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417B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417BE"/>
    <w:pPr>
      <w:spacing w:before="240" w:after="120"/>
      <w:outlineLvl w:val="0"/>
    </w:pPr>
    <w:rPr>
      <w:rFonts w:ascii="Times New Roman" w:hAnsi="Times New Roman"/>
      <w:b/>
      <w:sz w:val="28"/>
    </w:rPr>
  </w:style>
  <w:style w:type="paragraph" w:customStyle="1" w:styleId="AllowPageBreak">
    <w:name w:val="AllowPageBreak"/>
    <w:rsid w:val="006417B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417B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417B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417B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417B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417B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417B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417B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417BE"/>
    <w:rPr>
      <w:rFonts w:ascii="Courier New" w:eastAsia="Times New Roman" w:hAnsi="Courier New" w:cs="Times New Roman"/>
      <w:i/>
      <w:szCs w:val="20"/>
      <w:lang w:val="en-US" w:eastAsia="en-US"/>
    </w:rPr>
  </w:style>
  <w:style w:type="paragraph" w:customStyle="1" w:styleId="HeadingBase">
    <w:name w:val="Heading Base"/>
    <w:rsid w:val="006417B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417BE"/>
    <w:pPr>
      <w:tabs>
        <w:tab w:val="right" w:leader="dot" w:pos="9072"/>
      </w:tabs>
      <w:ind w:left="567"/>
    </w:pPr>
    <w:rPr>
      <w:szCs w:val="22"/>
    </w:rPr>
  </w:style>
  <w:style w:type="paragraph" w:customStyle="1" w:styleId="TOCBase">
    <w:name w:val="TOC Base"/>
    <w:rsid w:val="006417B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417BE"/>
    <w:pPr>
      <w:tabs>
        <w:tab w:val="right" w:leader="dot" w:pos="9072"/>
      </w:tabs>
      <w:spacing w:before="40" w:after="40"/>
      <w:ind w:left="284"/>
    </w:pPr>
    <w:rPr>
      <w:rFonts w:ascii="Times New Roman" w:hAnsi="Times New Roman"/>
    </w:rPr>
  </w:style>
  <w:style w:type="paragraph" w:styleId="TOC1">
    <w:name w:val="toc 1"/>
    <w:basedOn w:val="TOCBase"/>
    <w:next w:val="Normal"/>
    <w:rsid w:val="006417B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417BE"/>
    <w:pPr>
      <w:spacing w:before="5040"/>
      <w:jc w:val="center"/>
    </w:pPr>
    <w:rPr>
      <w:sz w:val="48"/>
      <w:szCs w:val="72"/>
      <w:lang w:val="en-US"/>
    </w:rPr>
  </w:style>
  <w:style w:type="character" w:customStyle="1" w:styleId="TitleChar">
    <w:name w:val="Title Char"/>
    <w:basedOn w:val="DefaultParagraphFont"/>
    <w:link w:val="Title"/>
    <w:rsid w:val="006417B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417BE"/>
    <w:pPr>
      <w:tabs>
        <w:tab w:val="left" w:pos="3600"/>
        <w:tab w:val="left" w:pos="3958"/>
      </w:tabs>
    </w:pPr>
  </w:style>
  <w:style w:type="paragraph" w:customStyle="1" w:styleId="Note">
    <w:name w:val="Note"/>
    <w:basedOn w:val="BodyText"/>
    <w:rsid w:val="006417B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417BE"/>
    <w:pPr>
      <w:framePr w:wrap="auto" w:hAnchor="text" w:y="6049"/>
    </w:pPr>
    <w:rPr>
      <w:color w:val="000000"/>
      <w:sz w:val="40"/>
    </w:rPr>
  </w:style>
  <w:style w:type="paragraph" w:customStyle="1" w:styleId="TOCTitle">
    <w:name w:val="TOCTitle"/>
    <w:basedOn w:val="Heading1"/>
    <w:rsid w:val="006417BE"/>
    <w:pPr>
      <w:spacing w:after="240"/>
      <w:jc w:val="center"/>
      <w:outlineLvl w:val="9"/>
    </w:pPr>
    <w:rPr>
      <w:caps/>
    </w:rPr>
  </w:style>
  <w:style w:type="paragraph" w:customStyle="1" w:styleId="Version">
    <w:name w:val="Version"/>
    <w:rsid w:val="006417B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417BE"/>
    <w:pPr>
      <w:keepNext w:val="0"/>
      <w:tabs>
        <w:tab w:val="right" w:pos="4176"/>
      </w:tabs>
      <w:ind w:left="198" w:hanging="198"/>
    </w:pPr>
    <w:rPr>
      <w:rFonts w:ascii="Garamond" w:hAnsi="Garamond"/>
    </w:rPr>
  </w:style>
  <w:style w:type="paragraph" w:styleId="IndexHeading">
    <w:name w:val="index heading"/>
    <w:basedOn w:val="Normal"/>
    <w:next w:val="Index1"/>
    <w:semiHidden/>
    <w:rsid w:val="006417BE"/>
    <w:pPr>
      <w:spacing w:before="120" w:after="120"/>
    </w:pPr>
    <w:rPr>
      <w:rFonts w:ascii="Arial" w:hAnsi="Arial"/>
      <w:b/>
      <w:color w:val="918585"/>
      <w:sz w:val="24"/>
    </w:rPr>
  </w:style>
  <w:style w:type="paragraph" w:customStyle="1" w:styleId="Chapter">
    <w:name w:val="Chapter"/>
    <w:basedOn w:val="Normal"/>
    <w:rsid w:val="006417BE"/>
    <w:pPr>
      <w:spacing w:before="240"/>
    </w:pPr>
    <w:rPr>
      <w:rFonts w:ascii="Times New Roman" w:hAnsi="Times New Roman"/>
      <w:smallCaps/>
      <w:spacing w:val="80"/>
      <w:sz w:val="28"/>
    </w:rPr>
  </w:style>
  <w:style w:type="paragraph" w:customStyle="1" w:styleId="InChapter">
    <w:name w:val="InChapter"/>
    <w:basedOn w:val="Heading3"/>
    <w:rsid w:val="006417BE"/>
    <w:pPr>
      <w:spacing w:after="240"/>
      <w:outlineLvl w:val="9"/>
    </w:pPr>
    <w:rPr>
      <w:noProof/>
    </w:rPr>
  </w:style>
  <w:style w:type="paragraph" w:styleId="Index2">
    <w:name w:val="index 2"/>
    <w:basedOn w:val="Normal"/>
    <w:next w:val="Normal"/>
    <w:semiHidden/>
    <w:rsid w:val="006417BE"/>
    <w:pPr>
      <w:tabs>
        <w:tab w:val="right" w:pos="4176"/>
      </w:tabs>
      <w:ind w:left="568" w:hanging="284"/>
    </w:pPr>
    <w:rPr>
      <w:rFonts w:ascii="Garamond" w:hAnsi="Garamond"/>
    </w:rPr>
  </w:style>
  <w:style w:type="paragraph" w:customStyle="1" w:styleId="Byline">
    <w:name w:val="Byline"/>
    <w:rsid w:val="006417B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417BE"/>
    <w:pPr>
      <w:tabs>
        <w:tab w:val="clear" w:pos="3600"/>
        <w:tab w:val="clear" w:pos="3958"/>
      </w:tabs>
      <w:jc w:val="right"/>
    </w:pPr>
  </w:style>
  <w:style w:type="character" w:styleId="Emphasis">
    <w:name w:val="Emphasis"/>
    <w:basedOn w:val="DefaultParagraphFont"/>
    <w:qFormat/>
    <w:rsid w:val="006417BE"/>
    <w:rPr>
      <w:i/>
    </w:rPr>
  </w:style>
  <w:style w:type="paragraph" w:styleId="Caption">
    <w:name w:val="caption"/>
    <w:basedOn w:val="BodyText"/>
    <w:next w:val="Normal"/>
    <w:qFormat/>
    <w:rsid w:val="006417BE"/>
    <w:pPr>
      <w:framePr w:w="2268" w:hSpace="181" w:vSpace="181" w:wrap="around" w:vAnchor="text" w:hAnchor="page" w:x="1135" w:y="285" w:anchorLock="1"/>
    </w:pPr>
    <w:rPr>
      <w:i/>
    </w:rPr>
  </w:style>
  <w:style w:type="paragraph" w:customStyle="1" w:styleId="MiniTOCTitle">
    <w:name w:val="MiniTOCTitle"/>
    <w:basedOn w:val="Heading4"/>
    <w:rsid w:val="006417BE"/>
    <w:pPr>
      <w:spacing w:before="240"/>
      <w:outlineLvl w:val="9"/>
    </w:pPr>
    <w:rPr>
      <w:noProof/>
      <w:sz w:val="24"/>
    </w:rPr>
  </w:style>
  <w:style w:type="paragraph" w:customStyle="1" w:styleId="MiniTOCItem">
    <w:name w:val="MiniTOCItem"/>
    <w:basedOn w:val="ListBullet"/>
    <w:rsid w:val="006417BE"/>
    <w:pPr>
      <w:numPr>
        <w:numId w:val="0"/>
      </w:numPr>
      <w:tabs>
        <w:tab w:val="right" w:leader="dot" w:pos="6521"/>
      </w:tabs>
      <w:spacing w:before="0" w:after="0"/>
    </w:pPr>
  </w:style>
  <w:style w:type="paragraph" w:customStyle="1" w:styleId="TOFTitle">
    <w:name w:val="TOFTitle"/>
    <w:basedOn w:val="TOCTitle"/>
    <w:rsid w:val="006417BE"/>
  </w:style>
  <w:style w:type="paragraph" w:styleId="TableofFigures">
    <w:name w:val="table of figures"/>
    <w:basedOn w:val="Normal"/>
    <w:next w:val="Normal"/>
    <w:semiHidden/>
    <w:rsid w:val="006417BE"/>
    <w:pPr>
      <w:tabs>
        <w:tab w:val="right" w:leader="dot" w:pos="9072"/>
      </w:tabs>
      <w:ind w:left="970" w:hanging="403"/>
    </w:pPr>
    <w:rPr>
      <w:rFonts w:ascii="Times New Roman" w:hAnsi="Times New Roman"/>
      <w:b/>
    </w:rPr>
  </w:style>
  <w:style w:type="paragraph" w:styleId="ListNumber">
    <w:name w:val="List Number"/>
    <w:basedOn w:val="List"/>
    <w:rsid w:val="006417BE"/>
    <w:pPr>
      <w:numPr>
        <w:numId w:val="11"/>
      </w:numPr>
    </w:pPr>
  </w:style>
  <w:style w:type="character" w:customStyle="1" w:styleId="WingdingSymbols">
    <w:name w:val="Wingding Symbols"/>
    <w:rsid w:val="006417BE"/>
    <w:rPr>
      <w:rFonts w:ascii="Wingdings" w:hAnsi="Wingdings"/>
    </w:rPr>
  </w:style>
  <w:style w:type="paragraph" w:customStyle="1" w:styleId="TableHeading">
    <w:name w:val="Table Heading"/>
    <w:basedOn w:val="HeadingBase"/>
    <w:rsid w:val="006417BE"/>
    <w:pPr>
      <w:keepLines/>
      <w:pBdr>
        <w:bottom w:val="single" w:sz="6" w:space="1" w:color="918585"/>
      </w:pBdr>
      <w:spacing w:before="240"/>
    </w:pPr>
  </w:style>
  <w:style w:type="character" w:customStyle="1" w:styleId="HotSpot">
    <w:name w:val="HotSpot"/>
    <w:rsid w:val="006417BE"/>
    <w:rPr>
      <w:color w:val="0033CC"/>
      <w:u w:val="none"/>
    </w:rPr>
  </w:style>
  <w:style w:type="paragraph" w:customStyle="1" w:styleId="BodyTextRight">
    <w:name w:val="Body Text Right"/>
    <w:basedOn w:val="BodyText"/>
    <w:rsid w:val="006417BE"/>
    <w:pPr>
      <w:spacing w:before="0" w:after="0"/>
      <w:jc w:val="right"/>
    </w:pPr>
  </w:style>
  <w:style w:type="paragraph" w:styleId="Index3">
    <w:name w:val="index 3"/>
    <w:basedOn w:val="ListNumber2"/>
    <w:next w:val="Normal"/>
    <w:semiHidden/>
    <w:rsid w:val="006417BE"/>
    <w:pPr>
      <w:numPr>
        <w:numId w:val="0"/>
      </w:numPr>
      <w:tabs>
        <w:tab w:val="right" w:leader="dot" w:pos="4176"/>
      </w:tabs>
    </w:pPr>
  </w:style>
  <w:style w:type="paragraph" w:styleId="ListNumber2">
    <w:name w:val="List Number 2"/>
    <w:basedOn w:val="List2"/>
    <w:rsid w:val="006417BE"/>
    <w:pPr>
      <w:numPr>
        <w:numId w:val="10"/>
      </w:numPr>
      <w:tabs>
        <w:tab w:val="clear" w:pos="1060"/>
      </w:tabs>
    </w:pPr>
  </w:style>
  <w:style w:type="paragraph" w:customStyle="1" w:styleId="MarginNote">
    <w:name w:val="Margin Note"/>
    <w:basedOn w:val="BodyText"/>
    <w:rsid w:val="006417B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417B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417B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417BE"/>
    <w:rPr>
      <w:sz w:val="32"/>
    </w:rPr>
  </w:style>
  <w:style w:type="paragraph" w:customStyle="1" w:styleId="HeadingProcedure">
    <w:name w:val="Heading Procedure"/>
    <w:basedOn w:val="HeadingBase"/>
    <w:next w:val="Normal"/>
    <w:rsid w:val="006417BE"/>
    <w:pPr>
      <w:tabs>
        <w:tab w:val="left" w:pos="0"/>
      </w:tabs>
      <w:spacing w:before="120" w:after="60"/>
    </w:pPr>
    <w:rPr>
      <w:i/>
      <w:color w:val="918585"/>
      <w:sz w:val="22"/>
    </w:rPr>
  </w:style>
  <w:style w:type="paragraph" w:customStyle="1" w:styleId="TableBodyText">
    <w:name w:val="Table Body Text"/>
    <w:basedOn w:val="BodyText"/>
    <w:rsid w:val="006417BE"/>
    <w:pPr>
      <w:spacing w:before="60" w:after="60"/>
    </w:pPr>
  </w:style>
  <w:style w:type="paragraph" w:styleId="ListContinue">
    <w:name w:val="List Continue"/>
    <w:basedOn w:val="List"/>
    <w:rsid w:val="006417BE"/>
    <w:pPr>
      <w:ind w:firstLine="0"/>
    </w:pPr>
  </w:style>
  <w:style w:type="paragraph" w:customStyle="1" w:styleId="ListNote">
    <w:name w:val="List Note"/>
    <w:basedOn w:val="List"/>
    <w:rsid w:val="006417BE"/>
    <w:pPr>
      <w:pBdr>
        <w:top w:val="single" w:sz="6" w:space="2" w:color="918585"/>
        <w:bottom w:val="single" w:sz="6" w:space="2" w:color="918585"/>
      </w:pBdr>
      <w:tabs>
        <w:tab w:val="left" w:pos="1021"/>
      </w:tabs>
      <w:ind w:firstLine="0"/>
    </w:pPr>
  </w:style>
  <w:style w:type="paragraph" w:customStyle="1" w:styleId="Warning">
    <w:name w:val="Warning"/>
    <w:basedOn w:val="BodyText"/>
    <w:rsid w:val="006417BE"/>
    <w:pPr>
      <w:shd w:val="clear" w:color="auto" w:fill="D9D9D9"/>
      <w:tabs>
        <w:tab w:val="left" w:pos="992"/>
      </w:tabs>
      <w:ind w:left="119" w:right="119"/>
    </w:pPr>
    <w:rPr>
      <w:sz w:val="20"/>
    </w:rPr>
  </w:style>
  <w:style w:type="paragraph" w:customStyle="1" w:styleId="MarginIcons">
    <w:name w:val="Margin Icons"/>
    <w:basedOn w:val="BodyText"/>
    <w:rsid w:val="006417B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417BE"/>
    <w:rPr>
      <w:rFonts w:ascii="Courier New" w:hAnsi="Courier New"/>
    </w:rPr>
  </w:style>
  <w:style w:type="paragraph" w:customStyle="1" w:styleId="NoteBullet">
    <w:name w:val="Note Bullet"/>
    <w:basedOn w:val="Note"/>
    <w:rsid w:val="006417BE"/>
    <w:pPr>
      <w:tabs>
        <w:tab w:val="clear" w:pos="680"/>
      </w:tabs>
      <w:spacing w:before="60" w:after="60"/>
    </w:pPr>
  </w:style>
  <w:style w:type="paragraph" w:customStyle="1" w:styleId="SubHeading2">
    <w:name w:val="SubHeading2"/>
    <w:basedOn w:val="HeadingBase"/>
    <w:rsid w:val="006417BE"/>
    <w:pPr>
      <w:spacing w:before="240" w:after="60"/>
    </w:pPr>
    <w:rPr>
      <w:sz w:val="20"/>
    </w:rPr>
  </w:style>
  <w:style w:type="paragraph" w:customStyle="1" w:styleId="SubHeading1">
    <w:name w:val="SubHeading1"/>
    <w:basedOn w:val="HeadingBase"/>
    <w:rsid w:val="006417BE"/>
    <w:pPr>
      <w:spacing w:before="240" w:after="60"/>
    </w:pPr>
    <w:rPr>
      <w:color w:val="918585"/>
      <w:sz w:val="22"/>
    </w:rPr>
  </w:style>
  <w:style w:type="paragraph" w:customStyle="1" w:styleId="SideHeading">
    <w:name w:val="Side Heading"/>
    <w:basedOn w:val="HeadingBase"/>
    <w:rsid w:val="006417B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417BE"/>
    <w:pPr>
      <w:numPr>
        <w:numId w:val="12"/>
      </w:numPr>
    </w:pPr>
  </w:style>
  <w:style w:type="paragraph" w:styleId="PlainText">
    <w:name w:val="Plain Text"/>
    <w:basedOn w:val="Normal"/>
    <w:link w:val="PlainTextChar"/>
    <w:rsid w:val="006417BE"/>
    <w:rPr>
      <w:sz w:val="20"/>
    </w:rPr>
  </w:style>
  <w:style w:type="character" w:customStyle="1" w:styleId="PlainTextChar">
    <w:name w:val="Plain Text Char"/>
    <w:basedOn w:val="DefaultParagraphFont"/>
    <w:link w:val="PlainText"/>
    <w:rsid w:val="006417B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417BE"/>
    <w:rPr>
      <w:b/>
      <w:smallCaps/>
    </w:rPr>
  </w:style>
  <w:style w:type="paragraph" w:customStyle="1" w:styleId="TableListNumber">
    <w:name w:val="Table List Number"/>
    <w:basedOn w:val="ListNumber"/>
    <w:rsid w:val="006417BE"/>
    <w:pPr>
      <w:numPr>
        <w:numId w:val="0"/>
      </w:numPr>
    </w:pPr>
  </w:style>
  <w:style w:type="paragraph" w:styleId="TOC4">
    <w:name w:val="toc 4"/>
    <w:basedOn w:val="TOCBase"/>
    <w:next w:val="Normal"/>
    <w:semiHidden/>
    <w:rsid w:val="006417BE"/>
    <w:pPr>
      <w:tabs>
        <w:tab w:val="right" w:leader="dot" w:pos="9071"/>
      </w:tabs>
      <w:ind w:left="1701"/>
    </w:pPr>
  </w:style>
  <w:style w:type="paragraph" w:customStyle="1" w:styleId="ListAlpha">
    <w:name w:val="List Alpha"/>
    <w:basedOn w:val="List"/>
    <w:rsid w:val="006417BE"/>
    <w:pPr>
      <w:numPr>
        <w:numId w:val="9"/>
      </w:numPr>
    </w:pPr>
  </w:style>
  <w:style w:type="paragraph" w:customStyle="1" w:styleId="ListAlpha2">
    <w:name w:val="List Alpha 2"/>
    <w:basedOn w:val="List2"/>
    <w:rsid w:val="006417BE"/>
    <w:pPr>
      <w:numPr>
        <w:numId w:val="8"/>
      </w:numPr>
    </w:pPr>
  </w:style>
  <w:style w:type="paragraph" w:styleId="List2">
    <w:name w:val="List 2"/>
    <w:basedOn w:val="BodyText"/>
    <w:rsid w:val="006417BE"/>
    <w:pPr>
      <w:tabs>
        <w:tab w:val="left" w:pos="680"/>
      </w:tabs>
      <w:spacing w:before="60" w:after="60"/>
      <w:ind w:left="680" w:hanging="340"/>
    </w:pPr>
  </w:style>
  <w:style w:type="paragraph" w:styleId="List3">
    <w:name w:val="List 3"/>
    <w:basedOn w:val="BodyText"/>
    <w:rsid w:val="006417BE"/>
    <w:pPr>
      <w:tabs>
        <w:tab w:val="left" w:pos="1021"/>
      </w:tabs>
      <w:spacing w:before="60" w:after="60"/>
      <w:ind w:left="1020" w:hanging="340"/>
    </w:pPr>
  </w:style>
  <w:style w:type="paragraph" w:styleId="List4">
    <w:name w:val="List 4"/>
    <w:basedOn w:val="BodyText"/>
    <w:rsid w:val="006417BE"/>
    <w:pPr>
      <w:tabs>
        <w:tab w:val="left" w:pos="1361"/>
      </w:tabs>
      <w:spacing w:before="60" w:after="60"/>
      <w:ind w:left="1361" w:hanging="340"/>
    </w:pPr>
  </w:style>
  <w:style w:type="paragraph" w:styleId="List5">
    <w:name w:val="List 5"/>
    <w:basedOn w:val="BodyText"/>
    <w:rsid w:val="006417BE"/>
    <w:pPr>
      <w:tabs>
        <w:tab w:val="left" w:pos="1701"/>
      </w:tabs>
      <w:spacing w:before="60" w:after="60"/>
      <w:ind w:left="1701" w:hanging="340"/>
    </w:pPr>
  </w:style>
  <w:style w:type="paragraph" w:styleId="ListBullet3">
    <w:name w:val="List Bullet 3"/>
    <w:basedOn w:val="List3"/>
    <w:rsid w:val="006417BE"/>
    <w:pPr>
      <w:numPr>
        <w:numId w:val="15"/>
      </w:numPr>
      <w:tabs>
        <w:tab w:val="clear" w:pos="1021"/>
      </w:tabs>
      <w:ind w:left="1037" w:hanging="357"/>
    </w:pPr>
  </w:style>
  <w:style w:type="paragraph" w:styleId="ListBullet4">
    <w:name w:val="List Bullet 4"/>
    <w:basedOn w:val="List4"/>
    <w:rsid w:val="006417BE"/>
    <w:pPr>
      <w:numPr>
        <w:numId w:val="3"/>
      </w:numPr>
    </w:pPr>
  </w:style>
  <w:style w:type="paragraph" w:styleId="ListBullet5">
    <w:name w:val="List Bullet 5"/>
    <w:basedOn w:val="List5"/>
    <w:rsid w:val="006417BE"/>
    <w:pPr>
      <w:numPr>
        <w:numId w:val="4"/>
      </w:numPr>
    </w:pPr>
  </w:style>
  <w:style w:type="paragraph" w:styleId="ListContinue2">
    <w:name w:val="List Continue 2"/>
    <w:basedOn w:val="List2"/>
    <w:rsid w:val="006417BE"/>
    <w:pPr>
      <w:ind w:firstLine="0"/>
    </w:pPr>
  </w:style>
  <w:style w:type="paragraph" w:styleId="ListContinue3">
    <w:name w:val="List Continue 3"/>
    <w:basedOn w:val="List3"/>
    <w:rsid w:val="006417BE"/>
    <w:pPr>
      <w:ind w:left="1021" w:firstLine="0"/>
    </w:pPr>
  </w:style>
  <w:style w:type="paragraph" w:styleId="ListContinue4">
    <w:name w:val="List Continue 4"/>
    <w:basedOn w:val="List4"/>
    <w:rsid w:val="006417BE"/>
    <w:pPr>
      <w:ind w:firstLine="0"/>
    </w:pPr>
  </w:style>
  <w:style w:type="paragraph" w:styleId="ListContinue5">
    <w:name w:val="List Continue 5"/>
    <w:basedOn w:val="List5"/>
    <w:rsid w:val="006417BE"/>
    <w:pPr>
      <w:ind w:firstLine="0"/>
    </w:pPr>
  </w:style>
  <w:style w:type="paragraph" w:styleId="ListNumber3">
    <w:name w:val="List Number 3"/>
    <w:basedOn w:val="List3"/>
    <w:rsid w:val="006417BE"/>
    <w:pPr>
      <w:numPr>
        <w:numId w:val="5"/>
      </w:numPr>
    </w:pPr>
  </w:style>
  <w:style w:type="paragraph" w:styleId="ListNumber4">
    <w:name w:val="List Number 4"/>
    <w:basedOn w:val="List4"/>
    <w:rsid w:val="006417BE"/>
    <w:pPr>
      <w:numPr>
        <w:numId w:val="6"/>
      </w:numPr>
    </w:pPr>
  </w:style>
  <w:style w:type="paragraph" w:styleId="ListNumber5">
    <w:name w:val="List Number 5"/>
    <w:basedOn w:val="List5"/>
    <w:rsid w:val="006417BE"/>
    <w:pPr>
      <w:numPr>
        <w:numId w:val="7"/>
      </w:numPr>
    </w:pPr>
  </w:style>
  <w:style w:type="paragraph" w:styleId="BlockText">
    <w:name w:val="Block Text"/>
    <w:basedOn w:val="Normal"/>
    <w:rsid w:val="006417BE"/>
    <w:pPr>
      <w:spacing w:after="120"/>
      <w:ind w:left="1440" w:right="1440"/>
    </w:pPr>
  </w:style>
  <w:style w:type="character" w:customStyle="1" w:styleId="Subscript">
    <w:name w:val="Subscript"/>
    <w:basedOn w:val="DefaultParagraphFont"/>
    <w:rsid w:val="006417BE"/>
    <w:rPr>
      <w:sz w:val="16"/>
      <w:vertAlign w:val="subscript"/>
    </w:rPr>
  </w:style>
  <w:style w:type="character" w:customStyle="1" w:styleId="Superscript">
    <w:name w:val="Superscript"/>
    <w:basedOn w:val="DefaultParagraphFont"/>
    <w:rsid w:val="006417BE"/>
    <w:rPr>
      <w:sz w:val="16"/>
      <w:vertAlign w:val="superscript"/>
    </w:rPr>
  </w:style>
  <w:style w:type="character" w:customStyle="1" w:styleId="Symbols">
    <w:name w:val="Symbols"/>
    <w:basedOn w:val="DefaultParagraphFont"/>
    <w:rsid w:val="006417BE"/>
    <w:rPr>
      <w:rFonts w:ascii="Symbol" w:hAnsi="Symbol"/>
    </w:rPr>
  </w:style>
  <w:style w:type="character" w:customStyle="1" w:styleId="MenuOptions">
    <w:name w:val="Menu Options"/>
    <w:basedOn w:val="DefaultParagraphFont"/>
    <w:rsid w:val="006417BE"/>
    <w:rPr>
      <w:rFonts w:ascii="Arial Narrow" w:hAnsi="Arial Narrow"/>
      <w:smallCaps/>
    </w:rPr>
  </w:style>
  <w:style w:type="character" w:customStyle="1" w:styleId="Buttons">
    <w:name w:val="Buttons"/>
    <w:basedOn w:val="DefaultParagraphFont"/>
    <w:rsid w:val="006417BE"/>
    <w:rPr>
      <w:b/>
    </w:rPr>
  </w:style>
  <w:style w:type="character" w:customStyle="1" w:styleId="Underlined">
    <w:name w:val="Underlined"/>
    <w:basedOn w:val="DefaultParagraphFont"/>
    <w:rsid w:val="006417BE"/>
    <w:rPr>
      <w:u w:val="single"/>
    </w:rPr>
  </w:style>
  <w:style w:type="paragraph" w:customStyle="1" w:styleId="TableBodyTextRight">
    <w:name w:val="Table Body Text Right"/>
    <w:basedOn w:val="TableBodyText"/>
    <w:rsid w:val="006417BE"/>
    <w:pPr>
      <w:widowControl w:val="0"/>
      <w:autoSpaceDE w:val="0"/>
      <w:autoSpaceDN w:val="0"/>
      <w:adjustRightInd w:val="0"/>
      <w:jc w:val="right"/>
    </w:pPr>
    <w:rPr>
      <w:rFonts w:cs="Arial"/>
      <w:szCs w:val="18"/>
    </w:rPr>
  </w:style>
  <w:style w:type="paragraph" w:customStyle="1" w:styleId="CopyrightText">
    <w:name w:val="Copyright Text"/>
    <w:basedOn w:val="BodyText"/>
    <w:rsid w:val="006417BE"/>
    <w:rPr>
      <w:sz w:val="18"/>
    </w:rPr>
  </w:style>
  <w:style w:type="paragraph" w:customStyle="1" w:styleId="BodySmallRight">
    <w:name w:val="Body Small Right"/>
    <w:basedOn w:val="BodyTextRight"/>
    <w:rsid w:val="006417BE"/>
    <w:rPr>
      <w:sz w:val="18"/>
      <w:szCs w:val="18"/>
    </w:rPr>
  </w:style>
  <w:style w:type="paragraph" w:customStyle="1" w:styleId="MarginEdition">
    <w:name w:val="Margin Edition"/>
    <w:basedOn w:val="MarginNote"/>
    <w:rsid w:val="006417BE"/>
    <w:pPr>
      <w:spacing w:before="0" w:after="0"/>
    </w:pPr>
    <w:rPr>
      <w:rFonts w:ascii="Times New Roman" w:hAnsi="Times New Roman"/>
      <w:color w:val="999999"/>
    </w:rPr>
  </w:style>
  <w:style w:type="paragraph" w:customStyle="1" w:styleId="Spacer">
    <w:name w:val="Spacer"/>
    <w:basedOn w:val="Normal"/>
    <w:rsid w:val="006417BE"/>
    <w:rPr>
      <w:sz w:val="2"/>
      <w:szCs w:val="2"/>
    </w:rPr>
  </w:style>
  <w:style w:type="character" w:customStyle="1" w:styleId="Small">
    <w:name w:val="Small"/>
    <w:basedOn w:val="DefaultParagraphFont"/>
    <w:rsid w:val="006417BE"/>
    <w:rPr>
      <w:sz w:val="16"/>
    </w:rPr>
  </w:style>
  <w:style w:type="paragraph" w:customStyle="1" w:styleId="WideTable">
    <w:name w:val="Wide Table"/>
    <w:basedOn w:val="Normal"/>
    <w:rsid w:val="006417BE"/>
    <w:pPr>
      <w:ind w:left="-1418"/>
    </w:pPr>
    <w:rPr>
      <w:sz w:val="2"/>
      <w:szCs w:val="2"/>
    </w:rPr>
  </w:style>
  <w:style w:type="character" w:styleId="PageNumber">
    <w:name w:val="page number"/>
    <w:basedOn w:val="DefaultParagraphFont"/>
    <w:rsid w:val="006417BE"/>
  </w:style>
  <w:style w:type="paragraph" w:styleId="Quote">
    <w:name w:val="Quote"/>
    <w:basedOn w:val="Heading1"/>
    <w:link w:val="QuoteChar"/>
    <w:qFormat/>
    <w:rsid w:val="006417BE"/>
    <w:rPr>
      <w:b w:val="0"/>
      <w:sz w:val="72"/>
      <w:szCs w:val="72"/>
      <w:lang w:val="en-NZ"/>
    </w:rPr>
  </w:style>
  <w:style w:type="character" w:customStyle="1" w:styleId="QuoteChar">
    <w:name w:val="Quote Char"/>
    <w:basedOn w:val="DefaultParagraphFont"/>
    <w:link w:val="Quote"/>
    <w:rsid w:val="006417B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417BE"/>
    <w:pPr>
      <w:pageBreakBefore/>
    </w:pPr>
  </w:style>
  <w:style w:type="paragraph" w:customStyle="1" w:styleId="Border">
    <w:name w:val="Border"/>
    <w:basedOn w:val="Normal"/>
    <w:qFormat/>
    <w:rsid w:val="006417B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417BE"/>
    <w:rPr>
      <w:b/>
      <w:bCs/>
      <w:i/>
      <w:iCs/>
      <w:color w:val="auto"/>
    </w:rPr>
  </w:style>
  <w:style w:type="paragraph" w:styleId="IntenseQuote">
    <w:name w:val="Intense Quote"/>
    <w:basedOn w:val="Normal"/>
    <w:next w:val="Normal"/>
    <w:link w:val="IntenseQuoteChar"/>
    <w:uiPriority w:val="30"/>
    <w:qFormat/>
    <w:rsid w:val="006417B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417B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417BE"/>
    <w:rPr>
      <w:smallCaps/>
      <w:color w:val="auto"/>
      <w:u w:val="single"/>
    </w:rPr>
  </w:style>
  <w:style w:type="character" w:styleId="IntenseReference">
    <w:name w:val="Intense Reference"/>
    <w:basedOn w:val="DefaultParagraphFont"/>
    <w:uiPriority w:val="32"/>
    <w:qFormat/>
    <w:rsid w:val="006417BE"/>
    <w:rPr>
      <w:b/>
      <w:bCs/>
      <w:smallCaps/>
      <w:color w:val="auto"/>
      <w:spacing w:val="5"/>
      <w:u w:val="single"/>
    </w:rPr>
  </w:style>
  <w:style w:type="paragraph" w:customStyle="1" w:styleId="2ColumnHeading">
    <w:name w:val="2Column Heading"/>
    <w:basedOn w:val="BodyText"/>
    <w:qFormat/>
    <w:rsid w:val="006417BE"/>
    <w:pPr>
      <w:spacing w:after="60"/>
      <w:ind w:left="-2268"/>
    </w:pPr>
    <w:rPr>
      <w:b/>
    </w:rPr>
  </w:style>
  <w:style w:type="paragraph" w:customStyle="1" w:styleId="Heading1TOC">
    <w:name w:val="Heading1 TOC"/>
    <w:basedOn w:val="Normal"/>
    <w:qFormat/>
    <w:rsid w:val="006417BE"/>
    <w:pPr>
      <w:spacing w:before="240" w:after="120"/>
    </w:pPr>
    <w:rPr>
      <w:rFonts w:ascii="Times New Roman" w:hAnsi="Times New Roman"/>
      <w:b/>
      <w:sz w:val="32"/>
    </w:rPr>
  </w:style>
  <w:style w:type="paragraph" w:customStyle="1" w:styleId="Heading2TOC">
    <w:name w:val="Heading2 TOC"/>
    <w:basedOn w:val="Normal"/>
    <w:qFormat/>
    <w:rsid w:val="006417BE"/>
    <w:pPr>
      <w:spacing w:before="240" w:after="60"/>
    </w:pPr>
    <w:rPr>
      <w:rFonts w:ascii="Times New Roman" w:hAnsi="Times New Roman"/>
      <w:b/>
      <w:sz w:val="28"/>
    </w:rPr>
  </w:style>
  <w:style w:type="character" w:customStyle="1" w:styleId="Underline">
    <w:name w:val="Underline"/>
    <w:basedOn w:val="DefaultParagraphFont"/>
    <w:qFormat/>
    <w:rsid w:val="006417BE"/>
    <w:rPr>
      <w:u w:val="single"/>
    </w:rPr>
  </w:style>
  <w:style w:type="character" w:customStyle="1" w:styleId="BoldandItalics">
    <w:name w:val="Bold and Italics"/>
    <w:qFormat/>
    <w:rsid w:val="006417BE"/>
    <w:rPr>
      <w:b/>
      <w:i/>
      <w:u w:val="none"/>
    </w:rPr>
  </w:style>
  <w:style w:type="paragraph" w:styleId="BalloonText">
    <w:name w:val="Balloon Text"/>
    <w:basedOn w:val="Normal"/>
    <w:link w:val="BalloonTextChar"/>
    <w:rsid w:val="006417BE"/>
    <w:rPr>
      <w:rFonts w:ascii="Tahoma" w:hAnsi="Tahoma" w:cs="Tahoma"/>
      <w:sz w:val="16"/>
      <w:szCs w:val="16"/>
    </w:rPr>
  </w:style>
  <w:style w:type="character" w:customStyle="1" w:styleId="BalloonTextChar">
    <w:name w:val="Balloon Text Char"/>
    <w:basedOn w:val="DefaultParagraphFont"/>
    <w:link w:val="BalloonText"/>
    <w:rsid w:val="006417B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417B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417B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1451</Words>
  <Characters>9557</Characters>
  <Application>Microsoft Office Word</Application>
  <DocSecurity>0</DocSecurity>
  <Lines>302</Lines>
  <Paragraphs>178</Paragraphs>
  <ScaleCrop>false</ScaleCrop>
  <Company>Author-it Software Corporation Ltd.</Company>
  <LinksUpToDate>false</LinksUpToDate>
  <CharactersWithSpaces>10938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TLIL3035A Allocate motive power</dc:title>
  <dc:subject>Approved</dc:subject>
  <dc:creator>Transport &amp; Logistics Industry Skills Council</dc:creator>
  <cp:keywords>Release: 1</cp:keywords>
  <dc:description>Copyright © 1996-2007 Author-it Software Corporation Ltd., all rights reserved.</dc:description>
  <cp:lastModifiedBy>Craig Taylor</cp:lastModifiedBy>
  <cp:revision>3</cp:revision>
  <dcterms:created xsi:type="dcterms:W3CDTF">2012-05-27T03:55:00Z</dcterms:created>
  <dcterms:modified xsi:type="dcterms:W3CDTF">2012-05-27T03:55:00Z</dcterms:modified>
</cp:coreProperties>
</file>