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854" w:rsidP="00400854">
      <w:pPr>
        <w:pStyle w:val="Title"/>
      </w:pPr>
      <w:r>
        <w:fldChar w:fldCharType="begin"/>
      </w:r>
      <w:r>
        <w:instrText xml:space="preserve"> TITLE   \* MERGEFORMAT </w:instrText>
      </w:r>
      <w:r>
        <w:fldChar w:fldCharType="separate"/>
      </w:r>
      <w:r>
        <w:t>TLIF5021A Apply rail safeworking rules and procedures</w:t>
      </w:r>
      <w:r>
        <w:fldChar w:fldCharType="end"/>
      </w:r>
    </w:p>
    <w:p w:rsidR="00400854" w:rsidP="00400854">
      <w:pPr>
        <w:pStyle w:val="Version"/>
        <w:sectPr w:rsidSect="00733A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A77" w:rsidP="00733A77">
      <w:pPr>
        <w:pStyle w:val="SuperHeading"/>
      </w:pPr>
      <w:r w:rsidRPr="00733A77">
        <w:t>TLIF5021A Apply rail safeworking rules and procedures</w:t>
      </w:r>
    </w:p>
    <w:p w:rsidR="00000000" w:rsidRPr="00733A77" w:rsidP="00733A77">
      <w:pPr>
        <w:pStyle w:val="Heading1"/>
      </w:pPr>
      <w:bookmarkStart w:id="1" w:name="O_628107"/>
      <w:bookmarkEnd w:id="1"/>
      <w:r w:rsidRPr="00733A77">
        <w:t>Modification History</w:t>
      </w:r>
    </w:p>
    <w:p w:rsidR="00000000" w:rsidRPr="00733A77" w:rsidP="00733A77">
      <w:pPr>
        <w:pStyle w:val="BodyText"/>
      </w:pPr>
      <w:r w:rsidRPr="00733A77">
        <w:t>Release 1. This is the first release of this unit.</w:t>
      </w:r>
    </w:p>
    <w:p w:rsidR="00000000" w:rsidRPr="00733A77" w:rsidP="00733A77">
      <w:pPr>
        <w:pStyle w:val="AllowPageBreak"/>
      </w:pPr>
    </w:p>
    <w:p w:rsidR="00000000" w:rsidRPr="00733A77" w:rsidP="00733A77">
      <w:pPr>
        <w:pStyle w:val="Heading1"/>
      </w:pPr>
      <w:bookmarkStart w:id="2" w:name="O_628108"/>
      <w:bookmarkEnd w:id="2"/>
      <w:r w:rsidRPr="00733A77">
        <w:t>Unit Descriptor</w:t>
      </w:r>
    </w:p>
    <w:p w:rsidR="00000000" w:rsidRPr="00733A77" w:rsidP="00733A77">
      <w:pPr>
        <w:pStyle w:val="BodyText"/>
      </w:pPr>
      <w:r w:rsidRPr="00733A77">
        <w:t>This unit involves the skills and knowledge required to apply rail safeworking rules and procedures. It includes establishing the purpo</w:t>
      </w:r>
      <w:r w:rsidRPr="00733A77">
        <w:t xml:space="preserve">se and function of safeworking systems, implementing the principles of rail safeworking systems and implementing the principles of track protection systems. </w:t>
      </w:r>
    </w:p>
    <w:p w:rsidR="00000000" w:rsidRPr="00733A77" w:rsidP="00733A77">
      <w:pPr>
        <w:pStyle w:val="BodyText"/>
      </w:pPr>
      <w:r w:rsidRPr="00733A77">
        <w:t>Licensing, legislative or certification requirements are not applicable to this unit at the time o</w:t>
      </w:r>
      <w:r w:rsidRPr="00733A77">
        <w:t>f publication.</w:t>
      </w:r>
    </w:p>
    <w:p w:rsidR="00000000" w:rsidRPr="00733A77" w:rsidP="00733A77">
      <w:pPr>
        <w:pStyle w:val="AllowPageBreak"/>
      </w:pPr>
    </w:p>
    <w:p w:rsidR="00000000" w:rsidRPr="00733A77" w:rsidP="00733A77">
      <w:pPr>
        <w:pStyle w:val="Heading1"/>
      </w:pPr>
      <w:bookmarkStart w:id="3" w:name="O_628109"/>
      <w:bookmarkEnd w:id="3"/>
      <w:r w:rsidRPr="00733A77">
        <w:t>Application of the Unit</w:t>
      </w:r>
    </w:p>
    <w:p w:rsidR="00000000" w:rsidRPr="00733A77" w:rsidP="00733A77">
      <w:pPr>
        <w:pStyle w:val="BodyText"/>
      </w:pPr>
      <w:r w:rsidRPr="00733A77">
        <w:t>This unit covers applying rail safeworking rules and procedures used within rail operations. It can be applied to freight, heavy haul or metropolitan and regional passenger rail systems.</w:t>
      </w:r>
    </w:p>
    <w:p w:rsidR="00000000" w:rsidRPr="00733A77" w:rsidP="00733A77">
      <w:pPr>
        <w:pStyle w:val="AllowPageBreak"/>
      </w:pPr>
    </w:p>
    <w:p w:rsidR="00000000" w:rsidRPr="00733A77" w:rsidP="00733A77">
      <w:pPr>
        <w:pStyle w:val="Heading1"/>
      </w:pPr>
      <w:bookmarkStart w:id="4" w:name="O_628110"/>
      <w:bookmarkEnd w:id="4"/>
      <w:r w:rsidRPr="00733A77">
        <w:t>Licensing/Regulatory Information</w:t>
      </w:r>
    </w:p>
    <w:p w:rsidR="00000000" w:rsidRPr="00733A77" w:rsidP="00733A77">
      <w:pPr>
        <w:pStyle w:val="BodyText"/>
      </w:pPr>
      <w:r w:rsidRPr="00733A77">
        <w:t>Refer to Unit Descriptor.</w:t>
      </w:r>
    </w:p>
    <w:p w:rsidR="00000000" w:rsidRPr="00733A77" w:rsidP="00733A77">
      <w:pPr>
        <w:pStyle w:val="AllowPageBreak"/>
      </w:pPr>
    </w:p>
    <w:p w:rsidR="00000000" w:rsidRPr="00733A77" w:rsidP="00733A77">
      <w:pPr>
        <w:pStyle w:val="Heading1"/>
      </w:pPr>
      <w:bookmarkStart w:id="5" w:name="O_628111"/>
      <w:bookmarkEnd w:id="5"/>
      <w:r w:rsidRPr="00733A77">
        <w:t>Pre-Requisites</w:t>
      </w:r>
    </w:p>
    <w:p w:rsidR="00000000" w:rsidRPr="00733A77" w:rsidP="00733A77">
      <w:pPr>
        <w:pStyle w:val="BodyText"/>
      </w:pPr>
      <w:r w:rsidRPr="00733A77">
        <w:t>Nil</w:t>
      </w:r>
    </w:p>
    <w:p w:rsidR="00000000" w:rsidRPr="00733A77" w:rsidP="00733A77">
      <w:pPr>
        <w:pStyle w:val="AllowPageBreak"/>
      </w:pPr>
    </w:p>
    <w:p w:rsidR="00000000" w:rsidRPr="00733A77" w:rsidP="00733A77">
      <w:pPr>
        <w:pStyle w:val="Heading1"/>
      </w:pPr>
      <w:bookmarkStart w:id="6" w:name="O_628112"/>
      <w:bookmarkEnd w:id="6"/>
      <w:r w:rsidRPr="00733A77">
        <w:t>Employability Skills Information</w:t>
      </w:r>
    </w:p>
    <w:p w:rsidR="00000000" w:rsidRPr="00733A77" w:rsidP="00733A77">
      <w:pPr>
        <w:pStyle w:val="BodyText"/>
      </w:pPr>
      <w:r w:rsidRPr="00733A77">
        <w:t>This unit contains employability skills.</w:t>
      </w:r>
    </w:p>
    <w:p w:rsidR="00000000" w:rsidRPr="00733A77" w:rsidP="00733A77">
      <w:pPr>
        <w:pStyle w:val="AllowPageBreak"/>
      </w:pPr>
    </w:p>
    <w:p w:rsidR="00000000" w:rsidRPr="00733A77" w:rsidP="00733A77">
      <w:pPr>
        <w:pStyle w:val="Heading1"/>
      </w:pPr>
      <w:bookmarkStart w:id="7" w:name="O_628113"/>
      <w:bookmarkEnd w:id="7"/>
      <w:r w:rsidRPr="00733A77">
        <w:t>Elements and Performance Criteria Pre-Content</w:t>
      </w:r>
    </w:p>
    <w:tbl>
      <w:tblPr>
        <w:tblW w:w="9640" w:type="dxa"/>
        <w:tblLayout w:type="fixed"/>
        <w:tblCellMar>
          <w:left w:w="62" w:type="dxa"/>
          <w:right w:w="62" w:type="dxa"/>
        </w:tblCellMar>
        <w:tblLook w:val="0000"/>
      </w:tblPr>
      <w:tblGrid>
        <w:gridCol w:w="2776"/>
        <w:gridCol w:w="6864"/>
      </w:tblGrid>
      <w:tr w:rsidTr="0040085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Ele</w:t>
            </w:r>
            <w:r w:rsidRPr="00733A77">
              <w:t>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33A77" w:rsidP="00733A77">
            <w:pPr>
              <w:pStyle w:val="BodyText"/>
            </w:pPr>
            <w:r w:rsidRPr="00733A77">
              <w:t>Performance criteria describe the required performance needed to demonstrate achievement of the element. Assessment of performance is to be consistent with the evidence guide.</w:t>
            </w:r>
          </w:p>
        </w:tc>
      </w:tr>
    </w:tbl>
    <w:p w:rsidR="00000000" w:rsidRPr="00733A77" w:rsidP="00733A77">
      <w:pPr>
        <w:pStyle w:val="BodyText"/>
      </w:pPr>
    </w:p>
    <w:p w:rsidR="00000000" w:rsidRPr="00733A77" w:rsidP="00733A77">
      <w:pPr>
        <w:pStyle w:val="AllowPageBreak"/>
      </w:pPr>
    </w:p>
    <w:p w:rsidR="00000000" w:rsidRPr="00733A77" w:rsidP="00733A77">
      <w:pPr>
        <w:pStyle w:val="Heading1"/>
      </w:pPr>
      <w:bookmarkStart w:id="8" w:name="O_628114"/>
      <w:bookmarkEnd w:id="8"/>
      <w:r w:rsidRPr="00733A77">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0085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33A77" w:rsidP="00733A77">
            <w:pPr>
              <w:pStyle w:val="BodyText"/>
            </w:pPr>
            <w:r w:rsidRPr="00733A77">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rPr>
                <w:rStyle w:val="SpecialBold"/>
              </w:rPr>
              <w:t>Establish purpose and function of rail safeworking systems</w:t>
            </w: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1.1</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Relevant information is accessed and analysed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1.2</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Purpose of rail safeworking rules and procedures are identified and explained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1.3</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Methods for developing safeworking rules and procedures are identified and outlined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1.4</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Types of safeworking systems, their functions and where they are used are explained</w:t>
            </w:r>
          </w:p>
        </w:tc>
      </w:tr>
      <w:tr w:rsidTr="0040085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33A77" w:rsidP="00733A77">
            <w:pPr>
              <w:pStyle w:val="BodyText"/>
            </w:pPr>
            <w:r w:rsidRPr="00733A77">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rPr>
                <w:rStyle w:val="SpecialBold"/>
              </w:rPr>
              <w:t>Implement principles of rail safeworking systems</w:t>
            </w: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2.1</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Relevant information is a</w:t>
            </w:r>
            <w:r w:rsidRPr="00733A77">
              <w:t>ccessed and analysed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2.2</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Principles behind rail safeworking systems are identified and explained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2.3</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Main elements of rail safeworking systems are identified and explained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2.4</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Methods by which operation</w:t>
            </w:r>
            <w:r w:rsidRPr="00733A77">
              <w:t>s can continue in degraded situations are identified and outlined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2.5</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Appropriate procedures are prepared to enable operations to continue in various degraded situations</w:t>
            </w:r>
          </w:p>
        </w:tc>
      </w:tr>
      <w:tr w:rsidTr="0040085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33A77" w:rsidP="00733A77">
            <w:pPr>
              <w:pStyle w:val="BodyText"/>
            </w:pPr>
            <w:r w:rsidRPr="00733A77">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rPr>
                <w:rStyle w:val="SpecialBold"/>
              </w:rPr>
              <w:t>Implement principles of track protection systems</w:t>
            </w: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3.1</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Relevant information is accessed and analysed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3.2</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Risks involved in working on or beside the track are identified, explained and managed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3.3</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Purpose of track protection is identified and explained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3.4</w:t>
            </w:r>
          </w:p>
        </w:tc>
        <w:tc>
          <w:tcPr>
            <w:tcW w:w="686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Different methods of track protection are identified and outlined</w:t>
            </w:r>
          </w:p>
        </w:tc>
      </w:tr>
      <w:tr w:rsidTr="0040085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3.5</w:t>
            </w:r>
          </w:p>
        </w:tc>
        <w:tc>
          <w:tcPr>
            <w:tcW w:w="6864" w:type="dxa"/>
            <w:tcBorders>
              <w:top w:val="nil"/>
              <w:left w:val="nil"/>
              <w:bottom w:val="nil"/>
              <w:right w:val="nil"/>
            </w:tcBorders>
            <w:tcMar>
              <w:top w:w="0" w:type="dxa"/>
              <w:left w:w="62" w:type="dxa"/>
              <w:bottom w:w="0" w:type="dxa"/>
              <w:right w:w="62" w:type="dxa"/>
            </w:tcMar>
          </w:tcPr>
          <w:p w:rsidR="00000000" w:rsidRPr="00733A77" w:rsidP="00733A77">
            <w:pPr>
              <w:pStyle w:val="BodyText"/>
            </w:pPr>
            <w:r w:rsidRPr="00733A77">
              <w:t>Work is planned so that relevant track protection methods can be applied</w:t>
            </w:r>
          </w:p>
        </w:tc>
      </w:tr>
    </w:tbl>
    <w:p w:rsidR="00000000" w:rsidRPr="00733A77" w:rsidP="00733A77">
      <w:pPr>
        <w:pStyle w:val="BodyText"/>
      </w:pPr>
    </w:p>
    <w:p w:rsidR="00000000" w:rsidRPr="00733A77" w:rsidP="00733A77">
      <w:pPr>
        <w:pStyle w:val="AllowPageBreak"/>
      </w:pPr>
    </w:p>
    <w:p w:rsidR="00000000" w:rsidRPr="00733A77" w:rsidP="00733A77">
      <w:pPr>
        <w:pStyle w:val="Heading1"/>
      </w:pPr>
      <w:bookmarkStart w:id="9" w:name="O_628115"/>
      <w:bookmarkEnd w:id="9"/>
      <w:r w:rsidRPr="00733A77">
        <w:t>Required Skills and Knowledge</w:t>
      </w:r>
    </w:p>
    <w:tbl>
      <w:tblPr>
        <w:tblW w:w="9640" w:type="dxa"/>
        <w:tblLayout w:type="fixed"/>
        <w:tblCellMar>
          <w:left w:w="62" w:type="dxa"/>
          <w:right w:w="62" w:type="dxa"/>
        </w:tblCellMar>
        <w:tblLook w:val="0000"/>
      </w:tblPr>
      <w:tblGrid>
        <w:gridCol w:w="9640"/>
      </w:tblGrid>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This section describes the knowledge and skills required for this unit.</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rPr>
                <w:rStyle w:val="SpecialBold"/>
              </w:rPr>
              <w:t>Required knowledge:</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Changes in rail industry operations and technology with implications for rail safety</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Duty holders and their duties under rail safety legislation, such as: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2"/>
              <w:rPr>
                <w:lang w:val="en-NZ"/>
              </w:rPr>
            </w:pPr>
            <w:r w:rsidRPr="00733A77">
              <w:t>co</w:t>
            </w:r>
            <w:r w:rsidRPr="00733A77">
              <w:t>ntractors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2"/>
              <w:rPr>
                <w:lang w:val="en-NZ"/>
              </w:rPr>
            </w:pPr>
            <w:r w:rsidRPr="00733A77">
              <w:t>designers, manufacturers, suppliers, commissioners, erectors and installers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2"/>
              <w:rPr>
                <w:lang w:val="en-NZ"/>
              </w:rPr>
            </w:pPr>
            <w:r w:rsidRPr="00733A77">
              <w:t>de-commissioners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2"/>
              <w:rPr>
                <w:lang w:val="en-NZ"/>
              </w:rPr>
            </w:pPr>
            <w:r w:rsidRPr="00733A77">
              <w:t>managers of private sidings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2"/>
              <w:rPr>
                <w:lang w:val="en-NZ"/>
              </w:rPr>
            </w:pPr>
            <w:r w:rsidRPr="00733A77">
              <w:t>rail safety workers</w:t>
            </w:r>
          </w:p>
        </w:tc>
      </w:tr>
      <w:tr w:rsidTr="00733A77">
        <w:tblPrEx>
          <w:tblW w:w="9640" w:type="dxa"/>
          <w:tblLayout w:type="fixed"/>
          <w:tblCellMar>
            <w:left w:w="62" w:type="dxa"/>
            <w:right w:w="62" w:type="dxa"/>
          </w:tblCellMar>
          <w:tblLook w:val="0000"/>
        </w:tblPrEx>
        <w:trPr>
          <w:trHeight w:val="322"/>
        </w:trPr>
        <w:tc>
          <w:tcPr>
            <w:tcW w:w="9640" w:type="dxa"/>
            <w:tcBorders>
              <w:top w:val="nil"/>
              <w:left w:val="nil"/>
              <w:bottom w:val="nil"/>
              <w:right w:val="nil"/>
            </w:tcBorders>
            <w:tcMar>
              <w:top w:w="0" w:type="dxa"/>
              <w:left w:w="62" w:type="dxa"/>
              <w:bottom w:w="0" w:type="dxa"/>
              <w:right w:w="62" w:type="dxa"/>
            </w:tcMar>
          </w:tcPr>
          <w:p w:rsidR="00000000" w:rsidP="00733A77">
            <w:pPr>
              <w:pStyle w:val="ListBullet2"/>
              <w:rPr>
                <w:lang w:val="en-NZ"/>
              </w:rPr>
            </w:pPr>
            <w:r w:rsidRPr="00733A77">
              <w:t>rail transport operators-rail infrastructure managers and/or rolling stock operators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 xml:space="preserve">Key concepts and definitions relating to rail safeworking </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Key regulatory requirements and standards for participants in the rail industry</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Key principles and practices associated with railway operations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Rail regulatory framework</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Rail industry termi</w:t>
            </w:r>
            <w:r w:rsidRPr="00733A77">
              <w:t>nology, including terminology used in technical standards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Rail safety management systems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Rail safety operating principles: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ensuring emergencies and incidents are properly managed</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ensuring interfaces between different organisations are properly defined and managed</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identifying and managing risk</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protecting persons from injury</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protecting property from damage</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track access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train separation</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Relevance of national and internatio</w:t>
            </w:r>
            <w:r w:rsidRPr="00733A77">
              <w:t xml:space="preserve">nal standards to the rail industry </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33A77" w:rsidP="00733A77">
            <w:pPr>
              <w:pStyle w:val="ListBullet"/>
            </w:pPr>
            <w:r w:rsidRPr="00733A77">
              <w:t>Relevant rail safety, work health and safety (WHS)/occupational health and safety (OHS) and environmental legislation related to safeworking and track protection</w:t>
            </w:r>
          </w:p>
        </w:tc>
      </w:tr>
    </w:tbl>
    <w:p w:rsidR="00000000" w:rsidRPr="00733A77" w:rsidP="00733A77">
      <w:pPr>
        <w:pStyle w:val="BodyText"/>
      </w:pPr>
    </w:p>
    <w:tbl>
      <w:tblPr>
        <w:tblW w:w="9640" w:type="dxa"/>
        <w:tblLayout w:type="fixed"/>
        <w:tblCellMar>
          <w:left w:w="62" w:type="dxa"/>
          <w:right w:w="62" w:type="dxa"/>
        </w:tblCellMar>
        <w:tblLook w:val="0000"/>
      </w:tblPr>
      <w:tblGrid>
        <w:gridCol w:w="9640"/>
      </w:tblGrid>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rPr>
                <w:rStyle w:val="SpecialBold"/>
              </w:rPr>
              <w:t>Required skills: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Access and use rail safety industry standards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Communicate effectively with others, particularly in relation to interpreting complex information relating to rail operations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Develop and maintain currency of rail industry knowledge and regulatory requirem</w:t>
            </w:r>
            <w:r w:rsidRPr="00733A77">
              <w:t>ents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Network and build relationships with a diverse range of rail industry organisations</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Research information related to the rail industry and rail safety regulation</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3A77">
            <w:pPr>
              <w:pStyle w:val="ListBullet"/>
              <w:rPr>
                <w:lang w:val="en-NZ"/>
              </w:rPr>
            </w:pPr>
            <w:r w:rsidRPr="00733A77">
              <w:t xml:space="preserve">Review changing regulatory information </w:t>
            </w:r>
          </w:p>
        </w:tc>
      </w:tr>
      <w:tr w:rsidTr="00733A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33A77" w:rsidP="00733A77">
            <w:pPr>
              <w:pStyle w:val="ListBullet"/>
            </w:pPr>
            <w:r w:rsidRPr="00733A77">
              <w:t>Work ethically in accordance with legislation</w:t>
            </w:r>
          </w:p>
        </w:tc>
      </w:tr>
    </w:tbl>
    <w:p w:rsidR="00000000" w:rsidRPr="00733A77" w:rsidP="00733A77">
      <w:pPr>
        <w:pStyle w:val="BodyText"/>
      </w:pPr>
    </w:p>
    <w:p w:rsidR="00000000" w:rsidRPr="00733A77" w:rsidP="00733A77">
      <w:pPr>
        <w:pStyle w:val="AllowPageBreak"/>
      </w:pPr>
    </w:p>
    <w:p w:rsidR="00000000" w:rsidRPr="00733A77" w:rsidP="00733A77">
      <w:pPr>
        <w:pStyle w:val="Heading1"/>
      </w:pPr>
      <w:bookmarkStart w:id="10" w:name="O_628116"/>
      <w:bookmarkEnd w:id="10"/>
      <w:r w:rsidRPr="00733A77">
        <w:t>Evidence Guide</w:t>
      </w:r>
    </w:p>
    <w:tbl>
      <w:tblPr>
        <w:tblW w:w="9640" w:type="dxa"/>
        <w:tblLayout w:type="fixed"/>
        <w:tblCellMar>
          <w:left w:w="62" w:type="dxa"/>
          <w:right w:w="62" w:type="dxa"/>
        </w:tblCellMar>
        <w:tblLook w:val="0000"/>
      </w:tblPr>
      <w:tblGrid>
        <w:gridCol w:w="3338"/>
        <w:gridCol w:w="6302"/>
      </w:tblGrid>
      <w:tr w:rsidTr="00733A7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The evidence guide provides advice on assessment and must be read in conjunction with the performance criteria, required knowledge and skills, the range statement and the asses</w:t>
            </w:r>
            <w:r w:rsidRPr="00733A77">
              <w:t>sment guidelines for this Training Package.</w:t>
            </w:r>
          </w:p>
        </w:tc>
      </w:tr>
      <w:tr w:rsidTr="00733A77">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733A77" w:rsidP="00733A77">
            <w:pPr>
              <w:pStyle w:val="BodyText"/>
            </w:pPr>
            <w:r w:rsidRPr="00733A77">
              <w:t>The evidence required to demonstrate competence in this unit must be relevant to and satisfy all of the requirements of the Elements, Performance Criteria, Required Skills, Required Knowledge and include demonstration of applying:</w:t>
            </w:r>
          </w:p>
          <w:p w:rsidR="00000000" w:rsidRPr="00733A77" w:rsidP="00733A77">
            <w:pPr>
              <w:pStyle w:val="ListBullet"/>
            </w:pPr>
            <w:r w:rsidRPr="00733A77">
              <w:t>required knowledge and s</w:t>
            </w:r>
            <w:r w:rsidRPr="00733A77">
              <w:t>kills</w:t>
            </w:r>
          </w:p>
          <w:p w:rsidR="00000000" w:rsidRPr="00733A77" w:rsidP="00733A77">
            <w:pPr>
              <w:pStyle w:val="ListBullet"/>
            </w:pPr>
            <w:r w:rsidRPr="00733A77">
              <w:t>relevant legislation and workplace procedures</w:t>
            </w:r>
          </w:p>
          <w:p w:rsidR="00000000" w:rsidP="00733A77">
            <w:pPr>
              <w:pStyle w:val="ListBullet"/>
              <w:rPr>
                <w:lang w:val="en-NZ"/>
              </w:rPr>
            </w:pPr>
            <w:r w:rsidRPr="00733A77">
              <w:t>other relevant aspects of the range statement.</w:t>
            </w:r>
          </w:p>
        </w:tc>
      </w:tr>
      <w:tr w:rsidTr="00733A77">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733A77" w:rsidP="00733A77">
            <w:pPr>
              <w:pStyle w:val="BodyText"/>
            </w:pPr>
            <w:r w:rsidRPr="00733A77">
              <w:t>Performance is demonstrated consistently over time and in a suitable range of contexts.</w:t>
            </w:r>
          </w:p>
          <w:p w:rsidR="00000000" w:rsidRPr="00733A77" w:rsidP="00733A77">
            <w:pPr>
              <w:pStyle w:val="BodyText"/>
            </w:pPr>
            <w:r w:rsidRPr="00733A77">
              <w:t>Resources for asses</w:t>
            </w:r>
            <w:r w:rsidRPr="00733A77">
              <w:t>sment include access to:</w:t>
            </w:r>
          </w:p>
          <w:p w:rsidR="00000000" w:rsidRPr="00733A77" w:rsidP="00733A77">
            <w:pPr>
              <w:pStyle w:val="ListBullet"/>
            </w:pPr>
            <w:r w:rsidRPr="00733A77">
              <w:t>a range of relevant exercises, case studies and/or other simulated practical and knowledge assessment, and/or</w:t>
            </w:r>
          </w:p>
          <w:p w:rsidR="00000000" w:rsidRPr="00733A77" w:rsidP="00733A77">
            <w:pPr>
              <w:pStyle w:val="ListBullet"/>
            </w:pPr>
            <w:r w:rsidRPr="00733A77">
              <w:t>an appropriate range of relevant operational situations in the workplace.</w:t>
            </w:r>
          </w:p>
          <w:p w:rsidR="00000000" w:rsidRPr="00733A77" w:rsidP="00733A77">
            <w:pPr>
              <w:pStyle w:val="BodyText"/>
            </w:pPr>
            <w:r w:rsidRPr="00733A77">
              <w:t>In both real and simulated environments, access is required to:</w:t>
            </w:r>
          </w:p>
          <w:p w:rsidR="00000000" w:rsidRPr="00733A77" w:rsidP="00733A77">
            <w:pPr>
              <w:pStyle w:val="ListBullet"/>
            </w:pPr>
            <w:r w:rsidRPr="00733A77">
              <w:t>relevant and appropriate materials and equipment, and</w:t>
            </w:r>
          </w:p>
          <w:p w:rsidR="00000000" w:rsidP="00733A77">
            <w:pPr>
              <w:pStyle w:val="ListBullet"/>
              <w:rPr>
                <w:lang w:val="en-NZ"/>
              </w:rPr>
            </w:pPr>
            <w:r w:rsidRPr="00733A77">
              <w:t>applicable documentation including workplace procedures, regulations, codes of practice and operation manuals.</w:t>
            </w:r>
          </w:p>
        </w:tc>
      </w:tr>
      <w:tr w:rsidTr="00733A77">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733A77" w:rsidP="00733A77">
            <w:pPr>
              <w:pStyle w:val="BodyText"/>
            </w:pPr>
            <w:r w:rsidRPr="00733A77">
              <w:t>As a</w:t>
            </w:r>
            <w:r w:rsidRPr="00733A77">
              <w:t xml:space="preserve"> minimum, assessment of knowledge must be conducted through appropriate written/oral tests.</w:t>
            </w:r>
          </w:p>
          <w:p w:rsidR="00000000" w:rsidRPr="00733A77" w:rsidP="00733A77">
            <w:pPr>
              <w:pStyle w:val="BodyText"/>
            </w:pPr>
            <w:r w:rsidRPr="00733A77">
              <w:t>Practical assessment must occur:</w:t>
            </w:r>
          </w:p>
          <w:p w:rsidR="00000000" w:rsidRPr="00733A77" w:rsidP="00733A77">
            <w:pPr>
              <w:pStyle w:val="ListBullet"/>
            </w:pPr>
            <w:r w:rsidRPr="00733A77">
              <w:t>through activities in an appropriately simulated environment, and/or</w:t>
            </w:r>
          </w:p>
          <w:p w:rsidR="00000000" w:rsidRPr="00733A77" w:rsidP="00733A77">
            <w:pPr>
              <w:pStyle w:val="ListBullet"/>
            </w:pPr>
            <w:r w:rsidRPr="00733A77">
              <w:t>in an appropriate range of situations in the workplace.</w:t>
            </w:r>
          </w:p>
        </w:tc>
      </w:tr>
    </w:tbl>
    <w:p w:rsidR="00000000" w:rsidRPr="00733A77" w:rsidP="00733A77">
      <w:pPr>
        <w:pStyle w:val="BodyText"/>
      </w:pPr>
    </w:p>
    <w:p w:rsidR="00000000" w:rsidRPr="00733A77" w:rsidP="00733A77">
      <w:pPr>
        <w:pStyle w:val="AllowPageBreak"/>
      </w:pPr>
    </w:p>
    <w:p w:rsidR="00000000" w:rsidRPr="00733A77" w:rsidP="00733A77">
      <w:pPr>
        <w:pStyle w:val="Heading1"/>
      </w:pPr>
      <w:bookmarkStart w:id="11" w:name="O_628117"/>
      <w:bookmarkEnd w:id="11"/>
      <w:r w:rsidRPr="00733A77">
        <w:t>Range Statement</w:t>
      </w:r>
    </w:p>
    <w:tbl>
      <w:tblPr>
        <w:tblW w:w="0" w:type="auto"/>
        <w:tblCellMar>
          <w:left w:w="62" w:type="dxa"/>
          <w:right w:w="62" w:type="dxa"/>
        </w:tblCellMar>
        <w:tblLook w:val="0000"/>
      </w:tblPr>
      <w:tblGrid>
        <w:gridCol w:w="2586"/>
        <w:gridCol w:w="6610"/>
      </w:tblGrid>
      <w:tr w:rsidTr="0040085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The range statement relates to the unit of competency as a whole. It allows for different work environments and situations that may affect performance.</w:t>
            </w:r>
          </w:p>
        </w:tc>
      </w:tr>
      <w:tr w:rsidTr="004008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Relevant information may include:</w:t>
            </w:r>
          </w:p>
        </w:tc>
        <w:tc>
          <w:tcPr>
            <w:tcW w:w="0" w:type="auto"/>
            <w:tcBorders>
              <w:top w:val="nil"/>
              <w:left w:val="nil"/>
              <w:bottom w:val="nil"/>
              <w:right w:val="nil"/>
            </w:tcBorders>
            <w:tcMar>
              <w:top w:w="0" w:type="dxa"/>
              <w:left w:w="62" w:type="dxa"/>
              <w:bottom w:w="0" w:type="dxa"/>
              <w:right w:w="62" w:type="dxa"/>
            </w:tcMar>
          </w:tcPr>
          <w:p w:rsidR="00000000" w:rsidRPr="00733A77" w:rsidP="00733A77">
            <w:pPr>
              <w:pStyle w:val="ListBullet"/>
            </w:pPr>
            <w:r w:rsidRPr="00733A77">
              <w:t>audit program information</w:t>
            </w:r>
          </w:p>
          <w:p w:rsidR="00000000" w:rsidRPr="00733A77" w:rsidP="00733A77">
            <w:pPr>
              <w:pStyle w:val="ListBullet"/>
            </w:pPr>
            <w:r w:rsidRPr="00733A77">
              <w:t xml:space="preserve">compliance and enforcement regime </w:t>
            </w:r>
          </w:p>
          <w:p w:rsidR="00000000" w:rsidRPr="00733A77" w:rsidP="00733A77">
            <w:pPr>
              <w:pStyle w:val="ListBullet"/>
            </w:pPr>
            <w:r w:rsidRPr="00733A77">
              <w:t>changes to regulations</w:t>
            </w:r>
          </w:p>
          <w:p w:rsidR="00000000" w:rsidRPr="00733A77" w:rsidP="00733A77">
            <w:pPr>
              <w:pStyle w:val="ListBullet"/>
            </w:pPr>
            <w:r w:rsidRPr="00733A77">
              <w:t>rail regulatory requirements</w:t>
            </w:r>
          </w:p>
          <w:p w:rsidR="00000000" w:rsidP="00733A77">
            <w:pPr>
              <w:pStyle w:val="ListBullet"/>
              <w:rPr>
                <w:lang w:val="en-NZ"/>
              </w:rPr>
            </w:pPr>
            <w:r w:rsidRPr="00733A77">
              <w:t>safety notices</w:t>
            </w:r>
          </w:p>
        </w:tc>
      </w:tr>
      <w:tr w:rsidTr="004008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3A77">
            <w:pPr>
              <w:pStyle w:val="BodyText"/>
              <w:rPr>
                <w:lang w:val="en-NZ"/>
              </w:rPr>
            </w:pPr>
            <w:r w:rsidRPr="00733A77">
              <w:t>Safeworking systems may include:</w:t>
            </w:r>
          </w:p>
        </w:tc>
        <w:tc>
          <w:tcPr>
            <w:tcW w:w="0" w:type="auto"/>
            <w:tcBorders>
              <w:top w:val="nil"/>
              <w:left w:val="nil"/>
              <w:bottom w:val="nil"/>
              <w:right w:val="nil"/>
            </w:tcBorders>
            <w:tcMar>
              <w:top w:w="0" w:type="dxa"/>
              <w:left w:w="62" w:type="dxa"/>
              <w:bottom w:w="0" w:type="dxa"/>
              <w:right w:w="62" w:type="dxa"/>
            </w:tcMar>
          </w:tcPr>
          <w:p w:rsidR="00000000" w:rsidRPr="00733A77" w:rsidP="00733A77">
            <w:pPr>
              <w:pStyle w:val="ListBullet"/>
            </w:pPr>
            <w:r w:rsidRPr="00733A77">
              <w:t>automatic train control (ATC)</w:t>
            </w:r>
          </w:p>
          <w:p w:rsidR="00000000" w:rsidRPr="00733A77" w:rsidP="00733A77">
            <w:pPr>
              <w:pStyle w:val="ListBullet"/>
            </w:pPr>
            <w:r w:rsidRPr="00733A77">
              <w:t>centralised traffic control (CTC)</w:t>
            </w:r>
          </w:p>
          <w:p w:rsidR="00000000" w:rsidRPr="00733A77" w:rsidP="00733A77">
            <w:pPr>
              <w:pStyle w:val="ListBullet"/>
            </w:pPr>
            <w:r w:rsidRPr="00733A77">
              <w:t>double line block</w:t>
            </w:r>
          </w:p>
          <w:p w:rsidR="00000000" w:rsidRPr="00733A77" w:rsidP="00733A77">
            <w:pPr>
              <w:pStyle w:val="ListBullet"/>
            </w:pPr>
            <w:r w:rsidRPr="00733A77">
              <w:t xml:space="preserve">electric staff </w:t>
            </w:r>
          </w:p>
          <w:p w:rsidR="00000000" w:rsidRPr="00733A77" w:rsidP="00733A77">
            <w:pPr>
              <w:pStyle w:val="ListBullet"/>
            </w:pPr>
            <w:r w:rsidRPr="00733A77">
              <w:t>manual block working</w:t>
            </w:r>
          </w:p>
          <w:p w:rsidR="00000000" w:rsidRPr="00733A77" w:rsidP="00733A77">
            <w:pPr>
              <w:pStyle w:val="ListBullet"/>
            </w:pPr>
            <w:r w:rsidRPr="00733A77">
              <w:t xml:space="preserve">mishap orders </w:t>
            </w:r>
          </w:p>
          <w:p w:rsidR="00000000" w:rsidRPr="00733A77" w:rsidP="00733A77">
            <w:pPr>
              <w:pStyle w:val="ListBullet"/>
            </w:pPr>
            <w:r w:rsidRPr="00733A77">
              <w:t>pilot staff working</w:t>
            </w:r>
          </w:p>
          <w:p w:rsidR="00000000" w:rsidRPr="00733A77" w:rsidP="00733A77">
            <w:pPr>
              <w:pStyle w:val="ListBullet"/>
            </w:pPr>
            <w:r w:rsidRPr="00733A77">
              <w:t>rail vehicle detection</w:t>
            </w:r>
          </w:p>
          <w:p w:rsidR="00000000" w:rsidRPr="00733A77" w:rsidP="00733A77">
            <w:pPr>
              <w:pStyle w:val="ListBullet"/>
            </w:pPr>
            <w:r w:rsidRPr="00733A77">
              <w:t>section authority</w:t>
            </w:r>
          </w:p>
          <w:p w:rsidR="00000000" w:rsidRPr="00733A77" w:rsidP="00733A77">
            <w:pPr>
              <w:pStyle w:val="ListBullet"/>
            </w:pPr>
            <w:r w:rsidRPr="00733A77">
              <w:t>special proceed authority</w:t>
            </w:r>
          </w:p>
          <w:p w:rsidR="00000000" w:rsidRPr="00733A77" w:rsidP="00733A77">
            <w:pPr>
              <w:pStyle w:val="ListBullet"/>
            </w:pPr>
            <w:r w:rsidRPr="00733A77">
              <w:t xml:space="preserve">staff and ticket </w:t>
            </w:r>
          </w:p>
          <w:p w:rsidR="00000000" w:rsidRPr="00733A77" w:rsidP="00733A77">
            <w:pPr>
              <w:pStyle w:val="ListBullet"/>
            </w:pPr>
            <w:r w:rsidRPr="00733A77">
              <w:t>train order working</w:t>
            </w:r>
          </w:p>
        </w:tc>
      </w:tr>
    </w:tbl>
    <w:p w:rsidR="00000000" w:rsidRPr="00733A77" w:rsidP="00733A77">
      <w:pPr>
        <w:pStyle w:val="BodyText"/>
      </w:pPr>
    </w:p>
    <w:p w:rsidR="00000000" w:rsidRPr="00733A77" w:rsidP="00733A77">
      <w:pPr>
        <w:pStyle w:val="AllowPageBreak"/>
      </w:pPr>
    </w:p>
    <w:p w:rsidR="00000000" w:rsidRPr="00733A77" w:rsidP="00733A77">
      <w:pPr>
        <w:pStyle w:val="Heading1"/>
      </w:pPr>
      <w:bookmarkStart w:id="12" w:name="O_628118"/>
      <w:bookmarkEnd w:id="12"/>
      <w:r w:rsidRPr="00733A77">
        <w:t>Unit Sector(s)</w:t>
      </w:r>
    </w:p>
    <w:p w:rsidR="00000000" w:rsidRPr="00733A77" w:rsidP="00733A77">
      <w:pPr>
        <w:pStyle w:val="BodyText"/>
      </w:pPr>
      <w:r w:rsidRPr="00733A77">
        <w:t>Not applicable.</w:t>
      </w:r>
    </w:p>
    <w:p w:rsidR="00000000" w:rsidRPr="00733A77" w:rsidP="00733A77">
      <w:pPr>
        <w:pStyle w:val="AllowPageBreak"/>
      </w:pPr>
    </w:p>
    <w:p w:rsidR="00000000" w:rsidRPr="00733A77" w:rsidP="00733A77">
      <w:pPr>
        <w:pStyle w:val="Heading1"/>
      </w:pPr>
      <w:bookmarkStart w:id="13" w:name="O_628119"/>
      <w:bookmarkEnd w:id="13"/>
      <w:r w:rsidRPr="00733A77">
        <w:t>Competency Field</w:t>
      </w:r>
    </w:p>
    <w:p w:rsidR="00000000" w:rsidRPr="00733A77" w:rsidP="00733A77">
      <w:pPr>
        <w:pStyle w:val="BodyText"/>
      </w:pPr>
      <w:r w:rsidRPr="00733A77">
        <w:t>F – Safety Management</w:t>
      </w:r>
    </w:p>
    <w:p w:rsidR="00000000" w:rsidRPr="00733A77" w:rsidP="00733A77"/>
    <w:sectPr w:rsidSect="00733A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77" w:rsidRPr="00400854" w:rsidP="00400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854" w:rsidP="00733A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0854" w:rsidP="00733A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00854" w:rsidP="00733A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77" w:rsidRPr="00400854" w:rsidP="004008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854" w:rsidRPr="002D2AF8" w:rsidP="00733A77">
    <w:pPr>
      <w:pStyle w:val="Header"/>
      <w:framePr w:wrap="around"/>
    </w:pPr>
    <w:r>
      <w:fldChar w:fldCharType="begin"/>
    </w:r>
    <w:r>
      <w:instrText xml:space="preserve"> TITLE   \* MERGEFORMAT </w:instrText>
    </w:r>
    <w:r>
      <w:fldChar w:fldCharType="separate"/>
    </w:r>
    <w:r>
      <w:t>TLIF5021A Apply rail safeworking rules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400854" w:rsidP="00733A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6CE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4CF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58F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A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A77"/>
    <w:pPr>
      <w:spacing w:before="360" w:after="60"/>
      <w:outlineLvl w:val="0"/>
    </w:pPr>
    <w:rPr>
      <w:sz w:val="32"/>
    </w:rPr>
  </w:style>
  <w:style w:type="paragraph" w:styleId="Heading2">
    <w:name w:val="heading 2"/>
    <w:basedOn w:val="HeadingBase"/>
    <w:next w:val="BodyText"/>
    <w:link w:val="Heading2Char"/>
    <w:qFormat/>
    <w:rsid w:val="00733A77"/>
    <w:pPr>
      <w:keepLines/>
      <w:spacing w:before="240" w:after="120"/>
      <w:outlineLvl w:val="1"/>
    </w:pPr>
    <w:rPr>
      <w:sz w:val="28"/>
      <w:szCs w:val="40"/>
    </w:rPr>
  </w:style>
  <w:style w:type="paragraph" w:styleId="Heading3">
    <w:name w:val="heading 3"/>
    <w:basedOn w:val="HeadingBase"/>
    <w:next w:val="BodyText"/>
    <w:link w:val="Heading3Char"/>
    <w:qFormat/>
    <w:rsid w:val="00733A77"/>
    <w:pPr>
      <w:spacing w:before="180" w:after="120"/>
      <w:outlineLvl w:val="2"/>
    </w:pPr>
    <w:rPr>
      <w:spacing w:val="-10"/>
      <w:kern w:val="32"/>
    </w:rPr>
  </w:style>
  <w:style w:type="paragraph" w:styleId="Heading4">
    <w:name w:val="heading 4"/>
    <w:basedOn w:val="HeadingBase"/>
    <w:next w:val="BodyText"/>
    <w:link w:val="Heading4Char"/>
    <w:qFormat/>
    <w:rsid w:val="00733A77"/>
    <w:pPr>
      <w:spacing w:before="160" w:after="120"/>
      <w:outlineLvl w:val="3"/>
    </w:pPr>
    <w:rPr>
      <w:sz w:val="22"/>
    </w:rPr>
  </w:style>
  <w:style w:type="paragraph" w:styleId="Heading5">
    <w:name w:val="heading 5"/>
    <w:basedOn w:val="HeadingBase"/>
    <w:next w:val="Normal"/>
    <w:link w:val="Heading5Char"/>
    <w:qFormat/>
    <w:rsid w:val="00733A77"/>
    <w:pPr>
      <w:spacing w:before="80"/>
      <w:outlineLvl w:val="4"/>
    </w:pPr>
    <w:rPr>
      <w:color w:val="918585"/>
      <w:sz w:val="20"/>
    </w:rPr>
  </w:style>
  <w:style w:type="paragraph" w:styleId="Heading6">
    <w:name w:val="heading 6"/>
    <w:basedOn w:val="HeadingBase"/>
    <w:next w:val="Normal"/>
    <w:link w:val="Heading6Char"/>
    <w:qFormat/>
    <w:rsid w:val="00733A77"/>
    <w:pPr>
      <w:spacing w:before="60"/>
      <w:outlineLvl w:val="5"/>
    </w:pPr>
    <w:rPr>
      <w:color w:val="918585"/>
      <w:sz w:val="20"/>
    </w:rPr>
  </w:style>
  <w:style w:type="paragraph" w:styleId="Heading7">
    <w:name w:val="heading 7"/>
    <w:basedOn w:val="Normal"/>
    <w:next w:val="Normal"/>
    <w:link w:val="Heading7Char"/>
    <w:qFormat/>
    <w:rsid w:val="00733A77"/>
    <w:pPr>
      <w:ind w:left="720"/>
      <w:outlineLvl w:val="6"/>
    </w:pPr>
    <w:rPr>
      <w:i/>
    </w:rPr>
  </w:style>
  <w:style w:type="paragraph" w:styleId="Heading8">
    <w:name w:val="heading 8"/>
    <w:basedOn w:val="Normal"/>
    <w:next w:val="Normal"/>
    <w:link w:val="Heading8Char"/>
    <w:qFormat/>
    <w:rsid w:val="00733A77"/>
    <w:pPr>
      <w:ind w:left="720"/>
      <w:outlineLvl w:val="7"/>
    </w:pPr>
    <w:rPr>
      <w:i/>
    </w:rPr>
  </w:style>
  <w:style w:type="paragraph" w:styleId="Heading9">
    <w:name w:val="heading 9"/>
    <w:basedOn w:val="Normal"/>
    <w:next w:val="Normal"/>
    <w:link w:val="Heading9Char"/>
    <w:qFormat/>
    <w:rsid w:val="00733A77"/>
    <w:pPr>
      <w:ind w:left="720"/>
      <w:outlineLvl w:val="8"/>
    </w:pPr>
    <w:rPr>
      <w:i/>
    </w:rPr>
  </w:style>
  <w:style w:type="character" w:default="1" w:styleId="DefaultParagraphFont">
    <w:name w:val="Default Paragraph Font"/>
    <w:uiPriority w:val="1"/>
    <w:unhideWhenUsed/>
    <w:rsid w:val="00733A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A77"/>
  </w:style>
  <w:style w:type="character" w:customStyle="1" w:styleId="Heading1Char">
    <w:name w:val="Heading 1 Char"/>
    <w:basedOn w:val="DefaultParagraphFont"/>
    <w:link w:val="Heading1"/>
    <w:rsid w:val="00733A77"/>
    <w:rPr>
      <w:rFonts w:ascii="Times New Roman" w:eastAsia="Times New Roman" w:hAnsi="Times New Roman" w:cs="Times New Roman"/>
      <w:b/>
      <w:sz w:val="32"/>
      <w:szCs w:val="20"/>
      <w:lang w:eastAsia="en-US"/>
    </w:rPr>
  </w:style>
  <w:style w:type="paragraph" w:styleId="BodyText">
    <w:name w:val="Body Text"/>
    <w:basedOn w:val="Normal"/>
    <w:link w:val="BodyTextChar"/>
    <w:rsid w:val="00733A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A77"/>
    <w:rPr>
      <w:rFonts w:ascii="Times New Roman" w:eastAsia="Times New Roman" w:hAnsi="Times New Roman" w:cs="Times New Roman"/>
      <w:sz w:val="24"/>
      <w:lang w:eastAsia="en-US"/>
    </w:rPr>
  </w:style>
  <w:style w:type="paragraph" w:styleId="ListBullet">
    <w:name w:val="List Bullet"/>
    <w:basedOn w:val="List"/>
    <w:rsid w:val="00733A77"/>
    <w:pPr>
      <w:numPr>
        <w:numId w:val="13"/>
      </w:numPr>
      <w:tabs>
        <w:tab w:val="clear" w:pos="340"/>
      </w:tabs>
      <w:spacing w:before="40" w:after="40"/>
    </w:pPr>
  </w:style>
  <w:style w:type="character" w:customStyle="1" w:styleId="SpecialBold">
    <w:name w:val="Special Bold"/>
    <w:basedOn w:val="DefaultParagraphFont"/>
    <w:rsid w:val="00733A77"/>
    <w:rPr>
      <w:b/>
      <w:spacing w:val="0"/>
    </w:rPr>
  </w:style>
  <w:style w:type="paragraph" w:styleId="ListBullet2">
    <w:name w:val="List Bullet 2"/>
    <w:basedOn w:val="List2"/>
    <w:rsid w:val="00733A77"/>
    <w:pPr>
      <w:numPr>
        <w:numId w:val="14"/>
      </w:numPr>
      <w:tabs>
        <w:tab w:val="clear" w:pos="680"/>
      </w:tabs>
    </w:pPr>
  </w:style>
  <w:style w:type="paragraph" w:customStyle="1" w:styleId="SuperHeading">
    <w:name w:val="SuperHeading"/>
    <w:basedOn w:val="Normal"/>
    <w:rsid w:val="00733A77"/>
    <w:pPr>
      <w:spacing w:before="240" w:after="120"/>
      <w:outlineLvl w:val="0"/>
    </w:pPr>
    <w:rPr>
      <w:rFonts w:ascii="Times New Roman" w:hAnsi="Times New Roman"/>
      <w:b/>
      <w:sz w:val="32"/>
    </w:rPr>
  </w:style>
  <w:style w:type="paragraph" w:customStyle="1" w:styleId="AllowPageBreak">
    <w:name w:val="AllowPageBreak"/>
    <w:rsid w:val="00733A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A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A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A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A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A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A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A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A77"/>
    <w:rPr>
      <w:rFonts w:ascii="Courier New" w:eastAsia="Times New Roman" w:hAnsi="Courier New" w:cs="Times New Roman"/>
      <w:i/>
      <w:szCs w:val="20"/>
      <w:lang w:eastAsia="en-US"/>
    </w:rPr>
  </w:style>
  <w:style w:type="paragraph" w:customStyle="1" w:styleId="HeadingBase">
    <w:name w:val="Heading Base"/>
    <w:rsid w:val="00733A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A77"/>
    <w:pPr>
      <w:tabs>
        <w:tab w:val="right" w:leader="dot" w:pos="9072"/>
      </w:tabs>
      <w:ind w:left="567"/>
    </w:pPr>
    <w:rPr>
      <w:szCs w:val="22"/>
    </w:rPr>
  </w:style>
  <w:style w:type="paragraph" w:customStyle="1" w:styleId="TOCBase">
    <w:name w:val="TOC Base"/>
    <w:rsid w:val="00733A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A77"/>
    <w:pPr>
      <w:tabs>
        <w:tab w:val="right" w:leader="dot" w:pos="9072"/>
      </w:tabs>
      <w:spacing w:before="40" w:after="40"/>
      <w:ind w:left="284"/>
    </w:pPr>
    <w:rPr>
      <w:rFonts w:ascii="Times New Roman" w:hAnsi="Times New Roman"/>
    </w:rPr>
  </w:style>
  <w:style w:type="paragraph" w:styleId="TOC1">
    <w:name w:val="toc 1"/>
    <w:basedOn w:val="TOCBase"/>
    <w:next w:val="Normal"/>
    <w:rsid w:val="00733A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A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A77"/>
    <w:rPr>
      <w:rFonts w:ascii="Times New Roman" w:eastAsia="Times New Roman" w:hAnsi="Times New Roman" w:cs="Times New Roman"/>
      <w:sz w:val="16"/>
      <w:lang w:eastAsia="en-US"/>
    </w:rPr>
  </w:style>
  <w:style w:type="paragraph" w:styleId="Title">
    <w:name w:val="Title"/>
    <w:basedOn w:val="HeadingBase"/>
    <w:link w:val="TitleChar"/>
    <w:qFormat/>
    <w:rsid w:val="00733A77"/>
    <w:pPr>
      <w:spacing w:before="5040"/>
      <w:jc w:val="center"/>
    </w:pPr>
    <w:rPr>
      <w:sz w:val="48"/>
      <w:szCs w:val="72"/>
      <w:lang w:val="en-US"/>
    </w:rPr>
  </w:style>
  <w:style w:type="character" w:customStyle="1" w:styleId="TitleChar">
    <w:name w:val="Title Char"/>
    <w:basedOn w:val="DefaultParagraphFont"/>
    <w:link w:val="Title"/>
    <w:rsid w:val="00733A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A77"/>
    <w:pPr>
      <w:tabs>
        <w:tab w:val="left" w:pos="3600"/>
        <w:tab w:val="left" w:pos="3958"/>
      </w:tabs>
    </w:pPr>
  </w:style>
  <w:style w:type="paragraph" w:styleId="List">
    <w:name w:val="List"/>
    <w:basedOn w:val="BodyText"/>
    <w:next w:val="BodyText"/>
    <w:rsid w:val="00733A77"/>
    <w:pPr>
      <w:tabs>
        <w:tab w:val="left" w:pos="340"/>
      </w:tabs>
      <w:spacing w:before="60" w:after="60"/>
      <w:ind w:left="340" w:hanging="340"/>
    </w:pPr>
  </w:style>
  <w:style w:type="paragraph" w:customStyle="1" w:styleId="Note">
    <w:name w:val="Note"/>
    <w:basedOn w:val="BodyText"/>
    <w:rsid w:val="00733A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A77"/>
    <w:pPr>
      <w:framePr w:wrap="auto" w:hAnchor="text" w:y="6049"/>
    </w:pPr>
    <w:rPr>
      <w:color w:val="000000"/>
      <w:sz w:val="40"/>
    </w:rPr>
  </w:style>
  <w:style w:type="paragraph" w:customStyle="1" w:styleId="TOCTitle">
    <w:name w:val="TOCTitle"/>
    <w:basedOn w:val="Heading1"/>
    <w:rsid w:val="00733A77"/>
    <w:pPr>
      <w:spacing w:after="240"/>
      <w:jc w:val="center"/>
      <w:outlineLvl w:val="9"/>
    </w:pPr>
    <w:rPr>
      <w:caps/>
    </w:rPr>
  </w:style>
  <w:style w:type="paragraph" w:customStyle="1" w:styleId="Version">
    <w:name w:val="Version"/>
    <w:rsid w:val="00733A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A77"/>
    <w:pPr>
      <w:keepNext w:val="0"/>
      <w:tabs>
        <w:tab w:val="right" w:pos="4176"/>
      </w:tabs>
      <w:ind w:left="198" w:hanging="198"/>
    </w:pPr>
    <w:rPr>
      <w:rFonts w:ascii="Garamond" w:hAnsi="Garamond"/>
    </w:rPr>
  </w:style>
  <w:style w:type="paragraph" w:styleId="IndexHeading">
    <w:name w:val="index heading"/>
    <w:basedOn w:val="Normal"/>
    <w:next w:val="Index1"/>
    <w:semiHidden/>
    <w:rsid w:val="00733A77"/>
    <w:pPr>
      <w:spacing w:before="120" w:after="120"/>
    </w:pPr>
    <w:rPr>
      <w:rFonts w:ascii="Arial" w:hAnsi="Arial"/>
      <w:b/>
      <w:color w:val="918585"/>
      <w:sz w:val="24"/>
    </w:rPr>
  </w:style>
  <w:style w:type="paragraph" w:styleId="Header">
    <w:name w:val="header"/>
    <w:basedOn w:val="Normal"/>
    <w:link w:val="HeaderChar"/>
    <w:rsid w:val="00733A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A77"/>
    <w:rPr>
      <w:rFonts w:ascii="Times New Roman" w:eastAsia="Times New Roman" w:hAnsi="Times New Roman" w:cs="Times New Roman"/>
      <w:sz w:val="16"/>
      <w:szCs w:val="20"/>
      <w:lang w:val="en-GB" w:eastAsia="en-US"/>
    </w:rPr>
  </w:style>
  <w:style w:type="paragraph" w:customStyle="1" w:styleId="Chapter">
    <w:name w:val="Chapter"/>
    <w:basedOn w:val="Normal"/>
    <w:rsid w:val="00733A77"/>
    <w:pPr>
      <w:spacing w:before="240"/>
    </w:pPr>
    <w:rPr>
      <w:rFonts w:ascii="Times New Roman" w:hAnsi="Times New Roman"/>
      <w:smallCaps/>
      <w:spacing w:val="80"/>
      <w:sz w:val="28"/>
    </w:rPr>
  </w:style>
  <w:style w:type="paragraph" w:customStyle="1" w:styleId="InChapter">
    <w:name w:val="InChapter"/>
    <w:basedOn w:val="Heading3"/>
    <w:rsid w:val="00733A77"/>
    <w:pPr>
      <w:spacing w:after="240"/>
      <w:outlineLvl w:val="9"/>
    </w:pPr>
    <w:rPr>
      <w:noProof/>
    </w:rPr>
  </w:style>
  <w:style w:type="paragraph" w:styleId="Index2">
    <w:name w:val="index 2"/>
    <w:basedOn w:val="Normal"/>
    <w:next w:val="Normal"/>
    <w:semiHidden/>
    <w:rsid w:val="00733A77"/>
    <w:pPr>
      <w:tabs>
        <w:tab w:val="right" w:pos="4176"/>
      </w:tabs>
      <w:ind w:left="568" w:hanging="284"/>
    </w:pPr>
    <w:rPr>
      <w:rFonts w:ascii="Garamond" w:hAnsi="Garamond"/>
    </w:rPr>
  </w:style>
  <w:style w:type="paragraph" w:customStyle="1" w:styleId="Byline">
    <w:name w:val="Byline"/>
    <w:rsid w:val="00733A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A77"/>
    <w:pPr>
      <w:tabs>
        <w:tab w:val="clear" w:pos="3600"/>
        <w:tab w:val="clear" w:pos="3958"/>
      </w:tabs>
      <w:jc w:val="right"/>
    </w:pPr>
  </w:style>
  <w:style w:type="character" w:styleId="Emphasis">
    <w:name w:val="Emphasis"/>
    <w:basedOn w:val="DefaultParagraphFont"/>
    <w:qFormat/>
    <w:rsid w:val="00733A77"/>
    <w:rPr>
      <w:i/>
    </w:rPr>
  </w:style>
  <w:style w:type="paragraph" w:styleId="Caption">
    <w:name w:val="caption"/>
    <w:basedOn w:val="BodyText"/>
    <w:next w:val="Normal"/>
    <w:qFormat/>
    <w:rsid w:val="00733A77"/>
    <w:pPr>
      <w:framePr w:w="2268" w:hSpace="181" w:vSpace="181" w:wrap="around" w:vAnchor="text" w:hAnchor="page" w:x="1135" w:y="285" w:anchorLock="1"/>
    </w:pPr>
    <w:rPr>
      <w:i/>
    </w:rPr>
  </w:style>
  <w:style w:type="paragraph" w:customStyle="1" w:styleId="MiniTOCTitle">
    <w:name w:val="MiniTOCTitle"/>
    <w:basedOn w:val="Heading4"/>
    <w:rsid w:val="00733A77"/>
    <w:pPr>
      <w:spacing w:before="240"/>
      <w:outlineLvl w:val="9"/>
    </w:pPr>
    <w:rPr>
      <w:noProof/>
      <w:sz w:val="24"/>
    </w:rPr>
  </w:style>
  <w:style w:type="paragraph" w:customStyle="1" w:styleId="MiniTOCItem">
    <w:name w:val="MiniTOCItem"/>
    <w:basedOn w:val="ListBullet"/>
    <w:rsid w:val="00733A77"/>
    <w:pPr>
      <w:numPr>
        <w:numId w:val="0"/>
      </w:numPr>
      <w:tabs>
        <w:tab w:val="right" w:leader="dot" w:pos="6521"/>
      </w:tabs>
      <w:spacing w:before="0" w:after="0"/>
    </w:pPr>
  </w:style>
  <w:style w:type="paragraph" w:customStyle="1" w:styleId="TOFTitle">
    <w:name w:val="TOFTitle"/>
    <w:basedOn w:val="TOCTitle"/>
    <w:rsid w:val="00733A77"/>
  </w:style>
  <w:style w:type="paragraph" w:styleId="TableofFigures">
    <w:name w:val="table of figures"/>
    <w:basedOn w:val="Normal"/>
    <w:next w:val="Normal"/>
    <w:semiHidden/>
    <w:rsid w:val="00733A77"/>
    <w:pPr>
      <w:tabs>
        <w:tab w:val="right" w:leader="dot" w:pos="9072"/>
      </w:tabs>
      <w:ind w:left="970" w:hanging="403"/>
    </w:pPr>
    <w:rPr>
      <w:rFonts w:ascii="Times New Roman" w:hAnsi="Times New Roman"/>
      <w:b/>
    </w:rPr>
  </w:style>
  <w:style w:type="paragraph" w:styleId="ListNumber">
    <w:name w:val="List Number"/>
    <w:basedOn w:val="List"/>
    <w:rsid w:val="00733A77"/>
    <w:pPr>
      <w:numPr>
        <w:numId w:val="11"/>
      </w:numPr>
    </w:pPr>
  </w:style>
  <w:style w:type="character" w:customStyle="1" w:styleId="WingdingSymbols">
    <w:name w:val="Wingding Symbols"/>
    <w:rsid w:val="00733A77"/>
    <w:rPr>
      <w:rFonts w:ascii="Wingdings" w:hAnsi="Wingdings"/>
    </w:rPr>
  </w:style>
  <w:style w:type="paragraph" w:customStyle="1" w:styleId="TableHeading">
    <w:name w:val="Table Heading"/>
    <w:basedOn w:val="HeadingBase"/>
    <w:rsid w:val="00733A77"/>
    <w:pPr>
      <w:keepLines/>
      <w:pBdr>
        <w:bottom w:val="single" w:sz="6" w:space="1" w:color="918585"/>
      </w:pBdr>
      <w:spacing w:before="240"/>
    </w:pPr>
  </w:style>
  <w:style w:type="character" w:customStyle="1" w:styleId="HotSpot">
    <w:name w:val="HotSpot"/>
    <w:rsid w:val="00733A77"/>
    <w:rPr>
      <w:color w:val="0033CC"/>
      <w:u w:val="none"/>
    </w:rPr>
  </w:style>
  <w:style w:type="paragraph" w:customStyle="1" w:styleId="BodyTextRight">
    <w:name w:val="Body Text Right"/>
    <w:basedOn w:val="BodyText"/>
    <w:rsid w:val="00733A77"/>
    <w:pPr>
      <w:spacing w:before="0" w:after="0"/>
      <w:jc w:val="right"/>
    </w:pPr>
  </w:style>
  <w:style w:type="paragraph" w:styleId="Index3">
    <w:name w:val="index 3"/>
    <w:basedOn w:val="ListNumber2"/>
    <w:next w:val="Normal"/>
    <w:semiHidden/>
    <w:rsid w:val="00733A77"/>
    <w:pPr>
      <w:numPr>
        <w:numId w:val="0"/>
      </w:numPr>
      <w:tabs>
        <w:tab w:val="right" w:leader="dot" w:pos="4176"/>
      </w:tabs>
    </w:pPr>
  </w:style>
  <w:style w:type="paragraph" w:styleId="ListNumber2">
    <w:name w:val="List Number 2"/>
    <w:basedOn w:val="List2"/>
    <w:rsid w:val="00733A77"/>
    <w:pPr>
      <w:numPr>
        <w:numId w:val="10"/>
      </w:numPr>
      <w:tabs>
        <w:tab w:val="clear" w:pos="1060"/>
      </w:tabs>
    </w:pPr>
  </w:style>
  <w:style w:type="paragraph" w:customStyle="1" w:styleId="MarginNote">
    <w:name w:val="Margin Note"/>
    <w:basedOn w:val="BodyText"/>
    <w:rsid w:val="00733A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A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A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A77"/>
    <w:rPr>
      <w:sz w:val="32"/>
    </w:rPr>
  </w:style>
  <w:style w:type="paragraph" w:customStyle="1" w:styleId="HeadingProcedure">
    <w:name w:val="Heading Procedure"/>
    <w:basedOn w:val="HeadingBase"/>
    <w:next w:val="Normal"/>
    <w:rsid w:val="00733A77"/>
    <w:pPr>
      <w:tabs>
        <w:tab w:val="left" w:pos="0"/>
      </w:tabs>
      <w:spacing w:before="120" w:after="60"/>
    </w:pPr>
    <w:rPr>
      <w:i/>
      <w:color w:val="918585"/>
      <w:sz w:val="22"/>
    </w:rPr>
  </w:style>
  <w:style w:type="paragraph" w:customStyle="1" w:styleId="TableBodyText">
    <w:name w:val="Table Body Text"/>
    <w:basedOn w:val="BodyText"/>
    <w:rsid w:val="00733A77"/>
    <w:pPr>
      <w:spacing w:before="60" w:after="60"/>
    </w:pPr>
  </w:style>
  <w:style w:type="paragraph" w:styleId="ListContinue">
    <w:name w:val="List Continue"/>
    <w:basedOn w:val="List"/>
    <w:rsid w:val="00733A77"/>
    <w:pPr>
      <w:ind w:firstLine="0"/>
    </w:pPr>
  </w:style>
  <w:style w:type="paragraph" w:customStyle="1" w:styleId="ListNote">
    <w:name w:val="List Note"/>
    <w:basedOn w:val="List"/>
    <w:rsid w:val="00733A77"/>
    <w:pPr>
      <w:pBdr>
        <w:top w:val="single" w:sz="6" w:space="2" w:color="918585"/>
        <w:bottom w:val="single" w:sz="6" w:space="2" w:color="918585"/>
      </w:pBdr>
      <w:tabs>
        <w:tab w:val="left" w:pos="1021"/>
      </w:tabs>
      <w:ind w:firstLine="0"/>
    </w:pPr>
  </w:style>
  <w:style w:type="paragraph" w:customStyle="1" w:styleId="Warning">
    <w:name w:val="Warning"/>
    <w:basedOn w:val="BodyText"/>
    <w:rsid w:val="00733A77"/>
    <w:pPr>
      <w:shd w:val="clear" w:color="auto" w:fill="D9D9D9"/>
      <w:tabs>
        <w:tab w:val="left" w:pos="992"/>
      </w:tabs>
      <w:ind w:left="119" w:right="119"/>
    </w:pPr>
    <w:rPr>
      <w:sz w:val="20"/>
    </w:rPr>
  </w:style>
  <w:style w:type="paragraph" w:customStyle="1" w:styleId="MarginIcons">
    <w:name w:val="Margin Icons"/>
    <w:basedOn w:val="BodyText"/>
    <w:rsid w:val="00733A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A77"/>
    <w:rPr>
      <w:rFonts w:ascii="Courier New" w:hAnsi="Courier New"/>
    </w:rPr>
  </w:style>
  <w:style w:type="paragraph" w:customStyle="1" w:styleId="NoteBullet">
    <w:name w:val="Note Bullet"/>
    <w:basedOn w:val="Note"/>
    <w:rsid w:val="00733A77"/>
    <w:pPr>
      <w:tabs>
        <w:tab w:val="clear" w:pos="680"/>
      </w:tabs>
      <w:spacing w:before="60" w:after="60"/>
    </w:pPr>
  </w:style>
  <w:style w:type="paragraph" w:customStyle="1" w:styleId="SubHeading2">
    <w:name w:val="SubHeading2"/>
    <w:basedOn w:val="HeadingBase"/>
    <w:rsid w:val="00733A77"/>
    <w:pPr>
      <w:spacing w:before="240" w:after="60"/>
    </w:pPr>
    <w:rPr>
      <w:sz w:val="20"/>
    </w:rPr>
  </w:style>
  <w:style w:type="paragraph" w:customStyle="1" w:styleId="SubHeading1">
    <w:name w:val="SubHeading1"/>
    <w:basedOn w:val="HeadingBase"/>
    <w:rsid w:val="00733A77"/>
    <w:pPr>
      <w:spacing w:before="240" w:after="60"/>
    </w:pPr>
    <w:rPr>
      <w:color w:val="918585"/>
      <w:sz w:val="22"/>
    </w:rPr>
  </w:style>
  <w:style w:type="paragraph" w:customStyle="1" w:styleId="SideHeading">
    <w:name w:val="Side Heading"/>
    <w:basedOn w:val="HeadingBase"/>
    <w:rsid w:val="00733A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A77"/>
    <w:pPr>
      <w:numPr>
        <w:numId w:val="12"/>
      </w:numPr>
    </w:pPr>
  </w:style>
  <w:style w:type="paragraph" w:styleId="PlainText">
    <w:name w:val="Plain Text"/>
    <w:basedOn w:val="Normal"/>
    <w:link w:val="PlainTextChar"/>
    <w:rsid w:val="00733A77"/>
    <w:rPr>
      <w:sz w:val="20"/>
    </w:rPr>
  </w:style>
  <w:style w:type="character" w:customStyle="1" w:styleId="PlainTextChar">
    <w:name w:val="Plain Text Char"/>
    <w:basedOn w:val="DefaultParagraphFont"/>
    <w:link w:val="PlainText"/>
    <w:rsid w:val="00733A77"/>
    <w:rPr>
      <w:rFonts w:ascii="Courier New" w:eastAsia="Times New Roman" w:hAnsi="Courier New" w:cs="Times New Roman"/>
      <w:sz w:val="20"/>
      <w:szCs w:val="20"/>
      <w:lang w:eastAsia="en-US"/>
    </w:rPr>
  </w:style>
  <w:style w:type="character" w:customStyle="1" w:styleId="MenuOption">
    <w:name w:val="Menu Option"/>
    <w:basedOn w:val="DefaultParagraphFont"/>
    <w:rsid w:val="00733A77"/>
    <w:rPr>
      <w:b/>
      <w:smallCaps/>
    </w:rPr>
  </w:style>
  <w:style w:type="paragraph" w:customStyle="1" w:styleId="TableListNumber">
    <w:name w:val="Table List Number"/>
    <w:basedOn w:val="ListNumber"/>
    <w:rsid w:val="00733A77"/>
    <w:pPr>
      <w:numPr>
        <w:numId w:val="0"/>
      </w:numPr>
    </w:pPr>
  </w:style>
  <w:style w:type="paragraph" w:styleId="TOC4">
    <w:name w:val="toc 4"/>
    <w:basedOn w:val="TOCBase"/>
    <w:next w:val="Normal"/>
    <w:semiHidden/>
    <w:rsid w:val="00733A77"/>
    <w:pPr>
      <w:tabs>
        <w:tab w:val="right" w:leader="dot" w:pos="9071"/>
      </w:tabs>
      <w:ind w:left="1701"/>
    </w:pPr>
  </w:style>
  <w:style w:type="paragraph" w:customStyle="1" w:styleId="ListAlpha">
    <w:name w:val="List Alpha"/>
    <w:basedOn w:val="List"/>
    <w:rsid w:val="00733A77"/>
    <w:pPr>
      <w:numPr>
        <w:numId w:val="9"/>
      </w:numPr>
    </w:pPr>
  </w:style>
  <w:style w:type="paragraph" w:customStyle="1" w:styleId="ListAlpha2">
    <w:name w:val="List Alpha 2"/>
    <w:basedOn w:val="List2"/>
    <w:rsid w:val="00733A77"/>
    <w:pPr>
      <w:numPr>
        <w:numId w:val="8"/>
      </w:numPr>
    </w:pPr>
  </w:style>
  <w:style w:type="paragraph" w:styleId="List2">
    <w:name w:val="List 2"/>
    <w:basedOn w:val="BodyText"/>
    <w:rsid w:val="00733A77"/>
    <w:pPr>
      <w:tabs>
        <w:tab w:val="left" w:pos="680"/>
      </w:tabs>
      <w:spacing w:before="60" w:after="60"/>
      <w:ind w:left="680" w:hanging="340"/>
    </w:pPr>
  </w:style>
  <w:style w:type="paragraph" w:styleId="List3">
    <w:name w:val="List 3"/>
    <w:basedOn w:val="BodyText"/>
    <w:rsid w:val="00733A77"/>
    <w:pPr>
      <w:tabs>
        <w:tab w:val="left" w:pos="1021"/>
      </w:tabs>
      <w:spacing w:before="60" w:after="60"/>
      <w:ind w:left="1020" w:hanging="340"/>
    </w:pPr>
  </w:style>
  <w:style w:type="paragraph" w:styleId="List4">
    <w:name w:val="List 4"/>
    <w:basedOn w:val="BodyText"/>
    <w:rsid w:val="00733A77"/>
    <w:pPr>
      <w:tabs>
        <w:tab w:val="left" w:pos="1361"/>
      </w:tabs>
      <w:spacing w:before="60" w:after="60"/>
      <w:ind w:left="1361" w:hanging="340"/>
    </w:pPr>
  </w:style>
  <w:style w:type="paragraph" w:styleId="List5">
    <w:name w:val="List 5"/>
    <w:basedOn w:val="BodyText"/>
    <w:rsid w:val="00733A77"/>
    <w:pPr>
      <w:tabs>
        <w:tab w:val="left" w:pos="1701"/>
      </w:tabs>
      <w:spacing w:before="60" w:after="60"/>
      <w:ind w:left="1701" w:hanging="340"/>
    </w:pPr>
  </w:style>
  <w:style w:type="paragraph" w:styleId="ListBullet3">
    <w:name w:val="List Bullet 3"/>
    <w:basedOn w:val="List3"/>
    <w:rsid w:val="00733A77"/>
    <w:pPr>
      <w:numPr>
        <w:numId w:val="15"/>
      </w:numPr>
      <w:tabs>
        <w:tab w:val="clear" w:pos="1021"/>
      </w:tabs>
      <w:ind w:left="1037" w:hanging="357"/>
    </w:pPr>
  </w:style>
  <w:style w:type="paragraph" w:styleId="ListBullet4">
    <w:name w:val="List Bullet 4"/>
    <w:basedOn w:val="List4"/>
    <w:rsid w:val="00733A77"/>
    <w:pPr>
      <w:numPr>
        <w:numId w:val="3"/>
      </w:numPr>
    </w:pPr>
  </w:style>
  <w:style w:type="paragraph" w:styleId="ListBullet5">
    <w:name w:val="List Bullet 5"/>
    <w:basedOn w:val="List5"/>
    <w:rsid w:val="00733A77"/>
    <w:pPr>
      <w:numPr>
        <w:numId w:val="4"/>
      </w:numPr>
    </w:pPr>
  </w:style>
  <w:style w:type="paragraph" w:styleId="ListContinue2">
    <w:name w:val="List Continue 2"/>
    <w:basedOn w:val="List2"/>
    <w:rsid w:val="00733A77"/>
    <w:pPr>
      <w:ind w:firstLine="0"/>
    </w:pPr>
  </w:style>
  <w:style w:type="paragraph" w:styleId="ListContinue3">
    <w:name w:val="List Continue 3"/>
    <w:basedOn w:val="List3"/>
    <w:rsid w:val="00733A77"/>
    <w:pPr>
      <w:ind w:left="1021" w:firstLine="0"/>
    </w:pPr>
  </w:style>
  <w:style w:type="paragraph" w:styleId="ListContinue4">
    <w:name w:val="List Continue 4"/>
    <w:basedOn w:val="List4"/>
    <w:rsid w:val="00733A77"/>
    <w:pPr>
      <w:ind w:firstLine="0"/>
    </w:pPr>
  </w:style>
  <w:style w:type="paragraph" w:styleId="ListContinue5">
    <w:name w:val="List Continue 5"/>
    <w:basedOn w:val="List5"/>
    <w:rsid w:val="00733A77"/>
    <w:pPr>
      <w:ind w:firstLine="0"/>
    </w:pPr>
  </w:style>
  <w:style w:type="paragraph" w:styleId="ListNumber3">
    <w:name w:val="List Number 3"/>
    <w:basedOn w:val="List3"/>
    <w:rsid w:val="00733A77"/>
    <w:pPr>
      <w:numPr>
        <w:numId w:val="5"/>
      </w:numPr>
    </w:pPr>
  </w:style>
  <w:style w:type="paragraph" w:styleId="ListNumber4">
    <w:name w:val="List Number 4"/>
    <w:basedOn w:val="List4"/>
    <w:rsid w:val="00733A77"/>
    <w:pPr>
      <w:numPr>
        <w:numId w:val="6"/>
      </w:numPr>
    </w:pPr>
  </w:style>
  <w:style w:type="paragraph" w:styleId="ListNumber5">
    <w:name w:val="List Number 5"/>
    <w:basedOn w:val="List5"/>
    <w:rsid w:val="00733A77"/>
    <w:pPr>
      <w:numPr>
        <w:numId w:val="7"/>
      </w:numPr>
    </w:pPr>
  </w:style>
  <w:style w:type="paragraph" w:styleId="BlockText">
    <w:name w:val="Block Text"/>
    <w:basedOn w:val="Normal"/>
    <w:rsid w:val="00733A77"/>
    <w:pPr>
      <w:spacing w:after="120"/>
      <w:ind w:left="1440" w:right="1440"/>
    </w:pPr>
  </w:style>
  <w:style w:type="character" w:customStyle="1" w:styleId="Subscript">
    <w:name w:val="Subscript"/>
    <w:basedOn w:val="DefaultParagraphFont"/>
    <w:rsid w:val="00733A77"/>
    <w:rPr>
      <w:sz w:val="16"/>
      <w:vertAlign w:val="subscript"/>
    </w:rPr>
  </w:style>
  <w:style w:type="character" w:customStyle="1" w:styleId="Superscript">
    <w:name w:val="Superscript"/>
    <w:basedOn w:val="DefaultParagraphFont"/>
    <w:rsid w:val="00733A77"/>
    <w:rPr>
      <w:sz w:val="16"/>
      <w:vertAlign w:val="superscript"/>
    </w:rPr>
  </w:style>
  <w:style w:type="character" w:customStyle="1" w:styleId="Symbols">
    <w:name w:val="Symbols"/>
    <w:basedOn w:val="DefaultParagraphFont"/>
    <w:rsid w:val="00733A77"/>
    <w:rPr>
      <w:rFonts w:ascii="Symbol" w:hAnsi="Symbol"/>
    </w:rPr>
  </w:style>
  <w:style w:type="character" w:customStyle="1" w:styleId="MenuOptions">
    <w:name w:val="Menu Options"/>
    <w:basedOn w:val="DefaultParagraphFont"/>
    <w:rsid w:val="00733A77"/>
    <w:rPr>
      <w:rFonts w:ascii="Arial Narrow" w:hAnsi="Arial Narrow"/>
      <w:smallCaps/>
    </w:rPr>
  </w:style>
  <w:style w:type="character" w:customStyle="1" w:styleId="Buttons">
    <w:name w:val="Buttons"/>
    <w:basedOn w:val="DefaultParagraphFont"/>
    <w:rsid w:val="00733A77"/>
    <w:rPr>
      <w:b/>
    </w:rPr>
  </w:style>
  <w:style w:type="character" w:customStyle="1" w:styleId="Underlined">
    <w:name w:val="Underlined"/>
    <w:basedOn w:val="DefaultParagraphFont"/>
    <w:rsid w:val="00733A77"/>
    <w:rPr>
      <w:u w:val="single"/>
    </w:rPr>
  </w:style>
  <w:style w:type="paragraph" w:customStyle="1" w:styleId="TableBodyTextRight">
    <w:name w:val="Table Body Text Right"/>
    <w:basedOn w:val="TableBodyText"/>
    <w:rsid w:val="00733A77"/>
    <w:pPr>
      <w:widowControl w:val="0"/>
      <w:autoSpaceDE w:val="0"/>
      <w:autoSpaceDN w:val="0"/>
      <w:adjustRightInd w:val="0"/>
      <w:jc w:val="right"/>
    </w:pPr>
    <w:rPr>
      <w:rFonts w:cs="Arial"/>
      <w:szCs w:val="18"/>
    </w:rPr>
  </w:style>
  <w:style w:type="paragraph" w:customStyle="1" w:styleId="CopyrightText">
    <w:name w:val="Copyright Text"/>
    <w:basedOn w:val="BodyText"/>
    <w:rsid w:val="00733A77"/>
    <w:rPr>
      <w:sz w:val="18"/>
    </w:rPr>
  </w:style>
  <w:style w:type="paragraph" w:customStyle="1" w:styleId="BodySmallRight">
    <w:name w:val="Body Small Right"/>
    <w:basedOn w:val="BodyTextRight"/>
    <w:rsid w:val="00733A77"/>
    <w:rPr>
      <w:sz w:val="18"/>
      <w:szCs w:val="18"/>
    </w:rPr>
  </w:style>
  <w:style w:type="paragraph" w:customStyle="1" w:styleId="MarginEdition">
    <w:name w:val="Margin Edition"/>
    <w:basedOn w:val="MarginNote"/>
    <w:rsid w:val="00733A77"/>
    <w:pPr>
      <w:spacing w:before="0" w:after="0"/>
    </w:pPr>
    <w:rPr>
      <w:rFonts w:ascii="Times New Roman" w:hAnsi="Times New Roman"/>
      <w:color w:val="999999"/>
    </w:rPr>
  </w:style>
  <w:style w:type="paragraph" w:customStyle="1" w:styleId="Spacer">
    <w:name w:val="Spacer"/>
    <w:basedOn w:val="Normal"/>
    <w:rsid w:val="00733A77"/>
    <w:rPr>
      <w:sz w:val="2"/>
      <w:szCs w:val="2"/>
    </w:rPr>
  </w:style>
  <w:style w:type="character" w:customStyle="1" w:styleId="Small">
    <w:name w:val="Small"/>
    <w:basedOn w:val="DefaultParagraphFont"/>
    <w:rsid w:val="00733A77"/>
    <w:rPr>
      <w:sz w:val="16"/>
    </w:rPr>
  </w:style>
  <w:style w:type="paragraph" w:customStyle="1" w:styleId="WideTable">
    <w:name w:val="Wide Table"/>
    <w:basedOn w:val="Normal"/>
    <w:rsid w:val="00733A77"/>
    <w:pPr>
      <w:ind w:left="-1418"/>
    </w:pPr>
    <w:rPr>
      <w:sz w:val="2"/>
      <w:szCs w:val="2"/>
    </w:rPr>
  </w:style>
  <w:style w:type="character" w:styleId="PageNumber">
    <w:name w:val="page number"/>
    <w:basedOn w:val="DefaultParagraphFont"/>
    <w:rsid w:val="00733A77"/>
  </w:style>
  <w:style w:type="paragraph" w:styleId="Quote">
    <w:name w:val="Quote"/>
    <w:basedOn w:val="Heading1"/>
    <w:link w:val="QuoteChar"/>
    <w:qFormat/>
    <w:rsid w:val="00733A77"/>
    <w:rPr>
      <w:b w:val="0"/>
      <w:sz w:val="72"/>
      <w:szCs w:val="72"/>
      <w:lang w:val="en-NZ"/>
    </w:rPr>
  </w:style>
  <w:style w:type="character" w:customStyle="1" w:styleId="QuoteChar">
    <w:name w:val="Quote Char"/>
    <w:basedOn w:val="DefaultParagraphFont"/>
    <w:link w:val="Quote"/>
    <w:rsid w:val="00733A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A77"/>
    <w:pPr>
      <w:pageBreakBefore/>
    </w:pPr>
  </w:style>
  <w:style w:type="paragraph" w:customStyle="1" w:styleId="Border">
    <w:name w:val="Border"/>
    <w:basedOn w:val="Normal"/>
    <w:qFormat/>
    <w:rsid w:val="00733A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A77"/>
    <w:rPr>
      <w:b/>
      <w:bCs/>
      <w:i/>
      <w:iCs/>
      <w:color w:val="auto"/>
    </w:rPr>
  </w:style>
  <w:style w:type="paragraph" w:styleId="IntenseQuote">
    <w:name w:val="Intense Quote"/>
    <w:basedOn w:val="Normal"/>
    <w:next w:val="Normal"/>
    <w:link w:val="IntenseQuoteChar"/>
    <w:uiPriority w:val="30"/>
    <w:qFormat/>
    <w:rsid w:val="00733A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A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A77"/>
    <w:rPr>
      <w:smallCaps/>
      <w:color w:val="auto"/>
      <w:u w:val="single"/>
    </w:rPr>
  </w:style>
  <w:style w:type="character" w:styleId="IntenseReference">
    <w:name w:val="Intense Reference"/>
    <w:basedOn w:val="DefaultParagraphFont"/>
    <w:uiPriority w:val="32"/>
    <w:qFormat/>
    <w:rsid w:val="00733A77"/>
    <w:rPr>
      <w:b/>
      <w:bCs/>
      <w:smallCaps/>
      <w:color w:val="auto"/>
      <w:spacing w:val="5"/>
      <w:u w:val="single"/>
    </w:rPr>
  </w:style>
  <w:style w:type="paragraph" w:customStyle="1" w:styleId="2ColumnHeading">
    <w:name w:val="2Column Heading"/>
    <w:basedOn w:val="BodyText"/>
    <w:qFormat/>
    <w:rsid w:val="00733A77"/>
    <w:pPr>
      <w:spacing w:after="60"/>
      <w:ind w:left="-2268"/>
    </w:pPr>
    <w:rPr>
      <w:b/>
    </w:rPr>
  </w:style>
  <w:style w:type="paragraph" w:customStyle="1" w:styleId="Heading1TOC">
    <w:name w:val="Heading1 TOC"/>
    <w:basedOn w:val="Normal"/>
    <w:qFormat/>
    <w:rsid w:val="00733A77"/>
    <w:pPr>
      <w:spacing w:before="240" w:after="120"/>
    </w:pPr>
    <w:rPr>
      <w:rFonts w:ascii="Times New Roman" w:hAnsi="Times New Roman"/>
      <w:b/>
      <w:sz w:val="32"/>
    </w:rPr>
  </w:style>
  <w:style w:type="paragraph" w:customStyle="1" w:styleId="Heading2TOC">
    <w:name w:val="Heading2 TOC"/>
    <w:basedOn w:val="Normal"/>
    <w:qFormat/>
    <w:rsid w:val="00733A77"/>
    <w:pPr>
      <w:spacing w:before="240" w:after="60"/>
    </w:pPr>
    <w:rPr>
      <w:rFonts w:ascii="Times New Roman" w:hAnsi="Times New Roman"/>
      <w:b/>
      <w:sz w:val="28"/>
    </w:rPr>
  </w:style>
  <w:style w:type="character" w:customStyle="1" w:styleId="Underline">
    <w:name w:val="Underline"/>
    <w:basedOn w:val="DefaultParagraphFont"/>
    <w:qFormat/>
    <w:rsid w:val="00733A77"/>
    <w:rPr>
      <w:u w:val="single"/>
    </w:rPr>
  </w:style>
  <w:style w:type="character" w:customStyle="1" w:styleId="BoldandItalics">
    <w:name w:val="Bold and Italics"/>
    <w:qFormat/>
    <w:rsid w:val="00733A77"/>
    <w:rPr>
      <w:b/>
      <w:i/>
      <w:u w:val="none"/>
    </w:rPr>
  </w:style>
  <w:style w:type="paragraph" w:styleId="BalloonText">
    <w:name w:val="Balloon Text"/>
    <w:basedOn w:val="Normal"/>
    <w:link w:val="BalloonTextChar"/>
    <w:rsid w:val="00733A77"/>
    <w:rPr>
      <w:rFonts w:ascii="Tahoma" w:hAnsi="Tahoma" w:cs="Tahoma"/>
      <w:sz w:val="16"/>
      <w:szCs w:val="16"/>
    </w:rPr>
  </w:style>
  <w:style w:type="character" w:customStyle="1" w:styleId="BalloonTextChar">
    <w:name w:val="Balloon Text Char"/>
    <w:basedOn w:val="DefaultParagraphFont"/>
    <w:link w:val="BalloonText"/>
    <w:rsid w:val="00733A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A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A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A77"/>
    <w:rPr>
      <w:b/>
      <w:color w:val="660033"/>
      <w:spacing w:val="0"/>
    </w:rPr>
  </w:style>
  <w:style w:type="paragraph" w:customStyle="1" w:styleId="Nameditemlist">
    <w:name w:val="Named item list"/>
    <w:basedOn w:val="BodyText"/>
    <w:qFormat/>
    <w:rsid w:val="00733A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904</Words>
  <Characters>5808</Characters>
  <Application>Microsoft Office Word</Application>
  <DocSecurity>0</DocSecurity>
  <Lines>224</Lines>
  <Paragraphs>134</Paragraphs>
  <ScaleCrop>false</ScaleCrop>
  <Company>Author-it Software Corporation Ltd.</Company>
  <LinksUpToDate>false</LinksUpToDate>
  <CharactersWithSpaces>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TLIF5021A Apply rail safeworking rules and procedures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2013-12-24T08:54:06Z</dcterms:created>
  <dcterms:modified xsi:type="dcterms:W3CDTF">2013-12-23T05:24:00Z</dcterms:modified>
</cp:coreProperties>
</file>