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E36E6" w:rsidP="00DE36E6">
      <w:pPr>
        <w:pStyle w:val="Title"/>
      </w:pPr>
      <w:bookmarkStart w:id="0" w:name="_GoBack"/>
      <w:bookmarkEnd w:id="0"/>
      <w:r>
        <w:fldChar w:fldCharType="begin"/>
      </w:r>
      <w:r>
        <w:instrText xml:space="preserve"> TITLE   \* MERGEFORMAT </w:instrText>
      </w:r>
      <w:r>
        <w:fldChar w:fldCharType="separate"/>
      </w:r>
      <w:r>
        <w:t>TLIF4090A Implement safeworking rules and regulations for network control activities</w:t>
      </w:r>
      <w:r>
        <w:fldChar w:fldCharType="end"/>
      </w:r>
    </w:p>
    <w:p w:rsidR="00DE36E6" w:rsidP="00DE36E6">
      <w:pPr>
        <w:pStyle w:val="Version"/>
        <w:sectPr w:rsidSect="002E435B">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2E435B" w:rsidP="002E435B">
      <w:pPr>
        <w:pStyle w:val="SuperHeading"/>
      </w:pPr>
      <w:r w:rsidRPr="002E435B">
        <w:t>TLIF4090A Implement safeworking rules and regulations for network control activities</w:t>
      </w:r>
    </w:p>
    <w:p w:rsidR="00000000" w:rsidRPr="002E435B" w:rsidP="002E435B">
      <w:pPr>
        <w:pStyle w:val="Heading1"/>
      </w:pPr>
      <w:bookmarkStart w:id="1" w:name="O_357623"/>
      <w:bookmarkEnd w:id="1"/>
      <w:r w:rsidRPr="002E435B">
        <w:t>Modification History</w:t>
      </w:r>
    </w:p>
    <w:p w:rsidR="00000000" w:rsidRPr="002E435B" w:rsidP="002E435B">
      <w:pPr>
        <w:pStyle w:val="BodyText"/>
      </w:pPr>
      <w:r w:rsidRPr="002E435B">
        <w:t>Not applicable.</w:t>
      </w:r>
    </w:p>
    <w:p w:rsidR="00000000" w:rsidRPr="002E435B" w:rsidP="002E435B">
      <w:pPr>
        <w:pStyle w:val="AllowPageBreak"/>
      </w:pPr>
    </w:p>
    <w:p w:rsidR="00000000" w:rsidRPr="002E435B" w:rsidP="002E435B">
      <w:pPr>
        <w:pStyle w:val="Heading1"/>
      </w:pPr>
      <w:bookmarkStart w:id="2" w:name="O_357624"/>
      <w:bookmarkEnd w:id="2"/>
      <w:r w:rsidRPr="002E435B">
        <w:t>Unit Descriptor</w:t>
      </w:r>
    </w:p>
    <w:tbl>
      <w:tblPr>
        <w:tblW w:w="0" w:type="auto"/>
        <w:tblCellMar>
          <w:left w:w="62" w:type="dxa"/>
          <w:right w:w="62" w:type="dxa"/>
        </w:tblCellMar>
        <w:tblLook w:val="0000"/>
      </w:tblPr>
      <w:tblGrid>
        <w:gridCol w:w="9196"/>
      </w:tblGrid>
      <w:tr w:rsidTr="00DE36E6">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2E435B" w:rsidP="002E435B">
            <w:pPr>
              <w:pStyle w:val="BodyText"/>
            </w:pPr>
            <w:r w:rsidRPr="002E435B">
              <w:t>This unit involves the skills and knowledge required to implement and coord</w:t>
            </w:r>
            <w:r w:rsidRPr="002E435B">
              <w:t>inate safeworking rules and regulations for network control activities. It includes implementing safeworking rules and regulations; applying and managing safeworking protocols and communications; and taking appropriate action in the event of safety inciden</w:t>
            </w:r>
            <w:r w:rsidRPr="002E435B">
              <w:t xml:space="preserve">ts, unsafe situations or emergencies. </w:t>
            </w:r>
          </w:p>
          <w:p w:rsidR="00000000" w:rsidRPr="002E435B" w:rsidP="002E435B">
            <w:pPr>
              <w:pStyle w:val="BodyText"/>
            </w:pPr>
            <w:r w:rsidRPr="002E435B">
              <w:t>Licensing or certification requirements may be applicable to this unit.</w:t>
            </w:r>
          </w:p>
        </w:tc>
      </w:tr>
    </w:tbl>
    <w:p w:rsidR="00000000" w:rsidRPr="002E435B" w:rsidP="002E435B">
      <w:pPr>
        <w:pStyle w:val="BodyText"/>
      </w:pPr>
    </w:p>
    <w:p w:rsidR="00000000" w:rsidRPr="002E435B" w:rsidP="002E435B">
      <w:pPr>
        <w:pStyle w:val="AllowPageBreak"/>
      </w:pPr>
    </w:p>
    <w:p w:rsidR="00000000" w:rsidRPr="002E435B" w:rsidP="002E435B">
      <w:pPr>
        <w:pStyle w:val="Heading1"/>
      </w:pPr>
      <w:bookmarkStart w:id="3" w:name="O_357625"/>
      <w:bookmarkEnd w:id="3"/>
      <w:r w:rsidRPr="002E435B">
        <w:t>Application of the Unit</w:t>
      </w:r>
    </w:p>
    <w:tbl>
      <w:tblPr>
        <w:tblW w:w="0" w:type="auto"/>
        <w:tblCellMar>
          <w:left w:w="62" w:type="dxa"/>
          <w:right w:w="62" w:type="dxa"/>
        </w:tblCellMar>
        <w:tblLook w:val="0000"/>
      </w:tblPr>
      <w:tblGrid>
        <w:gridCol w:w="9196"/>
      </w:tblGrid>
      <w:tr w:rsidTr="00DE36E6">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2E435B" w:rsidP="002E435B">
            <w:pPr>
              <w:pStyle w:val="BodyText"/>
            </w:pPr>
            <w:r w:rsidRPr="002E435B">
              <w:t>Work is performed using established procedures, with accountability and responsibility for self and others in achieving the prescribed outcomes.</w:t>
            </w:r>
          </w:p>
          <w:p w:rsidR="00000000" w:rsidRPr="002E435B" w:rsidP="002E435B">
            <w:pPr>
              <w:pStyle w:val="BodyText"/>
            </w:pPr>
            <w:r w:rsidRPr="002E435B">
              <w:t>The unit involves the implementation of relevant principles, protocols, rules and requirements of the legislate</w:t>
            </w:r>
            <w:r w:rsidRPr="002E435B">
              <w:t>d rail safety requirements, including acts and regulations from each applicable state and territory, together with any nationally approved compliance codes and/or guidelines to network control activities.</w:t>
            </w:r>
          </w:p>
          <w:p w:rsidR="00000000" w:rsidRPr="002E435B" w:rsidP="002E435B">
            <w:pPr>
              <w:pStyle w:val="BodyText"/>
            </w:pPr>
            <w:r w:rsidRPr="002E435B">
              <w:t>It covers the activities required of network contro</w:t>
            </w:r>
            <w:r w:rsidRPr="002E435B">
              <w:t>llers in the operation of safeworking procedures within their area of control.</w:t>
            </w:r>
          </w:p>
        </w:tc>
      </w:tr>
    </w:tbl>
    <w:p w:rsidR="00000000" w:rsidRPr="002E435B" w:rsidP="002E435B">
      <w:pPr>
        <w:pStyle w:val="BodyText"/>
      </w:pPr>
    </w:p>
    <w:p w:rsidR="00000000" w:rsidRPr="002E435B" w:rsidP="002E435B">
      <w:pPr>
        <w:pStyle w:val="AllowPageBreak"/>
      </w:pPr>
    </w:p>
    <w:p w:rsidR="00000000" w:rsidRPr="002E435B" w:rsidP="002E435B">
      <w:pPr>
        <w:pStyle w:val="Heading1"/>
      </w:pPr>
      <w:bookmarkStart w:id="4" w:name="O_357626"/>
      <w:bookmarkEnd w:id="4"/>
      <w:r w:rsidRPr="002E435B">
        <w:t>Licensing/Regulatory Information</w:t>
      </w:r>
    </w:p>
    <w:p w:rsidR="00000000" w:rsidRPr="002E435B" w:rsidP="002E435B">
      <w:pPr>
        <w:pStyle w:val="BodyText"/>
      </w:pPr>
      <w:r w:rsidRPr="002E435B">
        <w:t>Refer to Unit Descriptor.</w:t>
      </w:r>
    </w:p>
    <w:p w:rsidR="00000000" w:rsidRPr="002E435B" w:rsidP="002E435B">
      <w:pPr>
        <w:pStyle w:val="AllowPageBreak"/>
      </w:pPr>
    </w:p>
    <w:p w:rsidR="00000000" w:rsidRPr="002E435B" w:rsidP="002E435B">
      <w:pPr>
        <w:pStyle w:val="Heading1"/>
      </w:pPr>
      <w:bookmarkStart w:id="5" w:name="O_357627"/>
      <w:bookmarkEnd w:id="5"/>
      <w:r w:rsidRPr="002E435B">
        <w:t>Pre-Requisites</w:t>
      </w:r>
    </w:p>
    <w:p w:rsidR="00000000" w:rsidRPr="002E435B" w:rsidP="002E435B">
      <w:pPr>
        <w:pStyle w:val="BodyText"/>
      </w:pPr>
      <w:r w:rsidRPr="002E435B">
        <w:t>Not applicable.</w:t>
      </w:r>
    </w:p>
    <w:p w:rsidR="00000000" w:rsidRPr="002E435B" w:rsidP="002E435B">
      <w:pPr>
        <w:pStyle w:val="AllowPageBreak"/>
      </w:pPr>
    </w:p>
    <w:p w:rsidR="00000000" w:rsidRPr="002E435B" w:rsidP="002E435B">
      <w:pPr>
        <w:pStyle w:val="Heading1"/>
      </w:pPr>
      <w:bookmarkStart w:id="6" w:name="O_357628"/>
      <w:bookmarkEnd w:id="6"/>
      <w:r w:rsidRPr="002E435B">
        <w:t>Employability Skills Information</w:t>
      </w:r>
    </w:p>
    <w:tbl>
      <w:tblPr>
        <w:tblW w:w="0" w:type="auto"/>
        <w:tblCellMar>
          <w:left w:w="62" w:type="dxa"/>
          <w:right w:w="62" w:type="dxa"/>
        </w:tblCellMar>
        <w:tblLook w:val="0000"/>
      </w:tblPr>
      <w:tblGrid>
        <w:gridCol w:w="9196"/>
      </w:tblGrid>
      <w:tr w:rsidTr="00DE36E6">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2E435B" w:rsidP="002E435B">
            <w:pPr>
              <w:pStyle w:val="BodyText"/>
            </w:pPr>
            <w:r w:rsidRPr="002E435B">
              <w:t>T</w:t>
            </w:r>
            <w:r w:rsidRPr="002E435B">
              <w:t>his unit contains employability skills.</w:t>
            </w:r>
          </w:p>
        </w:tc>
      </w:tr>
    </w:tbl>
    <w:p w:rsidR="00000000" w:rsidRPr="002E435B" w:rsidP="002E435B">
      <w:pPr>
        <w:pStyle w:val="BodyText"/>
      </w:pPr>
    </w:p>
    <w:p w:rsidR="00000000" w:rsidRPr="002E435B" w:rsidP="002E435B">
      <w:pPr>
        <w:pStyle w:val="AllowPageBreak"/>
      </w:pPr>
    </w:p>
    <w:p w:rsidR="00000000" w:rsidRPr="002E435B" w:rsidP="002E435B">
      <w:pPr>
        <w:pStyle w:val="Heading1"/>
      </w:pPr>
      <w:bookmarkStart w:id="7" w:name="O_357629"/>
      <w:bookmarkEnd w:id="7"/>
      <w:r w:rsidRPr="002E435B">
        <w:t>Elements and Performance Criteria Pre-Content</w:t>
      </w:r>
    </w:p>
    <w:tbl>
      <w:tblPr>
        <w:tblW w:w="0" w:type="auto"/>
        <w:tblCellMar>
          <w:left w:w="62" w:type="dxa"/>
          <w:right w:w="62" w:type="dxa"/>
        </w:tblCellMar>
        <w:tblLook w:val="0000"/>
      </w:tblPr>
      <w:tblGrid>
        <w:gridCol w:w="2649"/>
        <w:gridCol w:w="6547"/>
      </w:tblGrid>
      <w:tr w:rsidTr="00DE36E6">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2E435B">
            <w:pPr>
              <w:pStyle w:val="BodyText"/>
              <w:rPr>
                <w:lang w:val="en-NZ"/>
              </w:rPr>
            </w:pPr>
            <w:r w:rsidRPr="002E435B">
              <w:t>Elements describe the essential outcomes of a unit of competency.</w:t>
            </w:r>
          </w:p>
        </w:tc>
        <w:tc>
          <w:tcPr>
            <w:tcW w:w="0" w:type="auto"/>
            <w:tcBorders>
              <w:top w:val="nil"/>
              <w:left w:val="nil"/>
              <w:bottom w:val="nil"/>
              <w:right w:val="nil"/>
            </w:tcBorders>
            <w:tcMar>
              <w:top w:w="0" w:type="dxa"/>
              <w:left w:w="62" w:type="dxa"/>
              <w:bottom w:w="0" w:type="dxa"/>
              <w:right w:w="62" w:type="dxa"/>
            </w:tcMar>
          </w:tcPr>
          <w:p w:rsidR="00000000" w:rsidRPr="002E435B" w:rsidP="002E435B">
            <w:pPr>
              <w:pStyle w:val="BodyText"/>
            </w:pPr>
            <w:r w:rsidRPr="002E435B">
              <w:t>Performance criteria describe the required performance needed to demonstrate achievement of the element. Assessment of performance is to be consistent with the evidence guide.</w:t>
            </w:r>
          </w:p>
        </w:tc>
      </w:tr>
    </w:tbl>
    <w:p w:rsidR="00000000" w:rsidRPr="002E435B" w:rsidP="002E435B">
      <w:pPr>
        <w:pStyle w:val="BodyText"/>
      </w:pPr>
    </w:p>
    <w:p w:rsidR="00000000" w:rsidRPr="002E435B" w:rsidP="002E435B">
      <w:pPr>
        <w:pStyle w:val="AllowPageBreak"/>
      </w:pPr>
    </w:p>
    <w:p w:rsidR="00000000" w:rsidRPr="002E435B" w:rsidP="002E435B">
      <w:pPr>
        <w:pStyle w:val="Heading1"/>
      </w:pPr>
      <w:bookmarkStart w:id="8" w:name="O_357630"/>
      <w:bookmarkEnd w:id="8"/>
      <w:r w:rsidRPr="002E435B">
        <w:t>Elements and Performance Criteria</w:t>
      </w:r>
    </w:p>
    <w:tbl>
      <w:tblPr>
        <w:tblW w:w="0" w:type="auto"/>
        <w:tblCellMar>
          <w:left w:w="62" w:type="dxa"/>
          <w:right w:w="62" w:type="dxa"/>
        </w:tblCellMar>
        <w:tblLook w:val="0000"/>
      </w:tblPr>
      <w:tblGrid>
        <w:gridCol w:w="2649"/>
        <w:gridCol w:w="6547"/>
      </w:tblGrid>
      <w:tr w:rsidTr="00DE36E6">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2E435B" w:rsidP="002E435B">
            <w:pPr>
              <w:pStyle w:val="BodyText"/>
            </w:pPr>
            <w:r w:rsidRPr="002E435B">
              <w:rPr>
                <w:rStyle w:val="SpecialBold"/>
              </w:rPr>
              <w:t>ELEMENT</w:t>
            </w:r>
          </w:p>
        </w:tc>
        <w:tc>
          <w:tcPr>
            <w:tcW w:w="0" w:type="auto"/>
            <w:tcBorders>
              <w:top w:val="nil"/>
              <w:left w:val="nil"/>
              <w:bottom w:val="nil"/>
              <w:right w:val="nil"/>
            </w:tcBorders>
            <w:tcMar>
              <w:top w:w="0" w:type="dxa"/>
              <w:left w:w="62" w:type="dxa"/>
              <w:bottom w:w="0" w:type="dxa"/>
              <w:right w:w="62" w:type="dxa"/>
            </w:tcMar>
          </w:tcPr>
          <w:p w:rsidR="00000000" w:rsidP="002E435B">
            <w:pPr>
              <w:pStyle w:val="BodyText"/>
              <w:rPr>
                <w:lang w:val="en-NZ"/>
              </w:rPr>
            </w:pPr>
            <w:r w:rsidRPr="002E435B">
              <w:rPr>
                <w:rStyle w:val="SpecialBold"/>
              </w:rPr>
              <w:t>PERFORMANCE CRITERIA</w:t>
            </w:r>
          </w:p>
        </w:tc>
      </w:tr>
      <w:tr w:rsidTr="00DE36E6">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2E435B">
            <w:pPr>
              <w:pStyle w:val="BodyText"/>
              <w:rPr>
                <w:lang w:val="en-NZ"/>
              </w:rPr>
            </w:pPr>
            <w:r w:rsidRPr="002E435B">
              <w:rPr>
                <w:rStyle w:val="SpecialBold"/>
              </w:rPr>
              <w:t>1</w:t>
            </w:r>
            <w:r w:rsidRPr="002E435B">
              <w:rPr>
                <w:rStyle w:val="SpecialBold"/>
              </w:rPr>
              <w:tab/>
              <w:t>Conduct network control activities following safeworking rules and procedures</w:t>
            </w:r>
          </w:p>
        </w:tc>
        <w:tc>
          <w:tcPr>
            <w:tcW w:w="0" w:type="auto"/>
            <w:tcBorders>
              <w:top w:val="nil"/>
              <w:left w:val="nil"/>
              <w:bottom w:val="nil"/>
              <w:right w:val="nil"/>
            </w:tcBorders>
            <w:tcMar>
              <w:top w:w="0" w:type="dxa"/>
              <w:left w:w="62" w:type="dxa"/>
              <w:bottom w:w="0" w:type="dxa"/>
              <w:right w:w="62" w:type="dxa"/>
            </w:tcMar>
          </w:tcPr>
          <w:p w:rsidR="00000000" w:rsidRPr="002E435B" w:rsidP="002E435B">
            <w:pPr>
              <w:pStyle w:val="BodyText"/>
            </w:pPr>
            <w:r w:rsidRPr="002E435B">
              <w:t>1.1</w:t>
            </w:r>
            <w:r w:rsidRPr="002E435B">
              <w:tab/>
              <w:t>Relevant rules for the applicable safeworking system are followed when carrying out network control activities as part of rail operation</w:t>
            </w:r>
          </w:p>
          <w:p w:rsidR="00000000" w:rsidRPr="002E435B" w:rsidP="002E435B">
            <w:pPr>
              <w:pStyle w:val="BodyText"/>
            </w:pPr>
            <w:r w:rsidRPr="002E435B">
              <w:t>1.2</w:t>
            </w:r>
            <w:r w:rsidRPr="002E435B">
              <w:tab/>
              <w:t>All netwo</w:t>
            </w:r>
            <w:r w:rsidRPr="002E435B">
              <w:t xml:space="preserve">rk control activities are conducted in compliance with relevant state and territory safeworking rules and regulations </w:t>
            </w:r>
          </w:p>
          <w:p w:rsidR="00000000" w:rsidP="002E435B">
            <w:pPr>
              <w:pStyle w:val="BodyText"/>
              <w:rPr>
                <w:lang w:val="en-NZ"/>
              </w:rPr>
            </w:pPr>
            <w:r w:rsidRPr="002E435B">
              <w:t>1.3</w:t>
            </w:r>
            <w:r w:rsidRPr="002E435B">
              <w:tab/>
              <w:t>Requirements of the safeworking systems are implemented and managed in accordance with applicable safeworking system rules and regula</w:t>
            </w:r>
            <w:r w:rsidRPr="002E435B">
              <w:t>tions</w:t>
            </w:r>
          </w:p>
        </w:tc>
      </w:tr>
      <w:tr w:rsidTr="00DE36E6">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2E435B">
            <w:pPr>
              <w:pStyle w:val="BodyText"/>
              <w:rPr>
                <w:lang w:val="en-NZ"/>
              </w:rPr>
            </w:pPr>
            <w:r w:rsidRPr="002E435B">
              <w:rPr>
                <w:rStyle w:val="SpecialBold"/>
              </w:rPr>
              <w:t>2</w:t>
            </w:r>
            <w:r w:rsidRPr="002E435B">
              <w:rPr>
                <w:rStyle w:val="SpecialBold"/>
              </w:rPr>
              <w:tab/>
              <w:t>Apply and manage communications</w:t>
            </w:r>
          </w:p>
        </w:tc>
        <w:tc>
          <w:tcPr>
            <w:tcW w:w="0" w:type="auto"/>
            <w:tcBorders>
              <w:top w:val="nil"/>
              <w:left w:val="nil"/>
              <w:bottom w:val="nil"/>
              <w:right w:val="nil"/>
            </w:tcBorders>
            <w:tcMar>
              <w:top w:w="0" w:type="dxa"/>
              <w:left w:w="62" w:type="dxa"/>
              <w:bottom w:w="0" w:type="dxa"/>
              <w:right w:w="62" w:type="dxa"/>
            </w:tcMar>
          </w:tcPr>
          <w:p w:rsidR="00000000" w:rsidRPr="002E435B" w:rsidP="002E435B">
            <w:pPr>
              <w:pStyle w:val="BodyText"/>
            </w:pPr>
            <w:r w:rsidRPr="002E435B">
              <w:t>2.1</w:t>
            </w:r>
            <w:r w:rsidRPr="002E435B">
              <w:tab/>
              <w:t>Communication protocols are applied and managed in accordance with applicable safeworking system requirements</w:t>
            </w:r>
          </w:p>
          <w:p w:rsidR="00000000" w:rsidRPr="002E435B" w:rsidP="002E435B">
            <w:pPr>
              <w:pStyle w:val="BodyText"/>
            </w:pPr>
            <w:r w:rsidRPr="002E435B">
              <w:t>2.2</w:t>
            </w:r>
            <w:r w:rsidRPr="002E435B">
              <w:tab/>
            </w:r>
            <w:r w:rsidRPr="002E435B">
              <w:t>Authorities required by safeworking systems are issued in accordance with applicable safeworking system rules and regulations using communication systems</w:t>
            </w:r>
          </w:p>
          <w:p w:rsidR="00000000" w:rsidP="002E435B">
            <w:pPr>
              <w:pStyle w:val="BodyText"/>
              <w:rPr>
                <w:lang w:val="en-NZ"/>
              </w:rPr>
            </w:pPr>
            <w:r w:rsidRPr="002E435B">
              <w:t>2.3</w:t>
            </w:r>
            <w:r w:rsidRPr="002E435B">
              <w:tab/>
              <w:t>Appropriate records of communications are managed as required within the applicable safeworking sy</w:t>
            </w:r>
            <w:r w:rsidRPr="002E435B">
              <w:t>stem rules, regulations and procedures</w:t>
            </w:r>
          </w:p>
        </w:tc>
      </w:tr>
      <w:tr w:rsidTr="00DE36E6">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2E435B">
            <w:pPr>
              <w:pStyle w:val="BodyText"/>
              <w:rPr>
                <w:lang w:val="en-NZ"/>
              </w:rPr>
            </w:pPr>
            <w:r w:rsidRPr="002E435B">
              <w:rPr>
                <w:rStyle w:val="SpecialBold"/>
              </w:rPr>
              <w:t>3</w:t>
            </w:r>
            <w:r w:rsidRPr="002E435B">
              <w:rPr>
                <w:rStyle w:val="SpecialBold"/>
              </w:rPr>
              <w:tab/>
              <w:t>Apply safeworking protocols</w:t>
            </w:r>
          </w:p>
        </w:tc>
        <w:tc>
          <w:tcPr>
            <w:tcW w:w="0" w:type="auto"/>
            <w:tcBorders>
              <w:top w:val="nil"/>
              <w:left w:val="nil"/>
              <w:bottom w:val="nil"/>
              <w:right w:val="nil"/>
            </w:tcBorders>
            <w:tcMar>
              <w:top w:w="0" w:type="dxa"/>
              <w:left w:w="62" w:type="dxa"/>
              <w:bottom w:w="0" w:type="dxa"/>
              <w:right w:w="62" w:type="dxa"/>
            </w:tcMar>
          </w:tcPr>
          <w:p w:rsidR="00000000" w:rsidRPr="002E435B" w:rsidP="002E435B">
            <w:pPr>
              <w:pStyle w:val="BodyText"/>
            </w:pPr>
            <w:r w:rsidRPr="002E435B">
              <w:t>3.1</w:t>
            </w:r>
            <w:r w:rsidRPr="002E435B">
              <w:tab/>
              <w:t>Relevant protocols are managed as specified in the applicable safeworking system rules and regulations</w:t>
            </w:r>
          </w:p>
          <w:p w:rsidR="00000000" w:rsidP="002E435B">
            <w:pPr>
              <w:pStyle w:val="BodyText"/>
              <w:rPr>
                <w:lang w:val="en-NZ"/>
              </w:rPr>
            </w:pPr>
            <w:r w:rsidRPr="002E435B">
              <w:t>3.2</w:t>
            </w:r>
            <w:r w:rsidRPr="002E435B">
              <w:tab/>
              <w:t>Appropriate records and documentation pertinent to safeworking protocols ar</w:t>
            </w:r>
            <w:r w:rsidRPr="002E435B">
              <w:t>e completed and managed in accordance with the requirements of the applicable safeworking system rules and regulations</w:t>
            </w:r>
          </w:p>
        </w:tc>
      </w:tr>
      <w:tr w:rsidTr="00DE36E6">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2E435B">
            <w:pPr>
              <w:pStyle w:val="BodyText"/>
              <w:rPr>
                <w:lang w:val="en-NZ"/>
              </w:rPr>
            </w:pPr>
            <w:r w:rsidRPr="002E435B">
              <w:rPr>
                <w:rStyle w:val="SpecialBold"/>
              </w:rPr>
              <w:t>4</w:t>
            </w:r>
            <w:r w:rsidRPr="002E435B">
              <w:rPr>
                <w:rStyle w:val="SpecialBold"/>
              </w:rPr>
              <w:tab/>
              <w:t>Take action in the event of unsafe situations or emergencies</w:t>
            </w:r>
          </w:p>
        </w:tc>
        <w:tc>
          <w:tcPr>
            <w:tcW w:w="0" w:type="auto"/>
            <w:tcBorders>
              <w:top w:val="nil"/>
              <w:left w:val="nil"/>
              <w:bottom w:val="nil"/>
              <w:right w:val="nil"/>
            </w:tcBorders>
            <w:tcMar>
              <w:top w:w="0" w:type="dxa"/>
              <w:left w:w="62" w:type="dxa"/>
              <w:bottom w:w="0" w:type="dxa"/>
              <w:right w:w="62" w:type="dxa"/>
            </w:tcMar>
          </w:tcPr>
          <w:p w:rsidR="00000000" w:rsidRPr="002E435B" w:rsidP="002E435B">
            <w:pPr>
              <w:pStyle w:val="BodyText"/>
            </w:pPr>
            <w:r w:rsidRPr="002E435B">
              <w:t>4.1</w:t>
            </w:r>
            <w:r w:rsidRPr="002E435B">
              <w:tab/>
              <w:t xml:space="preserve">Unsafe situations are identified in accordance with the requirements </w:t>
            </w:r>
            <w:r w:rsidRPr="002E435B">
              <w:t>of applicable safeworking system rules and regulations</w:t>
            </w:r>
          </w:p>
          <w:p w:rsidR="00000000" w:rsidRPr="002E435B" w:rsidP="002E435B">
            <w:pPr>
              <w:pStyle w:val="BodyText"/>
            </w:pPr>
            <w:r w:rsidRPr="002E435B">
              <w:t>4.2</w:t>
            </w:r>
            <w:r w:rsidRPr="002E435B">
              <w:tab/>
              <w:t>Where a safety incident, emergency or unsafe situation has been identified, appropriate action is taken to report and/or control the incident or situation in accordance with the requirements of app</w:t>
            </w:r>
            <w:r w:rsidRPr="002E435B">
              <w:t>licable safeworking system rules and regulations</w:t>
            </w:r>
          </w:p>
          <w:p w:rsidR="00000000" w:rsidRPr="002E435B" w:rsidP="002E435B">
            <w:pPr>
              <w:pStyle w:val="BodyText"/>
            </w:pPr>
            <w:r w:rsidRPr="002E435B">
              <w:t>4.3</w:t>
            </w:r>
            <w:r w:rsidRPr="002E435B">
              <w:tab/>
              <w:t>Appropriate records and documentation of an identified unsafe situation, emergency or safety incident are maintained in accordance with the requirements of applicable safeworking system rules and regulat</w:t>
            </w:r>
            <w:r w:rsidRPr="002E435B">
              <w:t>ions and organisational procedures</w:t>
            </w:r>
          </w:p>
          <w:p w:rsidR="00000000" w:rsidRPr="002E435B" w:rsidP="002E435B">
            <w:pPr>
              <w:pStyle w:val="BodyText"/>
            </w:pPr>
            <w:r w:rsidRPr="002E435B">
              <w:t>4.4</w:t>
            </w:r>
            <w:r w:rsidRPr="002E435B">
              <w:tab/>
              <w:t>Reports of the identified unsafe situation, emergency or safety incident are completed in accordance with organisational requirements</w:t>
            </w:r>
          </w:p>
        </w:tc>
      </w:tr>
    </w:tbl>
    <w:p w:rsidR="00DE36E6" w:rsidP="002E435B">
      <w:pPr>
        <w:pStyle w:val="BodyText"/>
      </w:pPr>
    </w:p>
    <w:p w:rsidR="00DE36E6" w:rsidP="002E435B">
      <w:pPr>
        <w:pStyle w:val="BodyText"/>
      </w:pPr>
    </w:p>
    <w:p w:rsidR="00000000" w:rsidRPr="002E435B" w:rsidP="002E435B">
      <w:pPr>
        <w:pStyle w:val="Heading1"/>
      </w:pPr>
      <w:bookmarkStart w:id="9" w:name="O_357631"/>
      <w:bookmarkEnd w:id="9"/>
      <w:r w:rsidRPr="002E435B">
        <w:t>Required Skills and Knowledge</w:t>
      </w:r>
    </w:p>
    <w:tbl>
      <w:tblPr>
        <w:tblW w:w="0" w:type="auto"/>
        <w:tblCellMar>
          <w:left w:w="62" w:type="dxa"/>
          <w:right w:w="62" w:type="dxa"/>
        </w:tblCellMar>
        <w:tblLook w:val="0000"/>
      </w:tblPr>
      <w:tblGrid>
        <w:gridCol w:w="9196"/>
      </w:tblGrid>
      <w:tr w:rsidTr="00DE36E6">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2E435B">
            <w:pPr>
              <w:pStyle w:val="BodyText"/>
              <w:rPr>
                <w:lang w:val="en-NZ"/>
              </w:rPr>
            </w:pPr>
            <w:r w:rsidRPr="002E435B">
              <w:rPr>
                <w:rStyle w:val="SpecialBold"/>
              </w:rPr>
              <w:t>REQUIRED KNOWLEDGE AND SKILLS</w:t>
            </w:r>
          </w:p>
        </w:tc>
      </w:tr>
      <w:tr w:rsidTr="00DE36E6">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2E435B">
            <w:pPr>
              <w:pStyle w:val="BodyText"/>
              <w:rPr>
                <w:lang w:val="en-NZ"/>
              </w:rPr>
            </w:pPr>
            <w:r w:rsidRPr="002E435B">
              <w:t>This describes the essential knowledge and skills and their level required for this unit.</w:t>
            </w:r>
          </w:p>
        </w:tc>
      </w:tr>
      <w:tr w:rsidTr="00DE36E6">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2E435B">
            <w:pPr>
              <w:pStyle w:val="BodyText"/>
              <w:rPr>
                <w:lang w:val="en-NZ"/>
              </w:rPr>
            </w:pPr>
            <w:r w:rsidRPr="002E435B">
              <w:rPr>
                <w:rStyle w:val="SpecialBold"/>
              </w:rPr>
              <w:t>Required knowledge:</w:t>
            </w:r>
          </w:p>
        </w:tc>
      </w:tr>
      <w:tr w:rsidTr="00DE36E6">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2E435B">
            <w:pPr>
              <w:pStyle w:val="ListBullet"/>
              <w:rPr>
                <w:lang w:val="en-NZ"/>
              </w:rPr>
            </w:pPr>
            <w:r w:rsidRPr="002E435B">
              <w:t>Relevant OH&amp;S, rail safety and environmental protection legislation and policies</w:t>
            </w:r>
          </w:p>
        </w:tc>
      </w:tr>
      <w:tr w:rsidTr="00DE36E6">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2E435B">
            <w:pPr>
              <w:pStyle w:val="ListBullet"/>
              <w:rPr>
                <w:lang w:val="en-NZ"/>
              </w:rPr>
            </w:pPr>
            <w:r w:rsidRPr="002E435B">
              <w:t>Safeworking system types, requirements and limitations</w:t>
            </w:r>
          </w:p>
        </w:tc>
      </w:tr>
      <w:tr w:rsidTr="00DE36E6">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2E435B">
            <w:pPr>
              <w:pStyle w:val="ListBullet"/>
              <w:rPr>
                <w:lang w:val="en-NZ"/>
              </w:rPr>
            </w:pPr>
            <w:r w:rsidRPr="002E435B">
              <w:t xml:space="preserve">Route </w:t>
            </w:r>
            <w:r w:rsidRPr="002E435B">
              <w:t>integrity requirements, including general requirements, position of points and route occupancy requirements</w:t>
            </w:r>
          </w:p>
        </w:tc>
      </w:tr>
      <w:tr w:rsidTr="00DE36E6">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2E435B">
            <w:pPr>
              <w:pStyle w:val="ListBullet"/>
              <w:rPr>
                <w:lang w:val="en-NZ"/>
              </w:rPr>
            </w:pPr>
            <w:r w:rsidRPr="002E435B">
              <w:t>Communication protocols as they relate to the functions of the safeworking systems concerned</w:t>
            </w:r>
          </w:p>
        </w:tc>
      </w:tr>
      <w:tr w:rsidTr="00DE36E6">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2E435B">
            <w:pPr>
              <w:pStyle w:val="ListBullet"/>
              <w:rPr>
                <w:lang w:val="en-NZ"/>
              </w:rPr>
            </w:pPr>
            <w:r w:rsidRPr="002E435B">
              <w:t xml:space="preserve">Safeworking system rules and protocols applicable to </w:t>
            </w:r>
            <w:r w:rsidRPr="002E435B">
              <w:t>the individual’s area of responsibility and/or control</w:t>
            </w:r>
          </w:p>
        </w:tc>
      </w:tr>
      <w:tr w:rsidTr="00DE36E6">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2E435B" w:rsidP="002E435B">
            <w:pPr>
              <w:pStyle w:val="ListBullet"/>
            </w:pPr>
            <w:r w:rsidRPr="002E435B">
              <w:t>Action to be taken in the event of safety incidents, identified unsafe situations, and emergencies applicable to the individual’s area of responsibility and/or control</w:t>
            </w:r>
          </w:p>
        </w:tc>
      </w:tr>
    </w:tbl>
    <w:p w:rsidR="00000000" w:rsidRPr="002E435B" w:rsidP="002E435B">
      <w:pPr>
        <w:pStyle w:val="BodyText"/>
      </w:pPr>
    </w:p>
    <w:tbl>
      <w:tblPr>
        <w:tblW w:w="0" w:type="auto"/>
        <w:tblCellMar>
          <w:left w:w="62" w:type="dxa"/>
          <w:right w:w="62" w:type="dxa"/>
        </w:tblCellMar>
        <w:tblLook w:val="0000"/>
      </w:tblPr>
      <w:tblGrid>
        <w:gridCol w:w="9196"/>
      </w:tblGrid>
      <w:tr w:rsidTr="00DE36E6">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2E435B">
            <w:pPr>
              <w:pStyle w:val="BodyText"/>
              <w:rPr>
                <w:lang w:val="en-NZ"/>
              </w:rPr>
            </w:pPr>
            <w:r w:rsidRPr="002E435B">
              <w:rPr>
                <w:rStyle w:val="SpecialBold"/>
              </w:rPr>
              <w:t>Required skills:</w:t>
            </w:r>
          </w:p>
        </w:tc>
      </w:tr>
      <w:tr w:rsidTr="00DE36E6">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2E435B">
            <w:pPr>
              <w:pStyle w:val="ListBullet"/>
              <w:rPr>
                <w:lang w:val="en-NZ"/>
              </w:rPr>
            </w:pPr>
            <w:r w:rsidRPr="002E435B">
              <w:t>Communicate effectively with others when applying safeworking rules and regulations to rail functions</w:t>
            </w:r>
          </w:p>
        </w:tc>
      </w:tr>
      <w:tr w:rsidTr="00DE36E6">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2E435B">
            <w:pPr>
              <w:pStyle w:val="ListBullet"/>
              <w:rPr>
                <w:lang w:val="en-NZ"/>
              </w:rPr>
            </w:pPr>
            <w:r w:rsidRPr="002E435B">
              <w:t>Read, interpret and follow relevant rules, regulations and instructions applicable to the rail operations concerned</w:t>
            </w:r>
          </w:p>
        </w:tc>
      </w:tr>
      <w:tr w:rsidTr="00DE36E6">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2E435B">
            <w:pPr>
              <w:pStyle w:val="ListBullet"/>
              <w:rPr>
                <w:lang w:val="en-NZ"/>
              </w:rPr>
            </w:pPr>
            <w:r w:rsidRPr="002E435B">
              <w:t>Use appropriate numeric functions wh</w:t>
            </w:r>
            <w:r w:rsidRPr="002E435B">
              <w:t>en applying safeworking rules and regulations to rail functions</w:t>
            </w:r>
          </w:p>
        </w:tc>
      </w:tr>
      <w:tr w:rsidTr="00DE36E6">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2E435B" w:rsidP="002E435B">
            <w:pPr>
              <w:pStyle w:val="ListBullet"/>
            </w:pPr>
            <w:r w:rsidRPr="002E435B">
              <w:t>Work collaboratively with others to fulfil safeworking requirements applicable to the rail operations concerned</w:t>
            </w:r>
          </w:p>
        </w:tc>
      </w:tr>
    </w:tbl>
    <w:p w:rsidR="00000000" w:rsidRPr="002E435B" w:rsidP="002E435B">
      <w:pPr>
        <w:pStyle w:val="BodyText"/>
      </w:pPr>
    </w:p>
    <w:p w:rsidR="00000000" w:rsidRPr="002E435B" w:rsidP="002E435B">
      <w:pPr>
        <w:pStyle w:val="AllowPageBreak"/>
      </w:pPr>
    </w:p>
    <w:p w:rsidR="00000000" w:rsidRPr="002E435B" w:rsidP="002E435B">
      <w:pPr>
        <w:pStyle w:val="Heading1"/>
      </w:pPr>
      <w:bookmarkStart w:id="10" w:name="O_357632"/>
      <w:bookmarkEnd w:id="10"/>
      <w:r w:rsidRPr="002E435B">
        <w:t>Evidence Guide</w:t>
      </w:r>
    </w:p>
    <w:tbl>
      <w:tblPr>
        <w:tblW w:w="9495" w:type="dxa"/>
        <w:tblLayout w:type="fixed"/>
        <w:tblCellMar>
          <w:left w:w="62" w:type="dxa"/>
          <w:right w:w="62" w:type="dxa"/>
        </w:tblCellMar>
        <w:tblLook w:val="0000"/>
      </w:tblPr>
      <w:tblGrid>
        <w:gridCol w:w="3339"/>
        <w:gridCol w:w="6156"/>
      </w:tblGrid>
      <w:tr w:rsidTr="002E435B">
        <w:tblPrEx>
          <w:tblW w:w="9495" w:type="dxa"/>
          <w:tblLayout w:type="fixed"/>
          <w:tblCellMar>
            <w:left w:w="62" w:type="dxa"/>
            <w:right w:w="62" w:type="dxa"/>
          </w:tblCellMar>
          <w:tblLook w:val="0000"/>
        </w:tblPrEx>
        <w:tc>
          <w:tcPr>
            <w:tcW w:w="9495" w:type="dxa"/>
            <w:gridSpan w:val="2"/>
            <w:tcBorders>
              <w:top w:val="nil"/>
              <w:left w:val="nil"/>
              <w:bottom w:val="nil"/>
              <w:right w:val="nil"/>
            </w:tcBorders>
            <w:tcMar>
              <w:top w:w="0" w:type="dxa"/>
              <w:left w:w="62" w:type="dxa"/>
              <w:bottom w:w="0" w:type="dxa"/>
              <w:right w:w="62" w:type="dxa"/>
            </w:tcMar>
          </w:tcPr>
          <w:p w:rsidR="00000000" w:rsidP="002E435B">
            <w:pPr>
              <w:pStyle w:val="BodyText"/>
              <w:rPr>
                <w:lang w:val="en-NZ"/>
              </w:rPr>
            </w:pPr>
            <w:r w:rsidRPr="002E435B">
              <w:rPr>
                <w:rStyle w:val="SpecialBold"/>
              </w:rPr>
              <w:t>EVIDENCE GUIDE</w:t>
            </w:r>
          </w:p>
        </w:tc>
      </w:tr>
      <w:tr w:rsidTr="002E435B">
        <w:tblPrEx>
          <w:tblW w:w="9495" w:type="dxa"/>
          <w:tblLayout w:type="fixed"/>
          <w:tblCellMar>
            <w:left w:w="62" w:type="dxa"/>
            <w:right w:w="62" w:type="dxa"/>
          </w:tblCellMar>
          <w:tblLook w:val="0000"/>
        </w:tblPrEx>
        <w:tc>
          <w:tcPr>
            <w:tcW w:w="9495" w:type="dxa"/>
            <w:gridSpan w:val="2"/>
            <w:tcBorders>
              <w:top w:val="nil"/>
              <w:left w:val="nil"/>
              <w:bottom w:val="nil"/>
              <w:right w:val="nil"/>
            </w:tcBorders>
            <w:tcMar>
              <w:top w:w="0" w:type="dxa"/>
              <w:left w:w="62" w:type="dxa"/>
              <w:bottom w:w="0" w:type="dxa"/>
              <w:right w:w="62" w:type="dxa"/>
            </w:tcMar>
          </w:tcPr>
          <w:p w:rsidR="00000000" w:rsidP="002E435B">
            <w:pPr>
              <w:pStyle w:val="BodyText"/>
              <w:rPr>
                <w:lang w:val="en-NZ"/>
              </w:rPr>
            </w:pPr>
            <w:r w:rsidRPr="002E435B">
              <w:t>The evidence guide provides advice on assessment and must be read in conjunction with the performance criteria, required knowledge and skills, the range statement and the assessment guidelines for this Training Package.</w:t>
            </w:r>
          </w:p>
        </w:tc>
      </w:tr>
      <w:tr w:rsidTr="002E435B">
        <w:tblPrEx>
          <w:tblW w:w="9495" w:type="dxa"/>
          <w:tblLayout w:type="fixed"/>
          <w:tblCellMar>
            <w:left w:w="62" w:type="dxa"/>
            <w:right w:w="62" w:type="dxa"/>
          </w:tblCellMar>
          <w:tblLook w:val="0000"/>
        </w:tblPrEx>
        <w:tc>
          <w:tcPr>
            <w:tcW w:w="3339" w:type="dxa"/>
            <w:tcBorders>
              <w:top w:val="nil"/>
              <w:left w:val="nil"/>
              <w:bottom w:val="nil"/>
              <w:right w:val="nil"/>
            </w:tcBorders>
            <w:tcMar>
              <w:top w:w="0" w:type="dxa"/>
              <w:left w:w="62" w:type="dxa"/>
              <w:bottom w:w="0" w:type="dxa"/>
              <w:right w:w="62" w:type="dxa"/>
            </w:tcMar>
          </w:tcPr>
          <w:p w:rsidR="00000000" w:rsidP="002E435B">
            <w:pPr>
              <w:pStyle w:val="BodyText"/>
              <w:rPr>
                <w:lang w:val="en-NZ"/>
              </w:rPr>
            </w:pPr>
            <w:r w:rsidRPr="002E435B">
              <w:rPr>
                <w:rStyle w:val="SpecialBold"/>
              </w:rPr>
              <w:t>Critical aspects for assessment an</w:t>
            </w:r>
            <w:r w:rsidRPr="002E435B">
              <w:rPr>
                <w:rStyle w:val="SpecialBold"/>
              </w:rPr>
              <w:t>d evidence required to demonstrate competency in this unit</w:t>
            </w:r>
          </w:p>
        </w:tc>
        <w:tc>
          <w:tcPr>
            <w:tcW w:w="6156" w:type="dxa"/>
            <w:tcBorders>
              <w:top w:val="nil"/>
              <w:left w:val="nil"/>
              <w:bottom w:val="nil"/>
              <w:right w:val="nil"/>
            </w:tcBorders>
            <w:tcMar>
              <w:top w:w="0" w:type="dxa"/>
              <w:left w:w="62" w:type="dxa"/>
              <w:bottom w:w="0" w:type="dxa"/>
              <w:right w:w="62" w:type="dxa"/>
            </w:tcMar>
          </w:tcPr>
          <w:p w:rsidR="00000000" w:rsidRPr="002E435B" w:rsidP="002E435B">
            <w:pPr>
              <w:pStyle w:val="ListBullet"/>
            </w:pPr>
            <w:r w:rsidRPr="002E435B">
              <w:t xml:space="preserve">The evidence required to demonstrate competency in this unit must be relevant to and satisfy all of the requirements of the elements and performance criteria of this unit and include demonstration </w:t>
            </w:r>
            <w:r w:rsidRPr="002E435B">
              <w:t>of applying:</w:t>
            </w:r>
          </w:p>
          <w:p w:rsidR="00000000" w:rsidRPr="002E435B" w:rsidP="002E435B">
            <w:pPr>
              <w:pStyle w:val="ListBullet2"/>
            </w:pPr>
            <w:r w:rsidRPr="002E435B">
              <w:t>the underpinning knowledge and skills</w:t>
            </w:r>
          </w:p>
          <w:p w:rsidR="00000000" w:rsidRPr="002E435B" w:rsidP="002E435B">
            <w:pPr>
              <w:pStyle w:val="ListBullet2"/>
            </w:pPr>
            <w:r w:rsidRPr="002E435B">
              <w:t>relevant legislation and workplace procedures</w:t>
            </w:r>
          </w:p>
          <w:p w:rsidR="00000000" w:rsidP="002E435B">
            <w:pPr>
              <w:pStyle w:val="ListBullet2"/>
              <w:rPr>
                <w:lang w:val="en-NZ"/>
              </w:rPr>
            </w:pPr>
            <w:r w:rsidRPr="002E435B">
              <w:t>other relevant aspects of the range statement</w:t>
            </w:r>
          </w:p>
        </w:tc>
      </w:tr>
      <w:tr w:rsidTr="002E435B">
        <w:tblPrEx>
          <w:tblW w:w="9495" w:type="dxa"/>
          <w:tblLayout w:type="fixed"/>
          <w:tblCellMar>
            <w:left w:w="62" w:type="dxa"/>
            <w:right w:w="62" w:type="dxa"/>
          </w:tblCellMar>
          <w:tblLook w:val="0000"/>
        </w:tblPrEx>
        <w:tc>
          <w:tcPr>
            <w:tcW w:w="3339" w:type="dxa"/>
            <w:tcBorders>
              <w:top w:val="nil"/>
              <w:left w:val="nil"/>
              <w:bottom w:val="nil"/>
              <w:right w:val="nil"/>
            </w:tcBorders>
            <w:tcMar>
              <w:top w:w="0" w:type="dxa"/>
              <w:left w:w="62" w:type="dxa"/>
              <w:bottom w:w="0" w:type="dxa"/>
              <w:right w:w="62" w:type="dxa"/>
            </w:tcMar>
          </w:tcPr>
          <w:p w:rsidR="00000000" w:rsidP="002E435B">
            <w:pPr>
              <w:pStyle w:val="BodyText"/>
              <w:rPr>
                <w:lang w:val="en-NZ"/>
              </w:rPr>
            </w:pPr>
            <w:r w:rsidRPr="002E435B">
              <w:rPr>
                <w:rStyle w:val="SpecialBold"/>
              </w:rPr>
              <w:t>Context of and specific resources for assessment</w:t>
            </w:r>
          </w:p>
        </w:tc>
        <w:tc>
          <w:tcPr>
            <w:tcW w:w="6156" w:type="dxa"/>
            <w:tcBorders>
              <w:top w:val="nil"/>
              <w:left w:val="nil"/>
              <w:bottom w:val="nil"/>
              <w:right w:val="nil"/>
            </w:tcBorders>
            <w:tcMar>
              <w:top w:w="0" w:type="dxa"/>
              <w:left w:w="62" w:type="dxa"/>
              <w:bottom w:w="0" w:type="dxa"/>
              <w:right w:w="62" w:type="dxa"/>
            </w:tcMar>
          </w:tcPr>
          <w:p w:rsidR="00000000" w:rsidRPr="002E435B" w:rsidP="002E435B">
            <w:pPr>
              <w:pStyle w:val="ListBullet"/>
            </w:pPr>
            <w:r w:rsidRPr="002E435B">
              <w:t>Performance is demonstrated consistently over a period of time and in a suitable range of contexts</w:t>
            </w:r>
          </w:p>
          <w:p w:rsidR="00000000" w:rsidRPr="002E435B" w:rsidP="002E435B">
            <w:pPr>
              <w:pStyle w:val="ListBullet"/>
            </w:pPr>
            <w:r w:rsidRPr="002E435B">
              <w:t>Resources for assessment include:</w:t>
            </w:r>
          </w:p>
          <w:p w:rsidR="00000000" w:rsidRPr="002E435B" w:rsidP="002E435B">
            <w:pPr>
              <w:pStyle w:val="ListBullet2"/>
            </w:pPr>
            <w:r w:rsidRPr="002E435B">
              <w:t>a range of relevant exercises, case studies and other simulated practical and knowledge assessment, and/or</w:t>
            </w:r>
          </w:p>
          <w:p w:rsidR="00000000" w:rsidRPr="002E435B" w:rsidP="002E435B">
            <w:pPr>
              <w:pStyle w:val="ListBullet2"/>
            </w:pPr>
            <w:r w:rsidRPr="002E435B">
              <w:t>access to an ap</w:t>
            </w:r>
            <w:r w:rsidRPr="002E435B">
              <w:t>propriate range of relevant operational situations in the workplace</w:t>
            </w:r>
          </w:p>
          <w:p w:rsidR="00000000" w:rsidRPr="002E435B" w:rsidP="002E435B">
            <w:pPr>
              <w:pStyle w:val="ListBullet"/>
            </w:pPr>
            <w:r w:rsidRPr="002E435B">
              <w:t>In both real and simulated environments, access is required to:</w:t>
            </w:r>
          </w:p>
          <w:p w:rsidR="00000000" w:rsidRPr="002E435B" w:rsidP="002E435B">
            <w:pPr>
              <w:pStyle w:val="ListBullet2"/>
            </w:pPr>
            <w:r w:rsidRPr="002E435B">
              <w:t>relevant and appropriate materials and/or equipment, and/or</w:t>
            </w:r>
          </w:p>
          <w:p w:rsidR="00000000" w:rsidP="002E435B">
            <w:pPr>
              <w:pStyle w:val="ListBullet2"/>
              <w:rPr>
                <w:lang w:val="en-NZ"/>
              </w:rPr>
            </w:pPr>
            <w:r w:rsidRPr="002E435B">
              <w:t>applicable documentation, including workplace procedures, regul</w:t>
            </w:r>
            <w:r w:rsidRPr="002E435B">
              <w:t>ations, codes of practice and operation manuals</w:t>
            </w:r>
          </w:p>
        </w:tc>
      </w:tr>
      <w:tr w:rsidTr="002E435B">
        <w:tblPrEx>
          <w:tblW w:w="9495" w:type="dxa"/>
          <w:tblLayout w:type="fixed"/>
          <w:tblCellMar>
            <w:left w:w="62" w:type="dxa"/>
            <w:right w:w="62" w:type="dxa"/>
          </w:tblCellMar>
          <w:tblLook w:val="0000"/>
        </w:tblPrEx>
        <w:tc>
          <w:tcPr>
            <w:tcW w:w="3339" w:type="dxa"/>
            <w:tcBorders>
              <w:top w:val="nil"/>
              <w:left w:val="nil"/>
              <w:bottom w:val="nil"/>
              <w:right w:val="nil"/>
            </w:tcBorders>
            <w:tcMar>
              <w:top w:w="0" w:type="dxa"/>
              <w:left w:w="62" w:type="dxa"/>
              <w:bottom w:w="0" w:type="dxa"/>
              <w:right w:w="62" w:type="dxa"/>
            </w:tcMar>
          </w:tcPr>
          <w:p w:rsidR="00000000" w:rsidP="002E435B">
            <w:pPr>
              <w:pStyle w:val="BodyText"/>
              <w:rPr>
                <w:lang w:val="en-NZ"/>
              </w:rPr>
            </w:pPr>
            <w:r w:rsidRPr="002E435B">
              <w:rPr>
                <w:rStyle w:val="SpecialBold"/>
              </w:rPr>
              <w:t>Method of assessment</w:t>
            </w:r>
          </w:p>
        </w:tc>
        <w:tc>
          <w:tcPr>
            <w:tcW w:w="6156" w:type="dxa"/>
            <w:tcBorders>
              <w:top w:val="nil"/>
              <w:left w:val="nil"/>
              <w:bottom w:val="nil"/>
              <w:right w:val="nil"/>
            </w:tcBorders>
            <w:tcMar>
              <w:top w:w="0" w:type="dxa"/>
              <w:left w:w="62" w:type="dxa"/>
              <w:bottom w:w="0" w:type="dxa"/>
              <w:right w:w="62" w:type="dxa"/>
            </w:tcMar>
          </w:tcPr>
          <w:p w:rsidR="00000000" w:rsidRPr="002E435B" w:rsidP="002E435B">
            <w:pPr>
              <w:pStyle w:val="ListBullet"/>
            </w:pPr>
            <w:r w:rsidRPr="002E435B">
              <w:t>As a minimum, assessment of knowledge must be conducted through appropriate written/oral tests</w:t>
            </w:r>
          </w:p>
          <w:p w:rsidR="00000000" w:rsidRPr="002E435B" w:rsidP="002E435B">
            <w:pPr>
              <w:pStyle w:val="ListBullet"/>
            </w:pPr>
            <w:r w:rsidRPr="002E435B">
              <w:t>Practical assessment must occur:</w:t>
            </w:r>
          </w:p>
          <w:p w:rsidR="00000000" w:rsidRPr="002E435B" w:rsidP="002E435B">
            <w:pPr>
              <w:pStyle w:val="ListBullet2"/>
            </w:pPr>
            <w:r w:rsidRPr="002E435B">
              <w:t>through activities in an appropriately simulated environment, and/or</w:t>
            </w:r>
          </w:p>
          <w:p w:rsidR="00000000" w:rsidRPr="002E435B" w:rsidP="002E435B">
            <w:pPr>
              <w:pStyle w:val="ListBullet2"/>
            </w:pPr>
            <w:r w:rsidRPr="002E435B">
              <w:t>in an appropriate range of situations in the workplace</w:t>
            </w:r>
          </w:p>
        </w:tc>
      </w:tr>
    </w:tbl>
    <w:p w:rsidR="00000000" w:rsidRPr="002E435B" w:rsidP="002E435B">
      <w:pPr>
        <w:pStyle w:val="BodyText"/>
      </w:pPr>
    </w:p>
    <w:p w:rsidR="00000000" w:rsidRPr="002E435B" w:rsidP="002E435B">
      <w:pPr>
        <w:pStyle w:val="AllowPageBreak"/>
      </w:pPr>
    </w:p>
    <w:p w:rsidR="00000000" w:rsidRPr="002E435B" w:rsidP="002E435B">
      <w:pPr>
        <w:pStyle w:val="Heading1"/>
      </w:pPr>
      <w:bookmarkStart w:id="11" w:name="O_357633"/>
      <w:bookmarkEnd w:id="11"/>
      <w:r w:rsidRPr="002E435B">
        <w:t>Range Statement</w:t>
      </w:r>
    </w:p>
    <w:tbl>
      <w:tblPr>
        <w:tblW w:w="9465" w:type="dxa"/>
        <w:tblLayout w:type="fixed"/>
        <w:tblCellMar>
          <w:left w:w="62" w:type="dxa"/>
          <w:right w:w="62" w:type="dxa"/>
        </w:tblCellMar>
        <w:tblLook w:val="0000"/>
      </w:tblPr>
      <w:tblGrid>
        <w:gridCol w:w="3308"/>
        <w:gridCol w:w="6157"/>
      </w:tblGrid>
      <w:tr w:rsidTr="002E435B">
        <w:tblPrEx>
          <w:tblW w:w="9465" w:type="dxa"/>
          <w:tblLayout w:type="fixed"/>
          <w:tblCellMar>
            <w:left w:w="62" w:type="dxa"/>
            <w:right w:w="62" w:type="dxa"/>
          </w:tblCellMar>
          <w:tblLook w:val="0000"/>
        </w:tblPrEx>
        <w:tc>
          <w:tcPr>
            <w:tcW w:w="9465" w:type="dxa"/>
            <w:gridSpan w:val="2"/>
            <w:tcBorders>
              <w:top w:val="nil"/>
              <w:left w:val="nil"/>
              <w:bottom w:val="nil"/>
              <w:right w:val="nil"/>
            </w:tcBorders>
            <w:tcMar>
              <w:top w:w="0" w:type="dxa"/>
              <w:left w:w="62" w:type="dxa"/>
              <w:bottom w:w="0" w:type="dxa"/>
              <w:right w:w="62" w:type="dxa"/>
            </w:tcMar>
          </w:tcPr>
          <w:p w:rsidR="00000000" w:rsidP="002E435B">
            <w:pPr>
              <w:pStyle w:val="BodyText"/>
              <w:rPr>
                <w:lang w:val="en-NZ"/>
              </w:rPr>
            </w:pPr>
            <w:r w:rsidRPr="002E435B">
              <w:rPr>
                <w:rStyle w:val="SpecialBold"/>
              </w:rPr>
              <w:t xml:space="preserve">RANGE STATEMENT </w:t>
            </w:r>
          </w:p>
        </w:tc>
      </w:tr>
      <w:tr w:rsidTr="002E435B">
        <w:tblPrEx>
          <w:tblW w:w="9465" w:type="dxa"/>
          <w:tblLayout w:type="fixed"/>
          <w:tblCellMar>
            <w:left w:w="62" w:type="dxa"/>
            <w:right w:w="62" w:type="dxa"/>
          </w:tblCellMar>
          <w:tblLook w:val="0000"/>
        </w:tblPrEx>
        <w:tc>
          <w:tcPr>
            <w:tcW w:w="9465" w:type="dxa"/>
            <w:gridSpan w:val="2"/>
            <w:tcBorders>
              <w:top w:val="nil"/>
              <w:left w:val="nil"/>
              <w:bottom w:val="nil"/>
              <w:right w:val="nil"/>
            </w:tcBorders>
            <w:tcMar>
              <w:top w:w="0" w:type="dxa"/>
              <w:left w:w="62" w:type="dxa"/>
              <w:bottom w:w="0" w:type="dxa"/>
              <w:right w:w="62" w:type="dxa"/>
            </w:tcMar>
          </w:tcPr>
          <w:p w:rsidR="00000000" w:rsidP="002E435B">
            <w:pPr>
              <w:pStyle w:val="BodyText"/>
              <w:rPr>
                <w:lang w:val="en-NZ"/>
              </w:rPr>
            </w:pPr>
            <w:r w:rsidRPr="002E435B">
              <w:t>The range statement relates to the unit of competency as a whole. It allows for different work environments and situations that may affect performance.</w:t>
            </w:r>
          </w:p>
        </w:tc>
      </w:tr>
      <w:tr w:rsidTr="002E435B">
        <w:tblPrEx>
          <w:tblW w:w="9465" w:type="dxa"/>
          <w:tblLayout w:type="fixed"/>
          <w:tblCellMar>
            <w:left w:w="62" w:type="dxa"/>
            <w:right w:w="62" w:type="dxa"/>
          </w:tblCellMar>
          <w:tblLook w:val="0000"/>
        </w:tblPrEx>
        <w:trPr>
          <w:trHeight w:val="57"/>
        </w:trPr>
        <w:tc>
          <w:tcPr>
            <w:tcW w:w="3308" w:type="dxa"/>
            <w:tcBorders>
              <w:top w:val="nil"/>
              <w:left w:val="nil"/>
              <w:bottom w:val="nil"/>
              <w:right w:val="nil"/>
            </w:tcBorders>
            <w:tcMar>
              <w:top w:w="0" w:type="dxa"/>
              <w:left w:w="62" w:type="dxa"/>
              <w:bottom w:w="0" w:type="dxa"/>
              <w:right w:w="62" w:type="dxa"/>
            </w:tcMar>
          </w:tcPr>
          <w:p w:rsidR="00000000" w:rsidP="002E435B">
            <w:pPr>
              <w:pStyle w:val="BodyText"/>
              <w:rPr>
                <w:lang w:val="en-NZ"/>
              </w:rPr>
            </w:pPr>
            <w:r w:rsidRPr="002E435B">
              <w:rPr>
                <w:rStyle w:val="SpecialBold"/>
              </w:rPr>
              <w:t>Terminology and related meanings will be:</w:t>
            </w:r>
          </w:p>
        </w:tc>
        <w:tc>
          <w:tcPr>
            <w:tcW w:w="6157" w:type="dxa"/>
            <w:tcBorders>
              <w:top w:val="nil"/>
              <w:left w:val="nil"/>
              <w:bottom w:val="nil"/>
              <w:right w:val="nil"/>
            </w:tcBorders>
            <w:tcMar>
              <w:top w:w="0" w:type="dxa"/>
              <w:left w:w="62" w:type="dxa"/>
              <w:bottom w:w="0" w:type="dxa"/>
              <w:right w:w="62" w:type="dxa"/>
            </w:tcMar>
          </w:tcPr>
          <w:p w:rsidR="00000000" w:rsidP="002E435B">
            <w:pPr>
              <w:pStyle w:val="ListBullet"/>
              <w:rPr>
                <w:lang w:val="en-NZ"/>
              </w:rPr>
            </w:pPr>
            <w:r w:rsidRPr="002E435B">
              <w:t>as defined within the applicable safeworking system</w:t>
            </w:r>
          </w:p>
        </w:tc>
      </w:tr>
      <w:tr w:rsidTr="002E435B">
        <w:tblPrEx>
          <w:tblW w:w="9465" w:type="dxa"/>
          <w:tblLayout w:type="fixed"/>
          <w:tblCellMar>
            <w:left w:w="62" w:type="dxa"/>
            <w:right w:w="62" w:type="dxa"/>
          </w:tblCellMar>
          <w:tblLook w:val="0000"/>
        </w:tblPrEx>
        <w:tc>
          <w:tcPr>
            <w:tcW w:w="3308" w:type="dxa"/>
            <w:tcBorders>
              <w:top w:val="nil"/>
              <w:left w:val="nil"/>
              <w:bottom w:val="nil"/>
              <w:right w:val="nil"/>
            </w:tcBorders>
            <w:tcMar>
              <w:top w:w="0" w:type="dxa"/>
              <w:left w:w="62" w:type="dxa"/>
              <w:bottom w:w="0" w:type="dxa"/>
              <w:right w:w="62" w:type="dxa"/>
            </w:tcMar>
          </w:tcPr>
          <w:p w:rsidR="00000000" w:rsidP="002E435B">
            <w:pPr>
              <w:pStyle w:val="BodyText"/>
              <w:rPr>
                <w:lang w:val="en-NZ"/>
              </w:rPr>
            </w:pPr>
            <w:r w:rsidRPr="002E435B">
              <w:rPr>
                <w:rStyle w:val="SpecialBold"/>
              </w:rPr>
              <w:t>Communi</w:t>
            </w:r>
            <w:r w:rsidRPr="002E435B">
              <w:rPr>
                <w:rStyle w:val="SpecialBold"/>
              </w:rPr>
              <w:t>cations equipment may include:</w:t>
            </w:r>
          </w:p>
        </w:tc>
        <w:tc>
          <w:tcPr>
            <w:tcW w:w="6157" w:type="dxa"/>
            <w:tcBorders>
              <w:top w:val="nil"/>
              <w:left w:val="nil"/>
              <w:bottom w:val="nil"/>
              <w:right w:val="nil"/>
            </w:tcBorders>
            <w:tcMar>
              <w:top w:w="0" w:type="dxa"/>
              <w:left w:w="62" w:type="dxa"/>
              <w:bottom w:w="0" w:type="dxa"/>
              <w:right w:w="62" w:type="dxa"/>
            </w:tcMar>
          </w:tcPr>
          <w:p w:rsidR="00000000" w:rsidRPr="002E435B" w:rsidP="002E435B">
            <w:pPr>
              <w:pStyle w:val="ListBullet"/>
            </w:pPr>
            <w:r w:rsidRPr="002E435B">
              <w:t>hand-held or portable radios</w:t>
            </w:r>
          </w:p>
          <w:p w:rsidR="00000000" w:rsidRPr="002E435B" w:rsidP="002E435B">
            <w:pPr>
              <w:pStyle w:val="ListBullet"/>
            </w:pPr>
            <w:r w:rsidRPr="002E435B">
              <w:t>fixed equipment</w:t>
            </w:r>
          </w:p>
          <w:p w:rsidR="00000000" w:rsidRPr="002E435B" w:rsidP="002E435B">
            <w:pPr>
              <w:pStyle w:val="ListBullet"/>
            </w:pPr>
            <w:r w:rsidRPr="002E435B">
              <w:t>telephones, including mobile phones</w:t>
            </w:r>
          </w:p>
          <w:p w:rsidR="00000000" w:rsidP="002E435B">
            <w:pPr>
              <w:pStyle w:val="ListBullet"/>
              <w:rPr>
                <w:lang w:val="en-NZ"/>
              </w:rPr>
            </w:pPr>
            <w:r w:rsidRPr="002E435B">
              <w:t>fax machines</w:t>
            </w:r>
          </w:p>
        </w:tc>
      </w:tr>
      <w:tr w:rsidTr="002E435B">
        <w:tblPrEx>
          <w:tblW w:w="9465" w:type="dxa"/>
          <w:tblLayout w:type="fixed"/>
          <w:tblCellMar>
            <w:left w:w="62" w:type="dxa"/>
            <w:right w:w="62" w:type="dxa"/>
          </w:tblCellMar>
          <w:tblLook w:val="0000"/>
        </w:tblPrEx>
        <w:tc>
          <w:tcPr>
            <w:tcW w:w="3308" w:type="dxa"/>
            <w:tcBorders>
              <w:top w:val="nil"/>
              <w:left w:val="nil"/>
              <w:bottom w:val="nil"/>
              <w:right w:val="nil"/>
            </w:tcBorders>
            <w:tcMar>
              <w:top w:w="0" w:type="dxa"/>
              <w:left w:w="62" w:type="dxa"/>
              <w:bottom w:w="0" w:type="dxa"/>
              <w:right w:w="62" w:type="dxa"/>
            </w:tcMar>
          </w:tcPr>
          <w:p w:rsidR="00000000" w:rsidP="002E435B">
            <w:pPr>
              <w:pStyle w:val="BodyText"/>
              <w:rPr>
                <w:lang w:val="en-NZ"/>
              </w:rPr>
            </w:pPr>
            <w:r w:rsidRPr="002E435B">
              <w:rPr>
                <w:rStyle w:val="SpecialBold"/>
              </w:rPr>
              <w:t>Relevant safeworking documentation may include:</w:t>
            </w:r>
          </w:p>
        </w:tc>
        <w:tc>
          <w:tcPr>
            <w:tcW w:w="6157" w:type="dxa"/>
            <w:tcBorders>
              <w:top w:val="nil"/>
              <w:left w:val="nil"/>
              <w:bottom w:val="nil"/>
              <w:right w:val="nil"/>
            </w:tcBorders>
            <w:tcMar>
              <w:top w:w="0" w:type="dxa"/>
              <w:left w:w="62" w:type="dxa"/>
              <w:bottom w:w="0" w:type="dxa"/>
              <w:right w:w="62" w:type="dxa"/>
            </w:tcMar>
          </w:tcPr>
          <w:p w:rsidR="00000000" w:rsidRPr="002E435B" w:rsidP="002E435B">
            <w:pPr>
              <w:pStyle w:val="ListBullet"/>
            </w:pPr>
            <w:r w:rsidRPr="002E435B">
              <w:t>rules and operating procedures</w:t>
            </w:r>
          </w:p>
          <w:p w:rsidR="00000000" w:rsidRPr="002E435B" w:rsidP="002E435B">
            <w:pPr>
              <w:pStyle w:val="ListBullet"/>
            </w:pPr>
            <w:r w:rsidRPr="002E435B">
              <w:t>workplace procedures, policies and work instructions</w:t>
            </w:r>
          </w:p>
          <w:p w:rsidR="00000000" w:rsidRPr="002E435B" w:rsidP="002E435B">
            <w:pPr>
              <w:pStyle w:val="ListBullet"/>
            </w:pPr>
            <w:r w:rsidRPr="002E435B">
              <w:t>procedure manuals</w:t>
            </w:r>
          </w:p>
          <w:p w:rsidR="00000000" w:rsidRPr="002E435B" w:rsidP="002E435B">
            <w:pPr>
              <w:pStyle w:val="ListBullet"/>
            </w:pPr>
            <w:r w:rsidRPr="002E435B">
              <w:t>train running information (TRI)</w:t>
            </w:r>
          </w:p>
          <w:p w:rsidR="00000000" w:rsidRPr="002E435B" w:rsidP="002E435B">
            <w:pPr>
              <w:pStyle w:val="ListBullet"/>
            </w:pPr>
            <w:r w:rsidRPr="002E435B">
              <w:t>train notices</w:t>
            </w:r>
          </w:p>
          <w:p w:rsidR="00000000" w:rsidRPr="002E435B" w:rsidP="002E435B">
            <w:pPr>
              <w:pStyle w:val="ListBullet"/>
            </w:pPr>
            <w:r w:rsidRPr="002E435B">
              <w:t>train register books</w:t>
            </w:r>
          </w:p>
          <w:p w:rsidR="00000000" w:rsidRPr="002E435B" w:rsidP="002E435B">
            <w:pPr>
              <w:pStyle w:val="ListBullet"/>
            </w:pPr>
            <w:r w:rsidRPr="002E435B">
              <w:t>train graphs and/or diagrams</w:t>
            </w:r>
          </w:p>
          <w:p w:rsidR="00000000" w:rsidRPr="002E435B" w:rsidP="002E435B">
            <w:pPr>
              <w:pStyle w:val="ListBullet"/>
            </w:pPr>
            <w:r w:rsidRPr="002E435B">
              <w:t>local instructions</w:t>
            </w:r>
          </w:p>
          <w:p w:rsidR="00000000" w:rsidRPr="002E435B" w:rsidP="002E435B">
            <w:pPr>
              <w:pStyle w:val="ListBullet"/>
            </w:pPr>
            <w:r w:rsidRPr="002E435B">
              <w:t>track and infrastructure drawings and diagrams</w:t>
            </w:r>
          </w:p>
          <w:p w:rsidR="00000000" w:rsidRPr="002E435B" w:rsidP="002E435B">
            <w:pPr>
              <w:pStyle w:val="ListBullet"/>
            </w:pPr>
            <w:r w:rsidRPr="002E435B">
              <w:t>log books</w:t>
            </w:r>
          </w:p>
          <w:p w:rsidR="00000000" w:rsidP="002E435B">
            <w:pPr>
              <w:pStyle w:val="ListBullet"/>
              <w:rPr>
                <w:lang w:val="en-NZ"/>
              </w:rPr>
            </w:pPr>
            <w:r w:rsidRPr="002E435B">
              <w:t>safeworking f</w:t>
            </w:r>
            <w:r w:rsidRPr="002E435B">
              <w:t>orms</w:t>
            </w:r>
          </w:p>
        </w:tc>
      </w:tr>
      <w:tr w:rsidTr="002E435B">
        <w:tblPrEx>
          <w:tblW w:w="9465" w:type="dxa"/>
          <w:tblLayout w:type="fixed"/>
          <w:tblCellMar>
            <w:left w:w="62" w:type="dxa"/>
            <w:right w:w="62" w:type="dxa"/>
          </w:tblCellMar>
          <w:tblLook w:val="0000"/>
        </w:tblPrEx>
        <w:trPr>
          <w:trHeight w:val="57"/>
        </w:trPr>
        <w:tc>
          <w:tcPr>
            <w:tcW w:w="3308" w:type="dxa"/>
            <w:tcBorders>
              <w:top w:val="nil"/>
              <w:left w:val="nil"/>
              <w:bottom w:val="nil"/>
              <w:right w:val="nil"/>
            </w:tcBorders>
            <w:tcMar>
              <w:top w:w="0" w:type="dxa"/>
              <w:left w:w="62" w:type="dxa"/>
              <w:bottom w:w="0" w:type="dxa"/>
              <w:right w:w="62" w:type="dxa"/>
            </w:tcMar>
          </w:tcPr>
          <w:p w:rsidR="00000000" w:rsidP="002E435B">
            <w:pPr>
              <w:pStyle w:val="BodyText"/>
              <w:rPr>
                <w:lang w:val="en-NZ"/>
              </w:rPr>
            </w:pPr>
            <w:r w:rsidRPr="002E435B">
              <w:rPr>
                <w:rStyle w:val="SpecialBold"/>
              </w:rPr>
              <w:t>Applicable legislation, regulations and codes may include:</w:t>
            </w:r>
          </w:p>
        </w:tc>
        <w:tc>
          <w:tcPr>
            <w:tcW w:w="6157" w:type="dxa"/>
            <w:tcBorders>
              <w:top w:val="nil"/>
              <w:left w:val="nil"/>
              <w:bottom w:val="nil"/>
              <w:right w:val="nil"/>
            </w:tcBorders>
            <w:tcMar>
              <w:top w:w="0" w:type="dxa"/>
              <w:left w:w="62" w:type="dxa"/>
              <w:bottom w:w="0" w:type="dxa"/>
              <w:right w:w="62" w:type="dxa"/>
            </w:tcMar>
          </w:tcPr>
          <w:p w:rsidR="00000000" w:rsidRPr="002E435B" w:rsidP="002E435B">
            <w:pPr>
              <w:pStyle w:val="ListBullet"/>
            </w:pPr>
            <w:r w:rsidRPr="002E435B">
              <w:t>legislated rail safety requirements, including acts and regulations from each applicable state and territory, together with any nationally approved compliance codes and/or guidelines</w:t>
            </w:r>
          </w:p>
          <w:p w:rsidR="00000000" w:rsidRPr="002E435B" w:rsidP="002E435B">
            <w:pPr>
              <w:pStyle w:val="ListBullet"/>
            </w:pPr>
            <w:r w:rsidRPr="002E435B">
              <w:t>relevant</w:t>
            </w:r>
            <w:r w:rsidRPr="002E435B">
              <w:t xml:space="preserve"> Australian standards and related requirements </w:t>
            </w:r>
          </w:p>
          <w:p w:rsidR="00000000" w:rsidRPr="002E435B" w:rsidP="002E435B">
            <w:pPr>
              <w:pStyle w:val="ListBullet"/>
            </w:pPr>
            <w:r w:rsidRPr="002E435B">
              <w:t>relevant state and territory OH&amp;S regulations</w:t>
            </w:r>
          </w:p>
          <w:p w:rsidR="00000000" w:rsidRPr="002E435B" w:rsidP="002E435B">
            <w:pPr>
              <w:pStyle w:val="ListBullet"/>
            </w:pPr>
            <w:r w:rsidRPr="002E435B">
              <w:t>state, federal or territory environmental protection legislation</w:t>
            </w:r>
          </w:p>
          <w:p w:rsidR="00000000" w:rsidRPr="002E435B" w:rsidP="002E435B">
            <w:pPr>
              <w:pStyle w:val="ListBullet"/>
            </w:pPr>
            <w:r w:rsidRPr="002E435B">
              <w:t xml:space="preserve">conditions of service, legislation and industrial agreements, including workplace agreements and </w:t>
            </w:r>
            <w:r w:rsidRPr="002E435B">
              <w:t>awards</w:t>
            </w:r>
          </w:p>
          <w:p w:rsidR="00000000" w:rsidRPr="002E435B" w:rsidP="002E435B">
            <w:pPr>
              <w:pStyle w:val="ListBullet"/>
            </w:pPr>
            <w:r w:rsidRPr="002E435B">
              <w:t>relevant national, state and territory dangerous goods legislation</w:t>
            </w:r>
          </w:p>
        </w:tc>
      </w:tr>
    </w:tbl>
    <w:p w:rsidR="00000000" w:rsidRPr="002E435B" w:rsidP="002E435B">
      <w:pPr>
        <w:pStyle w:val="BodyText"/>
      </w:pPr>
    </w:p>
    <w:p w:rsidR="00000000" w:rsidRPr="002E435B" w:rsidP="002E435B">
      <w:pPr>
        <w:pStyle w:val="AllowPageBreak"/>
      </w:pPr>
    </w:p>
    <w:p w:rsidR="00000000" w:rsidRPr="002E435B" w:rsidP="002E435B">
      <w:pPr>
        <w:pStyle w:val="Heading1"/>
      </w:pPr>
      <w:bookmarkStart w:id="12" w:name="O_357634"/>
      <w:bookmarkEnd w:id="12"/>
      <w:r w:rsidRPr="002E435B">
        <w:t>Unit Sector(s)</w:t>
      </w:r>
    </w:p>
    <w:p w:rsidR="00000000" w:rsidRPr="002E435B" w:rsidP="002E435B">
      <w:pPr>
        <w:pStyle w:val="BodyText"/>
      </w:pPr>
      <w:r w:rsidRPr="002E435B">
        <w:t>Not applicable.</w:t>
      </w:r>
    </w:p>
    <w:p w:rsidR="00000000" w:rsidRPr="002E435B" w:rsidP="002E435B">
      <w:pPr>
        <w:pStyle w:val="AllowPageBreak"/>
      </w:pPr>
    </w:p>
    <w:p w:rsidR="00000000" w:rsidRPr="002E435B" w:rsidP="002E435B">
      <w:pPr>
        <w:pStyle w:val="Heading1"/>
      </w:pPr>
      <w:bookmarkStart w:id="13" w:name="O_357635"/>
      <w:bookmarkEnd w:id="13"/>
      <w:r w:rsidRPr="002E435B">
        <w:t xml:space="preserve">Competency Field </w:t>
      </w:r>
    </w:p>
    <w:p w:rsidR="00000000" w:rsidRPr="002E435B" w:rsidP="002E435B">
      <w:pPr>
        <w:pStyle w:val="BodyText"/>
      </w:pPr>
      <w:r w:rsidRPr="002E435B">
        <w:t>F – Safety Management</w:t>
      </w:r>
    </w:p>
    <w:p w:rsidR="00000000" w:rsidRPr="002E435B" w:rsidP="002E435B"/>
    <w:sectPr w:rsidSect="002E435B">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E435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DE36E6" w:rsidP="00DE36E6">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E435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E36E6" w:rsidP="002E435B">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4</w:t>
    </w:r>
    <w:r>
      <w:rPr>
        <w:noProof/>
      </w:rPr>
      <w:fldChar w:fldCharType="end"/>
    </w:r>
  </w:p>
  <w:p w:rsidR="00DE36E6" w:rsidP="002E435B">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Transport &amp; Logistics Industry Skills Council</w:t>
    </w:r>
    <w:r>
      <w:fldChar w:fldCharType="end"/>
    </w:r>
  </w:p>
  <w:p w:rsidR="00DE36E6" w:rsidP="002E435B">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E435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E435B" w:rsidRPr="00DE36E6" w:rsidP="00DE36E6">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E435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E36E6" w:rsidRPr="002D2AF8" w:rsidP="002E435B">
    <w:pPr>
      <w:pStyle w:val="Header"/>
      <w:framePr w:wrap="around"/>
    </w:pPr>
    <w:r>
      <w:fldChar w:fldCharType="begin"/>
    </w:r>
    <w:r>
      <w:instrText xml:space="preserve"> TITLE   \* MERGEFORMAT </w:instrText>
    </w:r>
    <w:r>
      <w:fldChar w:fldCharType="separate"/>
    </w:r>
    <w:r>
      <w:t>TLIF4090A Implement safeworking rules and regulations for network control activities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12 October 2012</w:t>
    </w:r>
    <w:r>
      <w:fldChar w:fldCharType="end"/>
    </w:r>
  </w:p>
  <w:p w:rsidR="00DE36E6" w:rsidP="002E435B">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DF1CE67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E6CC9BC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ECA40AA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36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E435B"/>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2E435B"/>
    <w:pPr>
      <w:spacing w:before="360" w:after="60"/>
      <w:outlineLvl w:val="0"/>
    </w:pPr>
    <w:rPr>
      <w:sz w:val="32"/>
    </w:rPr>
  </w:style>
  <w:style w:type="paragraph" w:styleId="Heading2">
    <w:name w:val="heading 2"/>
    <w:basedOn w:val="HeadingBase"/>
    <w:next w:val="BodyText"/>
    <w:link w:val="Heading2Char"/>
    <w:qFormat/>
    <w:rsid w:val="002E435B"/>
    <w:pPr>
      <w:keepLines/>
      <w:spacing w:before="240" w:after="120"/>
      <w:outlineLvl w:val="1"/>
    </w:pPr>
    <w:rPr>
      <w:sz w:val="28"/>
      <w:szCs w:val="40"/>
    </w:rPr>
  </w:style>
  <w:style w:type="paragraph" w:styleId="Heading3">
    <w:name w:val="heading 3"/>
    <w:basedOn w:val="HeadingBase"/>
    <w:next w:val="BodyText"/>
    <w:link w:val="Heading3Char"/>
    <w:qFormat/>
    <w:rsid w:val="002E435B"/>
    <w:pPr>
      <w:spacing w:before="180" w:after="120"/>
      <w:outlineLvl w:val="2"/>
    </w:pPr>
    <w:rPr>
      <w:spacing w:val="-10"/>
      <w:kern w:val="32"/>
    </w:rPr>
  </w:style>
  <w:style w:type="paragraph" w:styleId="Heading4">
    <w:name w:val="heading 4"/>
    <w:basedOn w:val="HeadingBase"/>
    <w:next w:val="BodyText"/>
    <w:link w:val="Heading4Char"/>
    <w:qFormat/>
    <w:rsid w:val="002E435B"/>
    <w:pPr>
      <w:spacing w:before="160" w:after="120"/>
      <w:outlineLvl w:val="3"/>
    </w:pPr>
    <w:rPr>
      <w:sz w:val="22"/>
    </w:rPr>
  </w:style>
  <w:style w:type="paragraph" w:styleId="Heading5">
    <w:name w:val="heading 5"/>
    <w:basedOn w:val="HeadingBase"/>
    <w:next w:val="Normal"/>
    <w:link w:val="Heading5Char"/>
    <w:qFormat/>
    <w:rsid w:val="002E435B"/>
    <w:pPr>
      <w:spacing w:before="80"/>
      <w:outlineLvl w:val="4"/>
    </w:pPr>
    <w:rPr>
      <w:color w:val="918585"/>
      <w:sz w:val="20"/>
    </w:rPr>
  </w:style>
  <w:style w:type="paragraph" w:styleId="Heading6">
    <w:name w:val="heading 6"/>
    <w:basedOn w:val="HeadingBase"/>
    <w:next w:val="Normal"/>
    <w:link w:val="Heading6Char"/>
    <w:qFormat/>
    <w:rsid w:val="002E435B"/>
    <w:pPr>
      <w:spacing w:before="60"/>
      <w:outlineLvl w:val="5"/>
    </w:pPr>
    <w:rPr>
      <w:color w:val="918585"/>
      <w:sz w:val="20"/>
    </w:rPr>
  </w:style>
  <w:style w:type="paragraph" w:styleId="Heading7">
    <w:name w:val="heading 7"/>
    <w:basedOn w:val="Normal"/>
    <w:next w:val="Normal"/>
    <w:link w:val="Heading7Char"/>
    <w:qFormat/>
    <w:rsid w:val="002E435B"/>
    <w:pPr>
      <w:ind w:left="720"/>
      <w:outlineLvl w:val="6"/>
    </w:pPr>
    <w:rPr>
      <w:i/>
    </w:rPr>
  </w:style>
  <w:style w:type="paragraph" w:styleId="Heading8">
    <w:name w:val="heading 8"/>
    <w:basedOn w:val="Normal"/>
    <w:next w:val="Normal"/>
    <w:link w:val="Heading8Char"/>
    <w:qFormat/>
    <w:rsid w:val="002E435B"/>
    <w:pPr>
      <w:ind w:left="720"/>
      <w:outlineLvl w:val="7"/>
    </w:pPr>
    <w:rPr>
      <w:i/>
    </w:rPr>
  </w:style>
  <w:style w:type="paragraph" w:styleId="Heading9">
    <w:name w:val="heading 9"/>
    <w:basedOn w:val="Normal"/>
    <w:next w:val="Normal"/>
    <w:link w:val="Heading9Char"/>
    <w:qFormat/>
    <w:rsid w:val="002E435B"/>
    <w:pPr>
      <w:ind w:left="720"/>
      <w:outlineLvl w:val="8"/>
    </w:pPr>
    <w:rPr>
      <w:i/>
    </w:rPr>
  </w:style>
  <w:style w:type="character" w:default="1" w:styleId="DefaultParagraphFont">
    <w:name w:val="Default Paragraph Font"/>
    <w:uiPriority w:val="1"/>
    <w:unhideWhenUsed/>
    <w:rsid w:val="002E435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E435B"/>
  </w:style>
  <w:style w:type="character" w:customStyle="1" w:styleId="Heading1Char">
    <w:name w:val="Heading 1 Char"/>
    <w:basedOn w:val="DefaultParagraphFont"/>
    <w:link w:val="Heading1"/>
    <w:rsid w:val="002E435B"/>
    <w:rPr>
      <w:rFonts w:ascii="Times New Roman" w:eastAsia="Times New Roman" w:hAnsi="Times New Roman" w:cs="Times New Roman"/>
      <w:b/>
      <w:sz w:val="32"/>
      <w:szCs w:val="20"/>
      <w:lang w:eastAsia="en-US"/>
    </w:rPr>
  </w:style>
  <w:style w:type="paragraph" w:styleId="BodyText">
    <w:name w:val="Body Text"/>
    <w:basedOn w:val="Normal"/>
    <w:link w:val="BodyTextChar"/>
    <w:rsid w:val="002E435B"/>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2E435B"/>
    <w:rPr>
      <w:rFonts w:ascii="Times New Roman" w:eastAsia="Times New Roman" w:hAnsi="Times New Roman" w:cs="Times New Roman"/>
      <w:sz w:val="24"/>
      <w:lang w:eastAsia="en-US"/>
    </w:rPr>
  </w:style>
  <w:style w:type="paragraph" w:styleId="Footer">
    <w:name w:val="footer"/>
    <w:basedOn w:val="Normal"/>
    <w:link w:val="FooterChar"/>
    <w:rsid w:val="002E435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E435B"/>
    <w:rPr>
      <w:rFonts w:ascii="Times New Roman" w:eastAsia="Times New Roman" w:hAnsi="Times New Roman" w:cs="Times New Roman"/>
      <w:sz w:val="16"/>
      <w:lang w:eastAsia="en-US"/>
    </w:rPr>
  </w:style>
  <w:style w:type="paragraph" w:styleId="ListBullet">
    <w:name w:val="List Bullet"/>
    <w:basedOn w:val="List"/>
    <w:rsid w:val="002E435B"/>
    <w:pPr>
      <w:numPr>
        <w:numId w:val="13"/>
      </w:numPr>
      <w:tabs>
        <w:tab w:val="clear" w:pos="340"/>
      </w:tabs>
      <w:spacing w:before="40" w:after="40"/>
    </w:pPr>
  </w:style>
  <w:style w:type="character" w:customStyle="1" w:styleId="SpecialBold">
    <w:name w:val="Special Bold"/>
    <w:basedOn w:val="DefaultParagraphFont"/>
    <w:rsid w:val="002E435B"/>
    <w:rPr>
      <w:b/>
      <w:spacing w:val="0"/>
    </w:rPr>
  </w:style>
  <w:style w:type="paragraph" w:styleId="ListBullet2">
    <w:name w:val="List Bullet 2"/>
    <w:basedOn w:val="List2"/>
    <w:rsid w:val="002E435B"/>
    <w:pPr>
      <w:numPr>
        <w:numId w:val="14"/>
      </w:numPr>
      <w:tabs>
        <w:tab w:val="clear" w:pos="680"/>
      </w:tabs>
    </w:pPr>
  </w:style>
  <w:style w:type="paragraph" w:customStyle="1" w:styleId="SuperHeading">
    <w:name w:val="SuperHeading"/>
    <w:basedOn w:val="Normal"/>
    <w:rsid w:val="002E435B"/>
    <w:pPr>
      <w:spacing w:before="240" w:after="120"/>
      <w:outlineLvl w:val="0"/>
    </w:pPr>
    <w:rPr>
      <w:rFonts w:ascii="Times New Roman" w:hAnsi="Times New Roman"/>
      <w:b/>
      <w:sz w:val="28"/>
    </w:rPr>
  </w:style>
  <w:style w:type="paragraph" w:customStyle="1" w:styleId="AllowPageBreak">
    <w:name w:val="AllowPageBreak"/>
    <w:rsid w:val="002E435B"/>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2E435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E435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E435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E435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E435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E435B"/>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2E435B"/>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2E435B"/>
    <w:rPr>
      <w:rFonts w:ascii="Courier New" w:eastAsia="Times New Roman" w:hAnsi="Courier New" w:cs="Times New Roman"/>
      <w:i/>
      <w:szCs w:val="20"/>
      <w:lang w:eastAsia="en-US"/>
    </w:rPr>
  </w:style>
  <w:style w:type="paragraph" w:customStyle="1" w:styleId="HeadingBase">
    <w:name w:val="Heading Base"/>
    <w:rsid w:val="002E435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E435B"/>
    <w:pPr>
      <w:tabs>
        <w:tab w:val="right" w:leader="dot" w:pos="9072"/>
      </w:tabs>
      <w:ind w:left="567"/>
    </w:pPr>
    <w:rPr>
      <w:szCs w:val="22"/>
    </w:rPr>
  </w:style>
  <w:style w:type="paragraph" w:customStyle="1" w:styleId="TOCBase">
    <w:name w:val="TOC Base"/>
    <w:rsid w:val="002E435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E435B"/>
    <w:pPr>
      <w:tabs>
        <w:tab w:val="right" w:leader="dot" w:pos="9072"/>
      </w:tabs>
      <w:spacing w:before="40" w:after="40"/>
      <w:ind w:left="284"/>
    </w:pPr>
    <w:rPr>
      <w:rFonts w:ascii="Times New Roman" w:hAnsi="Times New Roman"/>
    </w:rPr>
  </w:style>
  <w:style w:type="paragraph" w:styleId="TOC1">
    <w:name w:val="toc 1"/>
    <w:basedOn w:val="TOCBase"/>
    <w:next w:val="Normal"/>
    <w:rsid w:val="002E435B"/>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2E435B"/>
    <w:pPr>
      <w:spacing w:before="5040"/>
      <w:jc w:val="center"/>
    </w:pPr>
    <w:rPr>
      <w:sz w:val="48"/>
      <w:szCs w:val="72"/>
      <w:lang w:val="en-US"/>
    </w:rPr>
  </w:style>
  <w:style w:type="character" w:customStyle="1" w:styleId="TitleChar">
    <w:name w:val="Title Char"/>
    <w:basedOn w:val="DefaultParagraphFont"/>
    <w:link w:val="Title"/>
    <w:rsid w:val="002E435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E435B"/>
    <w:pPr>
      <w:tabs>
        <w:tab w:val="left" w:pos="3600"/>
        <w:tab w:val="left" w:pos="3958"/>
      </w:tabs>
    </w:pPr>
  </w:style>
  <w:style w:type="paragraph" w:styleId="List">
    <w:name w:val="List"/>
    <w:basedOn w:val="BodyText"/>
    <w:next w:val="BodyText"/>
    <w:rsid w:val="002E435B"/>
    <w:pPr>
      <w:tabs>
        <w:tab w:val="left" w:pos="340"/>
      </w:tabs>
      <w:spacing w:before="60" w:after="60"/>
      <w:ind w:left="340" w:hanging="340"/>
    </w:pPr>
  </w:style>
  <w:style w:type="paragraph" w:customStyle="1" w:styleId="Note">
    <w:name w:val="Note"/>
    <w:basedOn w:val="BodyText"/>
    <w:rsid w:val="002E435B"/>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2E435B"/>
    <w:pPr>
      <w:framePr w:wrap="auto" w:hAnchor="text" w:y="6049"/>
    </w:pPr>
    <w:rPr>
      <w:color w:val="000000"/>
      <w:sz w:val="40"/>
    </w:rPr>
  </w:style>
  <w:style w:type="paragraph" w:customStyle="1" w:styleId="TOCTitle">
    <w:name w:val="TOCTitle"/>
    <w:basedOn w:val="Heading1"/>
    <w:rsid w:val="002E435B"/>
    <w:pPr>
      <w:spacing w:after="240"/>
      <w:jc w:val="center"/>
      <w:outlineLvl w:val="9"/>
    </w:pPr>
    <w:rPr>
      <w:caps/>
    </w:rPr>
  </w:style>
  <w:style w:type="paragraph" w:customStyle="1" w:styleId="Version">
    <w:name w:val="Version"/>
    <w:rsid w:val="002E435B"/>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2E435B"/>
    <w:pPr>
      <w:keepNext w:val="0"/>
      <w:tabs>
        <w:tab w:val="right" w:pos="4176"/>
      </w:tabs>
      <w:ind w:left="198" w:hanging="198"/>
    </w:pPr>
    <w:rPr>
      <w:rFonts w:ascii="Garamond" w:hAnsi="Garamond"/>
    </w:rPr>
  </w:style>
  <w:style w:type="paragraph" w:styleId="IndexHeading">
    <w:name w:val="index heading"/>
    <w:basedOn w:val="Normal"/>
    <w:next w:val="Index1"/>
    <w:semiHidden/>
    <w:rsid w:val="002E435B"/>
    <w:pPr>
      <w:spacing w:before="120" w:after="120"/>
    </w:pPr>
    <w:rPr>
      <w:rFonts w:ascii="Arial" w:hAnsi="Arial"/>
      <w:b/>
      <w:color w:val="918585"/>
      <w:sz w:val="24"/>
    </w:rPr>
  </w:style>
  <w:style w:type="paragraph" w:styleId="Header">
    <w:name w:val="header"/>
    <w:basedOn w:val="Normal"/>
    <w:link w:val="HeaderChar"/>
    <w:rsid w:val="002E435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E435B"/>
    <w:rPr>
      <w:rFonts w:ascii="Times New Roman" w:eastAsia="Times New Roman" w:hAnsi="Times New Roman" w:cs="Times New Roman"/>
      <w:sz w:val="16"/>
      <w:szCs w:val="20"/>
      <w:lang w:val="en-GB" w:eastAsia="en-US"/>
    </w:rPr>
  </w:style>
  <w:style w:type="paragraph" w:customStyle="1" w:styleId="Chapter">
    <w:name w:val="Chapter"/>
    <w:basedOn w:val="Normal"/>
    <w:rsid w:val="002E435B"/>
    <w:pPr>
      <w:spacing w:before="240"/>
    </w:pPr>
    <w:rPr>
      <w:rFonts w:ascii="Times New Roman" w:hAnsi="Times New Roman"/>
      <w:smallCaps/>
      <w:spacing w:val="80"/>
      <w:sz w:val="28"/>
    </w:rPr>
  </w:style>
  <w:style w:type="paragraph" w:customStyle="1" w:styleId="InChapter">
    <w:name w:val="InChapter"/>
    <w:basedOn w:val="Heading3"/>
    <w:rsid w:val="002E435B"/>
    <w:pPr>
      <w:spacing w:after="240"/>
      <w:outlineLvl w:val="9"/>
    </w:pPr>
    <w:rPr>
      <w:noProof/>
    </w:rPr>
  </w:style>
  <w:style w:type="paragraph" w:styleId="Index2">
    <w:name w:val="index 2"/>
    <w:basedOn w:val="Normal"/>
    <w:next w:val="Normal"/>
    <w:semiHidden/>
    <w:rsid w:val="002E435B"/>
    <w:pPr>
      <w:tabs>
        <w:tab w:val="right" w:pos="4176"/>
      </w:tabs>
      <w:ind w:left="568" w:hanging="284"/>
    </w:pPr>
    <w:rPr>
      <w:rFonts w:ascii="Garamond" w:hAnsi="Garamond"/>
    </w:rPr>
  </w:style>
  <w:style w:type="paragraph" w:customStyle="1" w:styleId="Byline">
    <w:name w:val="Byline"/>
    <w:rsid w:val="002E435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E435B"/>
    <w:pPr>
      <w:tabs>
        <w:tab w:val="clear" w:pos="3600"/>
        <w:tab w:val="clear" w:pos="3958"/>
      </w:tabs>
      <w:jc w:val="right"/>
    </w:pPr>
  </w:style>
  <w:style w:type="character" w:styleId="Emphasis">
    <w:name w:val="Emphasis"/>
    <w:basedOn w:val="DefaultParagraphFont"/>
    <w:qFormat/>
    <w:rsid w:val="002E435B"/>
    <w:rPr>
      <w:i/>
    </w:rPr>
  </w:style>
  <w:style w:type="paragraph" w:styleId="Caption">
    <w:name w:val="caption"/>
    <w:basedOn w:val="BodyText"/>
    <w:next w:val="Normal"/>
    <w:qFormat/>
    <w:rsid w:val="002E435B"/>
    <w:pPr>
      <w:framePr w:w="2268" w:hSpace="181" w:vSpace="181" w:wrap="around" w:vAnchor="text" w:hAnchor="page" w:x="1135" w:y="285" w:anchorLock="1"/>
    </w:pPr>
    <w:rPr>
      <w:i/>
    </w:rPr>
  </w:style>
  <w:style w:type="paragraph" w:customStyle="1" w:styleId="MiniTOCTitle">
    <w:name w:val="MiniTOCTitle"/>
    <w:basedOn w:val="Heading4"/>
    <w:rsid w:val="002E435B"/>
    <w:pPr>
      <w:spacing w:before="240"/>
      <w:outlineLvl w:val="9"/>
    </w:pPr>
    <w:rPr>
      <w:noProof/>
      <w:sz w:val="24"/>
    </w:rPr>
  </w:style>
  <w:style w:type="paragraph" w:customStyle="1" w:styleId="MiniTOCItem">
    <w:name w:val="MiniTOCItem"/>
    <w:basedOn w:val="ListBullet"/>
    <w:rsid w:val="002E435B"/>
    <w:pPr>
      <w:numPr>
        <w:numId w:val="0"/>
      </w:numPr>
      <w:tabs>
        <w:tab w:val="right" w:leader="dot" w:pos="6521"/>
      </w:tabs>
      <w:spacing w:before="0" w:after="0"/>
    </w:pPr>
  </w:style>
  <w:style w:type="paragraph" w:customStyle="1" w:styleId="TOFTitle">
    <w:name w:val="TOFTitle"/>
    <w:basedOn w:val="TOCTitle"/>
    <w:rsid w:val="002E435B"/>
  </w:style>
  <w:style w:type="paragraph" w:styleId="TableofFigures">
    <w:name w:val="table of figures"/>
    <w:basedOn w:val="Normal"/>
    <w:next w:val="Normal"/>
    <w:semiHidden/>
    <w:rsid w:val="002E435B"/>
    <w:pPr>
      <w:tabs>
        <w:tab w:val="right" w:leader="dot" w:pos="9072"/>
      </w:tabs>
      <w:ind w:left="970" w:hanging="403"/>
    </w:pPr>
    <w:rPr>
      <w:rFonts w:ascii="Times New Roman" w:hAnsi="Times New Roman"/>
      <w:b/>
    </w:rPr>
  </w:style>
  <w:style w:type="paragraph" w:styleId="ListNumber">
    <w:name w:val="List Number"/>
    <w:basedOn w:val="List"/>
    <w:rsid w:val="002E435B"/>
    <w:pPr>
      <w:numPr>
        <w:numId w:val="11"/>
      </w:numPr>
    </w:pPr>
  </w:style>
  <w:style w:type="character" w:customStyle="1" w:styleId="WingdingSymbols">
    <w:name w:val="Wingding Symbols"/>
    <w:rsid w:val="002E435B"/>
    <w:rPr>
      <w:rFonts w:ascii="Wingdings" w:hAnsi="Wingdings"/>
    </w:rPr>
  </w:style>
  <w:style w:type="paragraph" w:customStyle="1" w:styleId="TableHeading">
    <w:name w:val="Table Heading"/>
    <w:basedOn w:val="HeadingBase"/>
    <w:rsid w:val="002E435B"/>
    <w:pPr>
      <w:keepLines/>
      <w:pBdr>
        <w:bottom w:val="single" w:sz="6" w:space="1" w:color="918585"/>
      </w:pBdr>
      <w:spacing w:before="240"/>
    </w:pPr>
  </w:style>
  <w:style w:type="character" w:customStyle="1" w:styleId="HotSpot">
    <w:name w:val="HotSpot"/>
    <w:rsid w:val="002E435B"/>
    <w:rPr>
      <w:color w:val="0033CC"/>
      <w:u w:val="none"/>
    </w:rPr>
  </w:style>
  <w:style w:type="paragraph" w:customStyle="1" w:styleId="BodyTextRight">
    <w:name w:val="Body Text Right"/>
    <w:basedOn w:val="BodyText"/>
    <w:rsid w:val="002E435B"/>
    <w:pPr>
      <w:spacing w:before="0" w:after="0"/>
      <w:jc w:val="right"/>
    </w:pPr>
  </w:style>
  <w:style w:type="paragraph" w:styleId="Index3">
    <w:name w:val="index 3"/>
    <w:basedOn w:val="ListNumber2"/>
    <w:next w:val="Normal"/>
    <w:semiHidden/>
    <w:rsid w:val="002E435B"/>
    <w:pPr>
      <w:numPr>
        <w:numId w:val="0"/>
      </w:numPr>
      <w:tabs>
        <w:tab w:val="right" w:leader="dot" w:pos="4176"/>
      </w:tabs>
    </w:pPr>
  </w:style>
  <w:style w:type="paragraph" w:styleId="ListNumber2">
    <w:name w:val="List Number 2"/>
    <w:basedOn w:val="List2"/>
    <w:rsid w:val="002E435B"/>
    <w:pPr>
      <w:numPr>
        <w:numId w:val="10"/>
      </w:numPr>
      <w:tabs>
        <w:tab w:val="clear" w:pos="1060"/>
      </w:tabs>
    </w:pPr>
  </w:style>
  <w:style w:type="paragraph" w:customStyle="1" w:styleId="MarginNote">
    <w:name w:val="Margin Note"/>
    <w:basedOn w:val="BodyText"/>
    <w:rsid w:val="002E435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E435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E435B"/>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2E435B"/>
    <w:rPr>
      <w:sz w:val="32"/>
    </w:rPr>
  </w:style>
  <w:style w:type="paragraph" w:customStyle="1" w:styleId="HeadingProcedure">
    <w:name w:val="Heading Procedure"/>
    <w:basedOn w:val="HeadingBase"/>
    <w:next w:val="Normal"/>
    <w:rsid w:val="002E435B"/>
    <w:pPr>
      <w:tabs>
        <w:tab w:val="left" w:pos="0"/>
      </w:tabs>
      <w:spacing w:before="120" w:after="60"/>
    </w:pPr>
    <w:rPr>
      <w:i/>
      <w:color w:val="918585"/>
      <w:sz w:val="22"/>
    </w:rPr>
  </w:style>
  <w:style w:type="paragraph" w:customStyle="1" w:styleId="TableBodyText">
    <w:name w:val="Table Body Text"/>
    <w:basedOn w:val="BodyText"/>
    <w:rsid w:val="002E435B"/>
    <w:pPr>
      <w:spacing w:before="60" w:after="60"/>
    </w:pPr>
  </w:style>
  <w:style w:type="paragraph" w:styleId="ListContinue">
    <w:name w:val="List Continue"/>
    <w:basedOn w:val="List"/>
    <w:rsid w:val="002E435B"/>
    <w:pPr>
      <w:ind w:firstLine="0"/>
    </w:pPr>
  </w:style>
  <w:style w:type="paragraph" w:customStyle="1" w:styleId="ListNote">
    <w:name w:val="List Note"/>
    <w:basedOn w:val="List"/>
    <w:rsid w:val="002E435B"/>
    <w:pPr>
      <w:pBdr>
        <w:top w:val="single" w:sz="6" w:space="2" w:color="918585"/>
        <w:bottom w:val="single" w:sz="6" w:space="2" w:color="918585"/>
      </w:pBdr>
      <w:tabs>
        <w:tab w:val="left" w:pos="1021"/>
      </w:tabs>
      <w:ind w:firstLine="0"/>
    </w:pPr>
  </w:style>
  <w:style w:type="paragraph" w:customStyle="1" w:styleId="Warning">
    <w:name w:val="Warning"/>
    <w:basedOn w:val="BodyText"/>
    <w:rsid w:val="002E435B"/>
    <w:pPr>
      <w:shd w:val="clear" w:color="auto" w:fill="D9D9D9"/>
      <w:tabs>
        <w:tab w:val="left" w:pos="992"/>
      </w:tabs>
      <w:ind w:left="119" w:right="119"/>
    </w:pPr>
    <w:rPr>
      <w:sz w:val="20"/>
    </w:rPr>
  </w:style>
  <w:style w:type="paragraph" w:customStyle="1" w:styleId="MarginIcons">
    <w:name w:val="Margin Icons"/>
    <w:basedOn w:val="BodyText"/>
    <w:rsid w:val="002E435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E435B"/>
    <w:rPr>
      <w:rFonts w:ascii="Courier New" w:hAnsi="Courier New"/>
    </w:rPr>
  </w:style>
  <w:style w:type="paragraph" w:customStyle="1" w:styleId="NoteBullet">
    <w:name w:val="Note Bullet"/>
    <w:basedOn w:val="Note"/>
    <w:rsid w:val="002E435B"/>
    <w:pPr>
      <w:tabs>
        <w:tab w:val="clear" w:pos="680"/>
      </w:tabs>
      <w:spacing w:before="60" w:after="60"/>
    </w:pPr>
  </w:style>
  <w:style w:type="paragraph" w:customStyle="1" w:styleId="SubHeading2">
    <w:name w:val="SubHeading2"/>
    <w:basedOn w:val="HeadingBase"/>
    <w:rsid w:val="002E435B"/>
    <w:pPr>
      <w:spacing w:before="240" w:after="60"/>
    </w:pPr>
    <w:rPr>
      <w:sz w:val="20"/>
    </w:rPr>
  </w:style>
  <w:style w:type="paragraph" w:customStyle="1" w:styleId="SubHeading1">
    <w:name w:val="SubHeading1"/>
    <w:basedOn w:val="HeadingBase"/>
    <w:rsid w:val="002E435B"/>
    <w:pPr>
      <w:spacing w:before="240" w:after="60"/>
    </w:pPr>
    <w:rPr>
      <w:color w:val="918585"/>
      <w:sz w:val="22"/>
    </w:rPr>
  </w:style>
  <w:style w:type="paragraph" w:customStyle="1" w:styleId="SideHeading">
    <w:name w:val="Side Heading"/>
    <w:basedOn w:val="HeadingBase"/>
    <w:rsid w:val="002E435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E435B"/>
    <w:pPr>
      <w:numPr>
        <w:numId w:val="12"/>
      </w:numPr>
    </w:pPr>
  </w:style>
  <w:style w:type="paragraph" w:styleId="PlainText">
    <w:name w:val="Plain Text"/>
    <w:basedOn w:val="Normal"/>
    <w:link w:val="PlainTextChar"/>
    <w:rsid w:val="002E435B"/>
    <w:rPr>
      <w:sz w:val="20"/>
    </w:rPr>
  </w:style>
  <w:style w:type="character" w:customStyle="1" w:styleId="PlainTextChar">
    <w:name w:val="Plain Text Char"/>
    <w:basedOn w:val="DefaultParagraphFont"/>
    <w:link w:val="PlainText"/>
    <w:rsid w:val="002E435B"/>
    <w:rPr>
      <w:rFonts w:ascii="Courier New" w:eastAsia="Times New Roman" w:hAnsi="Courier New" w:cs="Times New Roman"/>
      <w:sz w:val="20"/>
      <w:szCs w:val="20"/>
      <w:lang w:eastAsia="en-US"/>
    </w:rPr>
  </w:style>
  <w:style w:type="character" w:customStyle="1" w:styleId="MenuOption">
    <w:name w:val="Menu Option"/>
    <w:basedOn w:val="DefaultParagraphFont"/>
    <w:rsid w:val="002E435B"/>
    <w:rPr>
      <w:b/>
      <w:smallCaps/>
    </w:rPr>
  </w:style>
  <w:style w:type="paragraph" w:customStyle="1" w:styleId="TableListNumber">
    <w:name w:val="Table List Number"/>
    <w:basedOn w:val="ListNumber"/>
    <w:rsid w:val="002E435B"/>
    <w:pPr>
      <w:numPr>
        <w:numId w:val="0"/>
      </w:numPr>
    </w:pPr>
  </w:style>
  <w:style w:type="paragraph" w:styleId="TOC4">
    <w:name w:val="toc 4"/>
    <w:basedOn w:val="TOCBase"/>
    <w:next w:val="Normal"/>
    <w:semiHidden/>
    <w:rsid w:val="002E435B"/>
    <w:pPr>
      <w:tabs>
        <w:tab w:val="right" w:leader="dot" w:pos="9071"/>
      </w:tabs>
      <w:ind w:left="1701"/>
    </w:pPr>
  </w:style>
  <w:style w:type="paragraph" w:customStyle="1" w:styleId="ListAlpha">
    <w:name w:val="List Alpha"/>
    <w:basedOn w:val="List"/>
    <w:rsid w:val="002E435B"/>
    <w:pPr>
      <w:numPr>
        <w:numId w:val="9"/>
      </w:numPr>
    </w:pPr>
  </w:style>
  <w:style w:type="paragraph" w:customStyle="1" w:styleId="ListAlpha2">
    <w:name w:val="List Alpha 2"/>
    <w:basedOn w:val="List2"/>
    <w:rsid w:val="002E435B"/>
    <w:pPr>
      <w:numPr>
        <w:numId w:val="8"/>
      </w:numPr>
    </w:pPr>
  </w:style>
  <w:style w:type="paragraph" w:styleId="List2">
    <w:name w:val="List 2"/>
    <w:basedOn w:val="BodyText"/>
    <w:rsid w:val="002E435B"/>
    <w:pPr>
      <w:tabs>
        <w:tab w:val="left" w:pos="680"/>
      </w:tabs>
      <w:spacing w:before="60" w:after="60"/>
      <w:ind w:left="680" w:hanging="340"/>
    </w:pPr>
  </w:style>
  <w:style w:type="paragraph" w:styleId="List3">
    <w:name w:val="List 3"/>
    <w:basedOn w:val="BodyText"/>
    <w:rsid w:val="002E435B"/>
    <w:pPr>
      <w:tabs>
        <w:tab w:val="left" w:pos="1021"/>
      </w:tabs>
      <w:spacing w:before="60" w:after="60"/>
      <w:ind w:left="1020" w:hanging="340"/>
    </w:pPr>
  </w:style>
  <w:style w:type="paragraph" w:styleId="List4">
    <w:name w:val="List 4"/>
    <w:basedOn w:val="BodyText"/>
    <w:rsid w:val="002E435B"/>
    <w:pPr>
      <w:tabs>
        <w:tab w:val="left" w:pos="1361"/>
      </w:tabs>
      <w:spacing w:before="60" w:after="60"/>
      <w:ind w:left="1361" w:hanging="340"/>
    </w:pPr>
  </w:style>
  <w:style w:type="paragraph" w:styleId="List5">
    <w:name w:val="List 5"/>
    <w:basedOn w:val="BodyText"/>
    <w:rsid w:val="002E435B"/>
    <w:pPr>
      <w:tabs>
        <w:tab w:val="left" w:pos="1701"/>
      </w:tabs>
      <w:spacing w:before="60" w:after="60"/>
      <w:ind w:left="1701" w:hanging="340"/>
    </w:pPr>
  </w:style>
  <w:style w:type="paragraph" w:styleId="ListBullet3">
    <w:name w:val="List Bullet 3"/>
    <w:basedOn w:val="List3"/>
    <w:rsid w:val="002E435B"/>
    <w:pPr>
      <w:numPr>
        <w:numId w:val="15"/>
      </w:numPr>
      <w:tabs>
        <w:tab w:val="clear" w:pos="1021"/>
      </w:tabs>
      <w:ind w:left="1037" w:hanging="357"/>
    </w:pPr>
  </w:style>
  <w:style w:type="paragraph" w:styleId="ListBullet4">
    <w:name w:val="List Bullet 4"/>
    <w:basedOn w:val="List4"/>
    <w:rsid w:val="002E435B"/>
    <w:pPr>
      <w:numPr>
        <w:numId w:val="3"/>
      </w:numPr>
    </w:pPr>
  </w:style>
  <w:style w:type="paragraph" w:styleId="ListBullet5">
    <w:name w:val="List Bullet 5"/>
    <w:basedOn w:val="List5"/>
    <w:rsid w:val="002E435B"/>
    <w:pPr>
      <w:numPr>
        <w:numId w:val="4"/>
      </w:numPr>
    </w:pPr>
  </w:style>
  <w:style w:type="paragraph" w:styleId="ListContinue2">
    <w:name w:val="List Continue 2"/>
    <w:basedOn w:val="List2"/>
    <w:rsid w:val="002E435B"/>
    <w:pPr>
      <w:ind w:firstLine="0"/>
    </w:pPr>
  </w:style>
  <w:style w:type="paragraph" w:styleId="ListContinue3">
    <w:name w:val="List Continue 3"/>
    <w:basedOn w:val="List3"/>
    <w:rsid w:val="002E435B"/>
    <w:pPr>
      <w:ind w:left="1021" w:firstLine="0"/>
    </w:pPr>
  </w:style>
  <w:style w:type="paragraph" w:styleId="ListContinue4">
    <w:name w:val="List Continue 4"/>
    <w:basedOn w:val="List4"/>
    <w:rsid w:val="002E435B"/>
    <w:pPr>
      <w:ind w:firstLine="0"/>
    </w:pPr>
  </w:style>
  <w:style w:type="paragraph" w:styleId="ListContinue5">
    <w:name w:val="List Continue 5"/>
    <w:basedOn w:val="List5"/>
    <w:rsid w:val="002E435B"/>
    <w:pPr>
      <w:ind w:firstLine="0"/>
    </w:pPr>
  </w:style>
  <w:style w:type="paragraph" w:styleId="ListNumber3">
    <w:name w:val="List Number 3"/>
    <w:basedOn w:val="List3"/>
    <w:rsid w:val="002E435B"/>
    <w:pPr>
      <w:numPr>
        <w:numId w:val="5"/>
      </w:numPr>
    </w:pPr>
  </w:style>
  <w:style w:type="paragraph" w:styleId="ListNumber4">
    <w:name w:val="List Number 4"/>
    <w:basedOn w:val="List4"/>
    <w:rsid w:val="002E435B"/>
    <w:pPr>
      <w:numPr>
        <w:numId w:val="6"/>
      </w:numPr>
    </w:pPr>
  </w:style>
  <w:style w:type="paragraph" w:styleId="ListNumber5">
    <w:name w:val="List Number 5"/>
    <w:basedOn w:val="List5"/>
    <w:rsid w:val="002E435B"/>
    <w:pPr>
      <w:numPr>
        <w:numId w:val="7"/>
      </w:numPr>
    </w:pPr>
  </w:style>
  <w:style w:type="paragraph" w:styleId="BlockText">
    <w:name w:val="Block Text"/>
    <w:basedOn w:val="Normal"/>
    <w:rsid w:val="002E435B"/>
    <w:pPr>
      <w:spacing w:after="120"/>
      <w:ind w:left="1440" w:right="1440"/>
    </w:pPr>
  </w:style>
  <w:style w:type="character" w:customStyle="1" w:styleId="Subscript">
    <w:name w:val="Subscript"/>
    <w:basedOn w:val="DefaultParagraphFont"/>
    <w:rsid w:val="002E435B"/>
    <w:rPr>
      <w:sz w:val="16"/>
      <w:vertAlign w:val="subscript"/>
    </w:rPr>
  </w:style>
  <w:style w:type="character" w:customStyle="1" w:styleId="Superscript">
    <w:name w:val="Superscript"/>
    <w:basedOn w:val="DefaultParagraphFont"/>
    <w:rsid w:val="002E435B"/>
    <w:rPr>
      <w:sz w:val="16"/>
      <w:vertAlign w:val="superscript"/>
    </w:rPr>
  </w:style>
  <w:style w:type="character" w:customStyle="1" w:styleId="Symbols">
    <w:name w:val="Symbols"/>
    <w:basedOn w:val="DefaultParagraphFont"/>
    <w:rsid w:val="002E435B"/>
    <w:rPr>
      <w:rFonts w:ascii="Symbol" w:hAnsi="Symbol"/>
    </w:rPr>
  </w:style>
  <w:style w:type="character" w:customStyle="1" w:styleId="MenuOptions">
    <w:name w:val="Menu Options"/>
    <w:basedOn w:val="DefaultParagraphFont"/>
    <w:rsid w:val="002E435B"/>
    <w:rPr>
      <w:rFonts w:ascii="Arial Narrow" w:hAnsi="Arial Narrow"/>
      <w:smallCaps/>
    </w:rPr>
  </w:style>
  <w:style w:type="character" w:customStyle="1" w:styleId="Buttons">
    <w:name w:val="Buttons"/>
    <w:basedOn w:val="DefaultParagraphFont"/>
    <w:rsid w:val="002E435B"/>
    <w:rPr>
      <w:b/>
    </w:rPr>
  </w:style>
  <w:style w:type="character" w:customStyle="1" w:styleId="Underlined">
    <w:name w:val="Underlined"/>
    <w:basedOn w:val="DefaultParagraphFont"/>
    <w:rsid w:val="002E435B"/>
    <w:rPr>
      <w:u w:val="single"/>
    </w:rPr>
  </w:style>
  <w:style w:type="paragraph" w:customStyle="1" w:styleId="TableBodyTextRight">
    <w:name w:val="Table Body Text Right"/>
    <w:basedOn w:val="TableBodyText"/>
    <w:rsid w:val="002E435B"/>
    <w:pPr>
      <w:widowControl w:val="0"/>
      <w:autoSpaceDE w:val="0"/>
      <w:autoSpaceDN w:val="0"/>
      <w:adjustRightInd w:val="0"/>
      <w:jc w:val="right"/>
    </w:pPr>
    <w:rPr>
      <w:rFonts w:cs="Arial"/>
      <w:szCs w:val="18"/>
    </w:rPr>
  </w:style>
  <w:style w:type="paragraph" w:customStyle="1" w:styleId="CopyrightText">
    <w:name w:val="Copyright Text"/>
    <w:basedOn w:val="BodyText"/>
    <w:rsid w:val="002E435B"/>
    <w:rPr>
      <w:sz w:val="18"/>
    </w:rPr>
  </w:style>
  <w:style w:type="paragraph" w:customStyle="1" w:styleId="BodySmallRight">
    <w:name w:val="Body Small Right"/>
    <w:basedOn w:val="BodyTextRight"/>
    <w:rsid w:val="002E435B"/>
    <w:rPr>
      <w:sz w:val="18"/>
      <w:szCs w:val="18"/>
    </w:rPr>
  </w:style>
  <w:style w:type="paragraph" w:customStyle="1" w:styleId="MarginEdition">
    <w:name w:val="Margin Edition"/>
    <w:basedOn w:val="MarginNote"/>
    <w:rsid w:val="002E435B"/>
    <w:pPr>
      <w:spacing w:before="0" w:after="0"/>
    </w:pPr>
    <w:rPr>
      <w:rFonts w:ascii="Times New Roman" w:hAnsi="Times New Roman"/>
      <w:color w:val="999999"/>
    </w:rPr>
  </w:style>
  <w:style w:type="paragraph" w:customStyle="1" w:styleId="Spacer">
    <w:name w:val="Spacer"/>
    <w:basedOn w:val="Normal"/>
    <w:rsid w:val="002E435B"/>
    <w:rPr>
      <w:sz w:val="2"/>
      <w:szCs w:val="2"/>
    </w:rPr>
  </w:style>
  <w:style w:type="character" w:customStyle="1" w:styleId="Small">
    <w:name w:val="Small"/>
    <w:basedOn w:val="DefaultParagraphFont"/>
    <w:rsid w:val="002E435B"/>
    <w:rPr>
      <w:sz w:val="16"/>
    </w:rPr>
  </w:style>
  <w:style w:type="paragraph" w:customStyle="1" w:styleId="WideTable">
    <w:name w:val="Wide Table"/>
    <w:basedOn w:val="Normal"/>
    <w:rsid w:val="002E435B"/>
    <w:pPr>
      <w:ind w:left="-1418"/>
    </w:pPr>
    <w:rPr>
      <w:sz w:val="2"/>
      <w:szCs w:val="2"/>
    </w:rPr>
  </w:style>
  <w:style w:type="character" w:styleId="PageNumber">
    <w:name w:val="page number"/>
    <w:basedOn w:val="DefaultParagraphFont"/>
    <w:rsid w:val="002E435B"/>
  </w:style>
  <w:style w:type="paragraph" w:styleId="Quote">
    <w:name w:val="Quote"/>
    <w:basedOn w:val="Heading1"/>
    <w:link w:val="QuoteChar"/>
    <w:qFormat/>
    <w:rsid w:val="002E435B"/>
    <w:rPr>
      <w:b w:val="0"/>
      <w:sz w:val="72"/>
      <w:szCs w:val="72"/>
      <w:lang w:val="en-NZ"/>
    </w:rPr>
  </w:style>
  <w:style w:type="character" w:customStyle="1" w:styleId="QuoteChar">
    <w:name w:val="Quote Char"/>
    <w:basedOn w:val="DefaultParagraphFont"/>
    <w:link w:val="Quote"/>
    <w:rsid w:val="002E435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E435B"/>
    <w:pPr>
      <w:pageBreakBefore/>
    </w:pPr>
  </w:style>
  <w:style w:type="paragraph" w:customStyle="1" w:styleId="Border">
    <w:name w:val="Border"/>
    <w:basedOn w:val="Normal"/>
    <w:qFormat/>
    <w:rsid w:val="002E435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E435B"/>
    <w:rPr>
      <w:b/>
      <w:bCs/>
      <w:i/>
      <w:iCs/>
      <w:color w:val="auto"/>
    </w:rPr>
  </w:style>
  <w:style w:type="paragraph" w:styleId="IntenseQuote">
    <w:name w:val="Intense Quote"/>
    <w:basedOn w:val="Normal"/>
    <w:next w:val="Normal"/>
    <w:link w:val="IntenseQuoteChar"/>
    <w:uiPriority w:val="30"/>
    <w:qFormat/>
    <w:rsid w:val="002E435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E435B"/>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2E435B"/>
    <w:rPr>
      <w:smallCaps/>
      <w:color w:val="auto"/>
      <w:u w:val="single"/>
    </w:rPr>
  </w:style>
  <w:style w:type="character" w:styleId="IntenseReference">
    <w:name w:val="Intense Reference"/>
    <w:basedOn w:val="DefaultParagraphFont"/>
    <w:uiPriority w:val="32"/>
    <w:qFormat/>
    <w:rsid w:val="002E435B"/>
    <w:rPr>
      <w:b/>
      <w:bCs/>
      <w:smallCaps/>
      <w:color w:val="auto"/>
      <w:spacing w:val="5"/>
      <w:u w:val="single"/>
    </w:rPr>
  </w:style>
  <w:style w:type="paragraph" w:customStyle="1" w:styleId="2ColumnHeading">
    <w:name w:val="2Column Heading"/>
    <w:basedOn w:val="BodyText"/>
    <w:qFormat/>
    <w:rsid w:val="002E435B"/>
    <w:pPr>
      <w:spacing w:after="60"/>
      <w:ind w:left="-2268"/>
    </w:pPr>
    <w:rPr>
      <w:b/>
    </w:rPr>
  </w:style>
  <w:style w:type="paragraph" w:customStyle="1" w:styleId="Heading1TOC">
    <w:name w:val="Heading1 TOC"/>
    <w:basedOn w:val="Normal"/>
    <w:qFormat/>
    <w:rsid w:val="002E435B"/>
    <w:pPr>
      <w:spacing w:before="240" w:after="120"/>
    </w:pPr>
    <w:rPr>
      <w:rFonts w:ascii="Times New Roman" w:hAnsi="Times New Roman"/>
      <w:b/>
      <w:sz w:val="32"/>
    </w:rPr>
  </w:style>
  <w:style w:type="paragraph" w:customStyle="1" w:styleId="Heading2TOC">
    <w:name w:val="Heading2 TOC"/>
    <w:basedOn w:val="Normal"/>
    <w:qFormat/>
    <w:rsid w:val="002E435B"/>
    <w:pPr>
      <w:spacing w:before="240" w:after="60"/>
    </w:pPr>
    <w:rPr>
      <w:rFonts w:ascii="Times New Roman" w:hAnsi="Times New Roman"/>
      <w:b/>
      <w:sz w:val="28"/>
    </w:rPr>
  </w:style>
  <w:style w:type="character" w:customStyle="1" w:styleId="Underline">
    <w:name w:val="Underline"/>
    <w:basedOn w:val="DefaultParagraphFont"/>
    <w:qFormat/>
    <w:rsid w:val="002E435B"/>
    <w:rPr>
      <w:u w:val="single"/>
    </w:rPr>
  </w:style>
  <w:style w:type="character" w:customStyle="1" w:styleId="BoldandItalics">
    <w:name w:val="Bold and Italics"/>
    <w:qFormat/>
    <w:rsid w:val="002E435B"/>
    <w:rPr>
      <w:b/>
      <w:i/>
      <w:u w:val="none"/>
    </w:rPr>
  </w:style>
  <w:style w:type="paragraph" w:styleId="BalloonText">
    <w:name w:val="Balloon Text"/>
    <w:basedOn w:val="Normal"/>
    <w:link w:val="BalloonTextChar"/>
    <w:rsid w:val="002E435B"/>
    <w:rPr>
      <w:rFonts w:ascii="Tahoma" w:hAnsi="Tahoma" w:cs="Tahoma"/>
      <w:sz w:val="16"/>
      <w:szCs w:val="16"/>
    </w:rPr>
  </w:style>
  <w:style w:type="character" w:customStyle="1" w:styleId="BalloonTextChar">
    <w:name w:val="Balloon Text Char"/>
    <w:basedOn w:val="DefaultParagraphFont"/>
    <w:link w:val="BalloonText"/>
    <w:rsid w:val="002E435B"/>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2E435B"/>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2E435B"/>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2E435B"/>
    <w:rPr>
      <w:b/>
      <w:color w:val="660033"/>
      <w:spacing w:val="0"/>
    </w:rPr>
  </w:style>
  <w:style w:type="paragraph" w:customStyle="1" w:styleId="Nameditemlist">
    <w:name w:val="Named item list"/>
    <w:basedOn w:val="BodyText"/>
    <w:qFormat/>
    <w:rsid w:val="002E435B"/>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1072</Words>
  <Characters>7075</Characters>
  <Application>Microsoft Office Word</Application>
  <DocSecurity>0</DocSecurity>
  <Lines>213</Lines>
  <Paragraphs>109</Paragraphs>
  <ScaleCrop>false</ScaleCrop>
  <Company>Author-it Software Corporation Ltd.</Company>
  <LinksUpToDate>false</LinksUpToDate>
  <CharactersWithSpaces>8090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TLIF4090A Implement safeworking rules and regulations for network control activities</dc:title>
  <dc:subject>Approved</dc:subject>
  <dc:creator>Transport &amp; Logistics Industry Skills Council</dc:creator>
  <cp:keywords>Release: 1</cp:keywords>
  <dc:description>Copyright © 1996-2007 Author-it Software Corporation Ltd., all rights reserved.</dc:description>
  <cp:lastModifiedBy>TPCMS</cp:lastModifiedBy>
  <cp:revision>3</cp:revision>
  <dcterms:created xsi:type="dcterms:W3CDTF">2012-10-11T17:50:00Z</dcterms:created>
  <dcterms:modified xsi:type="dcterms:W3CDTF">2012-10-11T17:50:00Z</dcterms:modified>
</cp:coreProperties>
</file>