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C1ADF" w:rsidP="007C1ADF">
      <w:pPr>
        <w:pStyle w:val="Title"/>
      </w:pPr>
      <w:r>
        <w:fldChar w:fldCharType="begin"/>
      </w:r>
      <w:r>
        <w:instrText xml:space="preserve"> TITLE   \* MERGEFORMAT </w:instrText>
      </w:r>
      <w:r>
        <w:fldChar w:fldCharType="separate"/>
      </w:r>
      <w:r>
        <w:t>TLIF3085A Apply local incident response procedures</w:t>
      </w:r>
      <w:r>
        <w:fldChar w:fldCharType="end"/>
      </w:r>
    </w:p>
    <w:p w:rsidR="007C1ADF" w:rsidP="007C1ADF">
      <w:pPr>
        <w:pStyle w:val="Version"/>
        <w:sectPr w:rsidSect="00176A23">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176A23" w:rsidP="00176A23">
      <w:pPr>
        <w:pStyle w:val="SuperHeading"/>
      </w:pPr>
      <w:r w:rsidRPr="00176A23">
        <w:t>TLIF3085A Apply local incident response procedures</w:t>
      </w:r>
    </w:p>
    <w:p w:rsidR="00000000" w:rsidRPr="00176A23" w:rsidP="00176A23">
      <w:pPr>
        <w:pStyle w:val="Heading1"/>
      </w:pPr>
      <w:bookmarkStart w:id="1" w:name="O_357548"/>
      <w:bookmarkEnd w:id="1"/>
      <w:r w:rsidRPr="00176A23">
        <w:t>Modification History</w:t>
      </w:r>
    </w:p>
    <w:p w:rsidR="00000000" w:rsidRPr="00176A23" w:rsidP="00176A23">
      <w:pPr>
        <w:pStyle w:val="BodyText"/>
      </w:pPr>
      <w:r w:rsidRPr="00176A23">
        <w:t>Not applicable.</w:t>
      </w:r>
    </w:p>
    <w:p w:rsidR="00000000" w:rsidRPr="00176A23" w:rsidP="00176A23">
      <w:pPr>
        <w:pStyle w:val="AllowPageBreak"/>
      </w:pPr>
    </w:p>
    <w:p w:rsidR="00000000" w:rsidRPr="00176A23" w:rsidP="00176A23">
      <w:pPr>
        <w:pStyle w:val="Heading1"/>
      </w:pPr>
      <w:bookmarkStart w:id="2" w:name="O_357549"/>
      <w:bookmarkEnd w:id="2"/>
      <w:r w:rsidRPr="00176A23">
        <w:t>Unit Descriptor</w:t>
      </w:r>
    </w:p>
    <w:tbl>
      <w:tblPr>
        <w:tblW w:w="0" w:type="auto"/>
        <w:tblCellMar>
          <w:left w:w="62" w:type="dxa"/>
          <w:right w:w="62" w:type="dxa"/>
        </w:tblCellMar>
        <w:tblLook w:val="0000"/>
      </w:tblPr>
      <w:tblGrid>
        <w:gridCol w:w="9196"/>
      </w:tblGrid>
      <w:tr w:rsidTr="007C1ADF">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176A23" w:rsidP="00176A23">
            <w:pPr>
              <w:pStyle w:val="BodyText"/>
            </w:pPr>
            <w:r w:rsidRPr="00176A23">
              <w:t>This unit involves the skills and knowledge required to apply local incident response procedures according to regul</w:t>
            </w:r>
            <w:r w:rsidRPr="00176A23">
              <w:t xml:space="preserve">atory and organisational procedures. It includes responding to the incident, carrying out incident response activities, and completing follow-up actions. </w:t>
            </w:r>
          </w:p>
          <w:p w:rsidR="00000000" w:rsidRPr="00176A23" w:rsidP="00176A23">
            <w:pPr>
              <w:pStyle w:val="BodyText"/>
            </w:pPr>
            <w:r w:rsidRPr="00176A23">
              <w:t>Licensing, legislative, or certification requirements may be applicable to this unit.</w:t>
            </w:r>
          </w:p>
        </w:tc>
      </w:tr>
    </w:tbl>
    <w:p w:rsidR="00000000" w:rsidRPr="00176A23" w:rsidP="00176A23">
      <w:pPr>
        <w:pStyle w:val="BodyText"/>
      </w:pPr>
    </w:p>
    <w:p w:rsidR="00000000" w:rsidRPr="00176A23" w:rsidP="00176A23">
      <w:pPr>
        <w:pStyle w:val="AllowPageBreak"/>
      </w:pPr>
    </w:p>
    <w:p w:rsidR="00000000" w:rsidRPr="00176A23" w:rsidP="00176A23">
      <w:pPr>
        <w:pStyle w:val="Heading1"/>
      </w:pPr>
      <w:bookmarkStart w:id="3" w:name="O_357550"/>
      <w:bookmarkEnd w:id="3"/>
      <w:r w:rsidRPr="00176A23">
        <w:t>Application of the Unit</w:t>
      </w:r>
    </w:p>
    <w:tbl>
      <w:tblPr>
        <w:tblW w:w="0" w:type="auto"/>
        <w:tblCellMar>
          <w:left w:w="62" w:type="dxa"/>
          <w:right w:w="62" w:type="dxa"/>
        </w:tblCellMar>
        <w:tblLook w:val="0000"/>
      </w:tblPr>
      <w:tblGrid>
        <w:gridCol w:w="9196"/>
      </w:tblGrid>
      <w:tr w:rsidTr="007C1ADF">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176A23" w:rsidP="00176A23">
            <w:pPr>
              <w:pStyle w:val="BodyText"/>
            </w:pPr>
            <w:r w:rsidRPr="00176A23">
              <w:t>Work must be carried out in compliance with the relevant regulations and workplace procedures concerning action to be taken in the event of an emergency, fire or accident.</w:t>
            </w:r>
          </w:p>
          <w:p w:rsidR="00000000" w:rsidRPr="00176A23" w:rsidP="00176A23">
            <w:pPr>
              <w:pStyle w:val="BodyText"/>
            </w:pPr>
            <w:r w:rsidRPr="00176A23">
              <w:t>Work is performed under minimal supervision and invo</w:t>
            </w:r>
            <w:r w:rsidRPr="00176A23">
              <w:t xml:space="preserve">lves applying basic emergency response principles when dealing with incidents within a defined local area. </w:t>
            </w:r>
          </w:p>
        </w:tc>
      </w:tr>
    </w:tbl>
    <w:p w:rsidR="00000000" w:rsidRPr="00176A23" w:rsidP="00176A23">
      <w:pPr>
        <w:pStyle w:val="BodyText"/>
      </w:pPr>
    </w:p>
    <w:p w:rsidR="00000000" w:rsidRPr="00176A23" w:rsidP="00176A23">
      <w:pPr>
        <w:pStyle w:val="AllowPageBreak"/>
      </w:pPr>
    </w:p>
    <w:p w:rsidR="00000000" w:rsidRPr="00176A23" w:rsidP="00176A23">
      <w:pPr>
        <w:pStyle w:val="Heading1"/>
      </w:pPr>
      <w:bookmarkStart w:id="4" w:name="O_357551"/>
      <w:bookmarkEnd w:id="4"/>
      <w:r w:rsidRPr="00176A23">
        <w:t>Licensing/Regulatory Information</w:t>
      </w:r>
    </w:p>
    <w:p w:rsidR="00000000" w:rsidRPr="00176A23" w:rsidP="00176A23">
      <w:pPr>
        <w:pStyle w:val="BodyText"/>
      </w:pPr>
      <w:r w:rsidRPr="00176A23">
        <w:t>Refer tp Unit Descriptor.</w:t>
      </w:r>
    </w:p>
    <w:p w:rsidR="00000000" w:rsidRPr="00176A23" w:rsidP="00176A23">
      <w:pPr>
        <w:pStyle w:val="AllowPageBreak"/>
      </w:pPr>
    </w:p>
    <w:p w:rsidR="00000000" w:rsidRPr="00176A23" w:rsidP="00176A23">
      <w:pPr>
        <w:pStyle w:val="Heading1"/>
      </w:pPr>
      <w:bookmarkStart w:id="5" w:name="O_357552"/>
      <w:bookmarkEnd w:id="5"/>
      <w:r w:rsidRPr="00176A23">
        <w:t>Pre-Requisites</w:t>
      </w:r>
    </w:p>
    <w:p w:rsidR="00000000" w:rsidRPr="00176A23" w:rsidP="00176A23">
      <w:pPr>
        <w:pStyle w:val="BodyText"/>
      </w:pPr>
      <w:r w:rsidRPr="00176A23">
        <w:t>Not applicable.</w:t>
      </w:r>
    </w:p>
    <w:p w:rsidR="00000000" w:rsidRPr="00176A23" w:rsidP="00176A23">
      <w:pPr>
        <w:pStyle w:val="AllowPageBreak"/>
      </w:pPr>
    </w:p>
    <w:p w:rsidR="00000000" w:rsidRPr="00176A23" w:rsidP="00176A23">
      <w:pPr>
        <w:pStyle w:val="Heading1"/>
      </w:pPr>
      <w:bookmarkStart w:id="6" w:name="O_357553"/>
      <w:bookmarkEnd w:id="6"/>
      <w:r w:rsidRPr="00176A23">
        <w:t>Emplo</w:t>
      </w:r>
      <w:r w:rsidRPr="00176A23">
        <w:t>yability Skills Information</w:t>
      </w:r>
    </w:p>
    <w:tbl>
      <w:tblPr>
        <w:tblW w:w="0" w:type="auto"/>
        <w:tblCellMar>
          <w:left w:w="62" w:type="dxa"/>
          <w:right w:w="62" w:type="dxa"/>
        </w:tblCellMar>
        <w:tblLook w:val="0000"/>
      </w:tblPr>
      <w:tblGrid>
        <w:gridCol w:w="9196"/>
      </w:tblGrid>
      <w:tr w:rsidTr="007C1ADF">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176A23" w:rsidP="00176A23">
            <w:pPr>
              <w:pStyle w:val="BodyText"/>
            </w:pPr>
            <w:r w:rsidRPr="00176A23">
              <w:t>This unit contains employability skills.</w:t>
            </w:r>
          </w:p>
        </w:tc>
      </w:tr>
    </w:tbl>
    <w:p w:rsidR="00000000" w:rsidRPr="00176A23" w:rsidP="00176A23">
      <w:pPr>
        <w:pStyle w:val="BodyText"/>
      </w:pPr>
    </w:p>
    <w:p w:rsidR="00000000" w:rsidRPr="00176A23" w:rsidP="00176A23">
      <w:pPr>
        <w:pStyle w:val="AllowPageBreak"/>
      </w:pPr>
    </w:p>
    <w:p w:rsidR="00000000" w:rsidRPr="00176A23" w:rsidP="00176A23">
      <w:pPr>
        <w:pStyle w:val="Heading1"/>
      </w:pPr>
      <w:bookmarkStart w:id="7" w:name="O_357554"/>
      <w:bookmarkEnd w:id="7"/>
      <w:r w:rsidRPr="00176A23">
        <w:t>Elements and Performance Criteria Pre-Content</w:t>
      </w:r>
    </w:p>
    <w:tbl>
      <w:tblPr>
        <w:tblW w:w="0" w:type="auto"/>
        <w:tblCellMar>
          <w:left w:w="62" w:type="dxa"/>
          <w:right w:w="62" w:type="dxa"/>
        </w:tblCellMar>
        <w:tblLook w:val="0000"/>
      </w:tblPr>
      <w:tblGrid>
        <w:gridCol w:w="2649"/>
        <w:gridCol w:w="6547"/>
      </w:tblGrid>
      <w:tr w:rsidTr="007C1ADF">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176A23">
            <w:pPr>
              <w:pStyle w:val="BodyText"/>
              <w:rPr>
                <w:lang w:val="en-NZ"/>
              </w:rPr>
            </w:pPr>
            <w:r w:rsidRPr="00176A23">
              <w:t>Elements describe the essential outcomes of a unit of competency.</w:t>
            </w:r>
          </w:p>
        </w:tc>
        <w:tc>
          <w:tcPr>
            <w:tcW w:w="0" w:type="auto"/>
            <w:tcBorders>
              <w:top w:val="nil"/>
              <w:left w:val="nil"/>
              <w:bottom w:val="nil"/>
              <w:right w:val="nil"/>
            </w:tcBorders>
            <w:tcMar>
              <w:top w:w="0" w:type="dxa"/>
              <w:left w:w="62" w:type="dxa"/>
              <w:bottom w:w="0" w:type="dxa"/>
              <w:right w:w="62" w:type="dxa"/>
            </w:tcMar>
          </w:tcPr>
          <w:p w:rsidR="00000000" w:rsidRPr="00176A23" w:rsidP="00176A23">
            <w:pPr>
              <w:pStyle w:val="BodyText"/>
            </w:pPr>
            <w:r w:rsidRPr="00176A23">
              <w:t>Performance criteria describe the required performance needed to demonstrate achievement of the element. Assessment of performance is to be consistent with the evidence guide.</w:t>
            </w:r>
          </w:p>
        </w:tc>
      </w:tr>
    </w:tbl>
    <w:p w:rsidR="00000000" w:rsidRPr="00176A23" w:rsidP="00176A23">
      <w:pPr>
        <w:pStyle w:val="BodyText"/>
      </w:pPr>
    </w:p>
    <w:p w:rsidR="00000000" w:rsidRPr="00176A23" w:rsidP="00176A23">
      <w:pPr>
        <w:pStyle w:val="AllowPageBreak"/>
      </w:pPr>
    </w:p>
    <w:p w:rsidR="00000000" w:rsidRPr="00176A23" w:rsidP="00176A23">
      <w:pPr>
        <w:pStyle w:val="Heading1"/>
      </w:pPr>
      <w:bookmarkStart w:id="8" w:name="O_357555"/>
      <w:bookmarkEnd w:id="8"/>
      <w:r w:rsidRPr="00176A23">
        <w:t>Elements and Performance Criteria</w:t>
      </w:r>
    </w:p>
    <w:tbl>
      <w:tblPr>
        <w:tblW w:w="0" w:type="auto"/>
        <w:tblCellMar>
          <w:left w:w="62" w:type="dxa"/>
          <w:right w:w="62" w:type="dxa"/>
        </w:tblCellMar>
        <w:tblLook w:val="0000"/>
      </w:tblPr>
      <w:tblGrid>
        <w:gridCol w:w="2450"/>
        <w:gridCol w:w="199"/>
        <w:gridCol w:w="6547"/>
      </w:tblGrid>
      <w:tr w:rsidTr="007C1ADF">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RPr="00176A23" w:rsidP="00176A23">
            <w:pPr>
              <w:pStyle w:val="BodyText"/>
            </w:pPr>
            <w:r w:rsidRPr="00176A23">
              <w:rPr>
                <w:rStyle w:val="SpecialBold"/>
              </w:rPr>
              <w:t>ELEMENT</w:t>
            </w:r>
          </w:p>
        </w:tc>
        <w:tc>
          <w:tcPr>
            <w:tcW w:w="0" w:type="auto"/>
            <w:tcBorders>
              <w:top w:val="nil"/>
              <w:left w:val="nil"/>
              <w:bottom w:val="nil"/>
              <w:right w:val="nil"/>
            </w:tcBorders>
            <w:tcMar>
              <w:top w:w="0" w:type="dxa"/>
              <w:left w:w="62" w:type="dxa"/>
              <w:bottom w:w="0" w:type="dxa"/>
              <w:right w:w="62" w:type="dxa"/>
            </w:tcMar>
          </w:tcPr>
          <w:p w:rsidR="00000000" w:rsidP="00176A23">
            <w:pPr>
              <w:pStyle w:val="BodyText"/>
              <w:rPr>
                <w:lang w:val="en-NZ"/>
              </w:rPr>
            </w:pPr>
            <w:r w:rsidRPr="00176A23">
              <w:rPr>
                <w:rStyle w:val="SpecialBold"/>
              </w:rPr>
              <w:t>PERFORMANCE CRITER</w:t>
            </w:r>
            <w:r w:rsidRPr="00176A23">
              <w:rPr>
                <w:rStyle w:val="SpecialBold"/>
              </w:rPr>
              <w:t>IA</w:t>
            </w:r>
          </w:p>
        </w:tc>
      </w:tr>
      <w:tr w:rsidTr="007C1ADF">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176A23">
            <w:pPr>
              <w:pStyle w:val="BodyText"/>
              <w:rPr>
                <w:lang w:val="en-NZ"/>
              </w:rPr>
            </w:pPr>
            <w:r w:rsidRPr="00176A23">
              <w:rPr>
                <w:rStyle w:val="SpecialBold"/>
              </w:rPr>
              <w:t>1</w:t>
            </w:r>
            <w:r w:rsidRPr="00176A23">
              <w:rPr>
                <w:rStyle w:val="SpecialBold"/>
              </w:rPr>
              <w:tab/>
              <w:t>Respond to the incident</w:t>
            </w:r>
          </w:p>
        </w:tc>
        <w:tc>
          <w:tcPr>
            <w:tcW w:w="0" w:type="auto"/>
            <w:gridSpan w:val="2"/>
            <w:tcBorders>
              <w:top w:val="nil"/>
              <w:left w:val="nil"/>
              <w:bottom w:val="nil"/>
              <w:right w:val="nil"/>
            </w:tcBorders>
            <w:tcMar>
              <w:top w:w="0" w:type="dxa"/>
              <w:left w:w="62" w:type="dxa"/>
              <w:bottom w:w="0" w:type="dxa"/>
              <w:right w:w="62" w:type="dxa"/>
            </w:tcMar>
          </w:tcPr>
          <w:p w:rsidR="00000000" w:rsidRPr="00176A23" w:rsidP="00176A23">
            <w:pPr>
              <w:pStyle w:val="BodyText"/>
            </w:pPr>
            <w:r w:rsidRPr="00176A23">
              <w:t>1.1</w:t>
            </w:r>
            <w:r w:rsidRPr="00176A23">
              <w:tab/>
              <w:t>Details of incident are received, assessed and confirmed</w:t>
            </w:r>
          </w:p>
          <w:p w:rsidR="00000000" w:rsidRPr="00176A23" w:rsidP="00176A23">
            <w:pPr>
              <w:pStyle w:val="BodyText"/>
            </w:pPr>
            <w:r w:rsidRPr="00176A23">
              <w:t>1.2</w:t>
            </w:r>
            <w:r w:rsidRPr="00176A23">
              <w:tab/>
              <w:t xml:space="preserve">Immediate response requirements are identified and actioned in accordance with organisational procedures </w:t>
            </w:r>
          </w:p>
          <w:p w:rsidR="00000000" w:rsidP="00176A23">
            <w:pPr>
              <w:pStyle w:val="BodyText"/>
              <w:rPr>
                <w:lang w:val="en-NZ"/>
              </w:rPr>
            </w:pPr>
            <w:r w:rsidRPr="00176A23">
              <w:t>1.3</w:t>
            </w:r>
            <w:r w:rsidRPr="00176A23">
              <w:tab/>
              <w:t xml:space="preserve">Communication is </w:t>
            </w:r>
            <w:r w:rsidRPr="00176A23">
              <w:t>established with network control personnel and instructions are followed in accordance with organisational policies and procedures</w:t>
            </w:r>
          </w:p>
        </w:tc>
      </w:tr>
      <w:tr w:rsidTr="007C1ADF">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176A23">
            <w:pPr>
              <w:pStyle w:val="BodyText"/>
              <w:rPr>
                <w:lang w:val="en-NZ"/>
              </w:rPr>
            </w:pPr>
            <w:r w:rsidRPr="00176A23">
              <w:rPr>
                <w:rStyle w:val="SpecialBold"/>
              </w:rPr>
              <w:t>2</w:t>
            </w:r>
            <w:r w:rsidRPr="00176A23">
              <w:rPr>
                <w:rStyle w:val="SpecialBold"/>
              </w:rPr>
              <w:tab/>
              <w:t>Perform incident response activities</w:t>
            </w:r>
          </w:p>
        </w:tc>
        <w:tc>
          <w:tcPr>
            <w:tcW w:w="0" w:type="auto"/>
            <w:gridSpan w:val="2"/>
            <w:tcBorders>
              <w:top w:val="nil"/>
              <w:left w:val="nil"/>
              <w:bottom w:val="nil"/>
              <w:right w:val="nil"/>
            </w:tcBorders>
            <w:tcMar>
              <w:top w:w="0" w:type="dxa"/>
              <w:left w:w="62" w:type="dxa"/>
              <w:bottom w:w="0" w:type="dxa"/>
              <w:right w:w="62" w:type="dxa"/>
            </w:tcMar>
          </w:tcPr>
          <w:p w:rsidR="00000000" w:rsidRPr="00176A23" w:rsidP="00176A23">
            <w:pPr>
              <w:pStyle w:val="BodyText"/>
            </w:pPr>
            <w:r w:rsidRPr="00176A23">
              <w:t>2.1</w:t>
            </w:r>
            <w:r w:rsidRPr="00176A23">
              <w:tab/>
              <w:t>Incident response activities are carried out in accordance with organisational p</w:t>
            </w:r>
            <w:r w:rsidRPr="00176A23">
              <w:t>olicies and procedures</w:t>
            </w:r>
          </w:p>
          <w:p w:rsidR="00000000" w:rsidRPr="00176A23" w:rsidP="00176A23">
            <w:pPr>
              <w:pStyle w:val="BodyText"/>
            </w:pPr>
            <w:r w:rsidRPr="00176A23">
              <w:t>2.2</w:t>
            </w:r>
            <w:r w:rsidRPr="00176A23">
              <w:tab/>
              <w:t>Local assistance is provided within the limitations of duty of care and organisational requirements</w:t>
            </w:r>
          </w:p>
          <w:p w:rsidR="00000000" w:rsidRPr="00176A23" w:rsidP="00176A23">
            <w:pPr>
              <w:pStyle w:val="BodyText"/>
            </w:pPr>
            <w:r w:rsidRPr="00176A23">
              <w:t>2.3</w:t>
            </w:r>
            <w:r w:rsidRPr="00176A23">
              <w:tab/>
              <w:t>Assistance is provided to relevant authorities in accordance with organisational policy and legislative requirements</w:t>
            </w:r>
          </w:p>
          <w:p w:rsidR="00000000" w:rsidP="00176A23">
            <w:pPr>
              <w:pStyle w:val="BodyText"/>
              <w:rPr>
                <w:lang w:val="en-NZ"/>
              </w:rPr>
            </w:pPr>
            <w:r w:rsidRPr="00176A23">
              <w:t>2.4</w:t>
            </w:r>
            <w:r w:rsidRPr="00176A23">
              <w:tab/>
              <w:t>Info</w:t>
            </w:r>
            <w:r w:rsidRPr="00176A23">
              <w:t xml:space="preserve">rmation is collected and passed to relevant personnel in accordance with organisational procedures </w:t>
            </w:r>
          </w:p>
        </w:tc>
      </w:tr>
      <w:tr w:rsidTr="007C1ADF">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176A23">
            <w:pPr>
              <w:pStyle w:val="BodyText"/>
              <w:rPr>
                <w:lang w:val="en-NZ"/>
              </w:rPr>
            </w:pPr>
            <w:r w:rsidRPr="00176A23">
              <w:rPr>
                <w:rStyle w:val="SpecialBold"/>
              </w:rPr>
              <w:t>3</w:t>
            </w:r>
            <w:r w:rsidRPr="00176A23">
              <w:rPr>
                <w:rStyle w:val="SpecialBold"/>
              </w:rPr>
              <w:tab/>
              <w:t>Complete follow-up actions</w:t>
            </w:r>
          </w:p>
        </w:tc>
        <w:tc>
          <w:tcPr>
            <w:tcW w:w="0" w:type="auto"/>
            <w:gridSpan w:val="2"/>
            <w:tcBorders>
              <w:top w:val="nil"/>
              <w:left w:val="nil"/>
              <w:bottom w:val="nil"/>
              <w:right w:val="nil"/>
            </w:tcBorders>
            <w:tcMar>
              <w:top w:w="0" w:type="dxa"/>
              <w:left w:w="62" w:type="dxa"/>
              <w:bottom w:w="0" w:type="dxa"/>
              <w:right w:w="62" w:type="dxa"/>
            </w:tcMar>
          </w:tcPr>
          <w:p w:rsidR="00000000" w:rsidRPr="00176A23" w:rsidP="00176A23">
            <w:pPr>
              <w:pStyle w:val="BodyText"/>
            </w:pPr>
            <w:r w:rsidRPr="00176A23">
              <w:t>3.1</w:t>
            </w:r>
            <w:r w:rsidRPr="00176A23">
              <w:tab/>
              <w:t>Details of incident are collected, recorded and managed in accordance with organisational procedures</w:t>
            </w:r>
          </w:p>
          <w:p w:rsidR="00000000" w:rsidRPr="00176A23" w:rsidP="00176A23">
            <w:pPr>
              <w:pStyle w:val="BodyText"/>
            </w:pPr>
            <w:r w:rsidRPr="00176A23">
              <w:t>3.2</w:t>
            </w:r>
            <w:r w:rsidRPr="00176A23">
              <w:tab/>
            </w:r>
            <w:r w:rsidRPr="00176A23">
              <w:t xml:space="preserve">Where required, a contribution is made to the debrief process </w:t>
            </w:r>
          </w:p>
        </w:tc>
      </w:tr>
    </w:tbl>
    <w:p w:rsidR="00000000" w:rsidRPr="00176A23" w:rsidP="00176A23">
      <w:pPr>
        <w:pStyle w:val="BodyText"/>
      </w:pPr>
    </w:p>
    <w:p w:rsidR="00000000" w:rsidRPr="00176A23" w:rsidP="00176A23">
      <w:pPr>
        <w:pStyle w:val="AllowPageBreak"/>
      </w:pPr>
    </w:p>
    <w:p w:rsidR="00000000" w:rsidRPr="00176A23" w:rsidP="00176A23">
      <w:pPr>
        <w:pStyle w:val="Heading1"/>
      </w:pPr>
      <w:bookmarkStart w:id="9" w:name="O_357556"/>
      <w:bookmarkEnd w:id="9"/>
      <w:r w:rsidRPr="00176A23">
        <w:t>Required Skills and Knowledge</w:t>
      </w:r>
    </w:p>
    <w:tbl>
      <w:tblPr>
        <w:tblW w:w="0" w:type="auto"/>
        <w:tblCellMar>
          <w:left w:w="62" w:type="dxa"/>
          <w:right w:w="62" w:type="dxa"/>
        </w:tblCellMar>
        <w:tblLook w:val="0000"/>
      </w:tblPr>
      <w:tblGrid>
        <w:gridCol w:w="9196"/>
      </w:tblGrid>
      <w:tr w:rsidTr="007C1ADF">
        <w:tblPrEx>
          <w:tblW w:w="0" w:type="auto"/>
          <w:tblCellMar>
            <w:left w:w="62" w:type="dxa"/>
            <w:right w:w="62" w:type="dxa"/>
          </w:tblCellMar>
          <w:tblLook w:val="0000"/>
        </w:tblPrEx>
        <w:trPr>
          <w:trHeight w:val="511"/>
        </w:trPr>
        <w:tc>
          <w:tcPr>
            <w:tcW w:w="0" w:type="auto"/>
            <w:tcBorders>
              <w:top w:val="nil"/>
              <w:left w:val="nil"/>
              <w:bottom w:val="nil"/>
              <w:right w:val="nil"/>
            </w:tcBorders>
            <w:tcMar>
              <w:top w:w="0" w:type="dxa"/>
              <w:left w:w="62" w:type="dxa"/>
              <w:bottom w:w="0" w:type="dxa"/>
              <w:right w:w="62" w:type="dxa"/>
            </w:tcMar>
          </w:tcPr>
          <w:p w:rsidR="00000000" w:rsidP="00176A23">
            <w:pPr>
              <w:pStyle w:val="BodyText"/>
              <w:rPr>
                <w:lang w:val="en-NZ"/>
              </w:rPr>
            </w:pPr>
            <w:r w:rsidRPr="00176A23">
              <w:rPr>
                <w:rStyle w:val="SpecialBold"/>
              </w:rPr>
              <w:t>REQUIRED KNOWLEDGE AND SKILLS</w:t>
            </w:r>
          </w:p>
        </w:tc>
      </w:tr>
      <w:tr w:rsidTr="007C1ADF">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176A23">
            <w:pPr>
              <w:pStyle w:val="BodyText"/>
              <w:rPr>
                <w:lang w:val="en-NZ"/>
              </w:rPr>
            </w:pPr>
            <w:r w:rsidRPr="00176A23">
              <w:t>This describes the essential knowledge and skills and their level required for this unit.</w:t>
            </w:r>
          </w:p>
        </w:tc>
      </w:tr>
      <w:tr w:rsidTr="007C1ADF">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176A23">
            <w:pPr>
              <w:pStyle w:val="BodyText"/>
              <w:rPr>
                <w:lang w:val="en-NZ"/>
              </w:rPr>
            </w:pPr>
            <w:r w:rsidRPr="00176A23">
              <w:rPr>
                <w:rStyle w:val="SpecialBold"/>
              </w:rPr>
              <w:t>Required knowledge:</w:t>
            </w:r>
          </w:p>
        </w:tc>
      </w:tr>
      <w:tr w:rsidTr="007C1ADF">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176A23">
            <w:pPr>
              <w:pStyle w:val="ListBullet"/>
              <w:rPr>
                <w:lang w:val="en-NZ"/>
              </w:rPr>
            </w:pPr>
            <w:r w:rsidRPr="00176A23">
              <w:t>Relevant OH&amp;S and other regulatory codes, procedures and guidelines concerning response to incidents</w:t>
            </w:r>
          </w:p>
        </w:tc>
      </w:tr>
      <w:tr w:rsidTr="007C1ADF">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176A23">
            <w:pPr>
              <w:pStyle w:val="ListBullet"/>
              <w:rPr>
                <w:lang w:val="en-NZ"/>
              </w:rPr>
            </w:pPr>
            <w:r w:rsidRPr="00176A23">
              <w:t>Risks and hazards and related precautions to control the risk</w:t>
            </w:r>
          </w:p>
        </w:tc>
      </w:tr>
      <w:tr w:rsidTr="007C1ADF">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176A23">
            <w:pPr>
              <w:pStyle w:val="ListBullet"/>
              <w:rPr>
                <w:lang w:val="en-NZ"/>
              </w:rPr>
            </w:pPr>
            <w:r w:rsidRPr="00176A23">
              <w:t>Organisational procedures and policies for responding to incidents, including procedures</w:t>
            </w:r>
            <w:r w:rsidRPr="00176A23">
              <w:t xml:space="preserve"> for responding to and providing practical assistance where required</w:t>
            </w:r>
          </w:p>
        </w:tc>
      </w:tr>
      <w:tr w:rsidTr="007C1ADF">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176A23">
            <w:pPr>
              <w:pStyle w:val="ListBullet"/>
              <w:rPr>
                <w:lang w:val="en-NZ"/>
              </w:rPr>
            </w:pPr>
            <w:r w:rsidRPr="00176A23">
              <w:t>Types of incidents that can occur and appropriate action to be taken in each case</w:t>
            </w:r>
          </w:p>
        </w:tc>
      </w:tr>
      <w:tr w:rsidTr="007C1ADF">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176A23">
            <w:pPr>
              <w:pStyle w:val="ListBullet"/>
              <w:rPr>
                <w:lang w:val="en-NZ"/>
              </w:rPr>
            </w:pPr>
            <w:r w:rsidRPr="00176A23">
              <w:t>Layout of network or area under control and potential obstacles for responding parties</w:t>
            </w:r>
          </w:p>
        </w:tc>
      </w:tr>
      <w:tr w:rsidTr="007C1ADF">
        <w:tblPrEx>
          <w:tblW w:w="0" w:type="auto"/>
          <w:tblCellMar>
            <w:left w:w="62" w:type="dxa"/>
            <w:right w:w="62" w:type="dxa"/>
          </w:tblCellMar>
          <w:tblLook w:val="0000"/>
        </w:tblPrEx>
        <w:trPr>
          <w:trHeight w:val="251"/>
        </w:trPr>
        <w:tc>
          <w:tcPr>
            <w:tcW w:w="0" w:type="auto"/>
            <w:tcBorders>
              <w:top w:val="nil"/>
              <w:left w:val="nil"/>
              <w:bottom w:val="nil"/>
              <w:right w:val="nil"/>
            </w:tcBorders>
            <w:tcMar>
              <w:top w:w="0" w:type="dxa"/>
              <w:left w:w="62" w:type="dxa"/>
              <w:bottom w:w="0" w:type="dxa"/>
              <w:right w:w="62" w:type="dxa"/>
            </w:tcMar>
          </w:tcPr>
          <w:p w:rsidR="00000000" w:rsidP="00176A23">
            <w:pPr>
              <w:pStyle w:val="ListBullet"/>
              <w:rPr>
                <w:lang w:val="en-NZ"/>
              </w:rPr>
            </w:pPr>
            <w:r w:rsidRPr="00176A23">
              <w:t>Procedures f</w:t>
            </w:r>
            <w:r w:rsidRPr="00176A23">
              <w:t>or contacting emergency personnel and other relevant stakeholders</w:t>
            </w:r>
          </w:p>
        </w:tc>
      </w:tr>
      <w:tr w:rsidTr="007C1ADF">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176A23" w:rsidP="00176A23">
            <w:pPr>
              <w:pStyle w:val="ListBullet"/>
            </w:pPr>
            <w:r w:rsidRPr="00176A23">
              <w:t>Procedures for identifying:</w:t>
            </w:r>
          </w:p>
          <w:p w:rsidR="00000000" w:rsidRPr="00176A23" w:rsidP="00176A23">
            <w:pPr>
              <w:pStyle w:val="ListBullet2"/>
            </w:pPr>
            <w:r w:rsidRPr="00176A23">
              <w:t>goods coding</w:t>
            </w:r>
          </w:p>
          <w:p w:rsidR="00000000" w:rsidRPr="00176A23" w:rsidP="00176A23">
            <w:pPr>
              <w:pStyle w:val="ListBullet2"/>
            </w:pPr>
            <w:r w:rsidRPr="00176A23">
              <w:t>HAZCHEM markings</w:t>
            </w:r>
          </w:p>
          <w:p w:rsidR="00000000" w:rsidRPr="00176A23" w:rsidP="00176A23">
            <w:pPr>
              <w:pStyle w:val="ListBullet2"/>
            </w:pPr>
            <w:r w:rsidRPr="00176A23">
              <w:t>where applicable, emergency information panels</w:t>
            </w:r>
          </w:p>
        </w:tc>
      </w:tr>
    </w:tbl>
    <w:p w:rsidR="00000000" w:rsidRPr="00176A23" w:rsidP="00176A23">
      <w:pPr>
        <w:pStyle w:val="BodyText"/>
      </w:pPr>
    </w:p>
    <w:tbl>
      <w:tblPr>
        <w:tblW w:w="0" w:type="auto"/>
        <w:tblCellMar>
          <w:left w:w="62" w:type="dxa"/>
          <w:right w:w="62" w:type="dxa"/>
        </w:tblCellMar>
        <w:tblLook w:val="0000"/>
      </w:tblPr>
      <w:tblGrid>
        <w:gridCol w:w="9196"/>
      </w:tblGrid>
      <w:tr w:rsidTr="007C1ADF">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176A23">
            <w:pPr>
              <w:pStyle w:val="BodyText"/>
              <w:rPr>
                <w:lang w:val="en-NZ"/>
              </w:rPr>
            </w:pPr>
            <w:r w:rsidRPr="00176A23">
              <w:rPr>
                <w:rStyle w:val="SpecialBold"/>
              </w:rPr>
              <w:t>Required skills:</w:t>
            </w:r>
          </w:p>
        </w:tc>
      </w:tr>
      <w:tr w:rsidTr="007C1ADF">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176A23">
            <w:pPr>
              <w:pStyle w:val="ListBullet"/>
              <w:rPr>
                <w:lang w:val="en-NZ"/>
              </w:rPr>
            </w:pPr>
            <w:r w:rsidRPr="00176A23">
              <w:t>Communicate clearly and effectively with others when applying local incident response procedures</w:t>
            </w:r>
          </w:p>
        </w:tc>
      </w:tr>
      <w:tr w:rsidTr="007C1ADF">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176A23">
            <w:pPr>
              <w:pStyle w:val="ListBullet"/>
              <w:rPr>
                <w:lang w:val="en-NZ"/>
              </w:rPr>
            </w:pPr>
            <w:r w:rsidRPr="00176A23">
              <w:t>Read and interpret instructions, procedures and information relating to applying local incident response procedures</w:t>
            </w:r>
          </w:p>
        </w:tc>
      </w:tr>
      <w:tr w:rsidTr="007C1ADF">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176A23">
            <w:pPr>
              <w:pStyle w:val="ListBullet"/>
              <w:rPr>
                <w:lang w:val="en-NZ"/>
              </w:rPr>
            </w:pPr>
            <w:r w:rsidRPr="00176A23">
              <w:t>Interpret and follow operational instru</w:t>
            </w:r>
            <w:r w:rsidRPr="00176A23">
              <w:t>ctions and prioritise work</w:t>
            </w:r>
          </w:p>
        </w:tc>
      </w:tr>
      <w:tr w:rsidTr="007C1ADF">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176A23">
            <w:pPr>
              <w:pStyle w:val="ListBullet"/>
              <w:rPr>
                <w:lang w:val="en-NZ"/>
              </w:rPr>
            </w:pPr>
            <w:r w:rsidRPr="00176A23">
              <w:t>Complete documentation relating to applying local incident response procedures</w:t>
            </w:r>
          </w:p>
        </w:tc>
      </w:tr>
      <w:tr w:rsidTr="007C1ADF">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176A23">
            <w:pPr>
              <w:pStyle w:val="ListBullet"/>
              <w:rPr>
                <w:lang w:val="en-NZ"/>
              </w:rPr>
            </w:pPr>
            <w:r w:rsidRPr="00176A23">
              <w:t>Operate electronic communication equipment to required protocol</w:t>
            </w:r>
          </w:p>
        </w:tc>
      </w:tr>
      <w:tr w:rsidTr="007C1ADF">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176A23" w:rsidP="00176A23">
            <w:pPr>
              <w:pStyle w:val="ListBullet"/>
            </w:pPr>
            <w:r w:rsidRPr="00176A23">
              <w:t>Collaborate with others when applying local incident response procedures</w:t>
            </w:r>
          </w:p>
        </w:tc>
      </w:tr>
    </w:tbl>
    <w:p w:rsidR="00000000" w:rsidRPr="00176A23" w:rsidP="00176A23">
      <w:pPr>
        <w:pStyle w:val="BodyText"/>
      </w:pPr>
    </w:p>
    <w:p w:rsidR="00000000" w:rsidRPr="00176A23" w:rsidP="00176A23">
      <w:pPr>
        <w:pStyle w:val="AllowPageBreak"/>
      </w:pPr>
    </w:p>
    <w:p w:rsidR="00000000" w:rsidRPr="00176A23" w:rsidP="00176A23">
      <w:pPr>
        <w:pStyle w:val="Heading1"/>
      </w:pPr>
      <w:bookmarkStart w:id="10" w:name="O_357557"/>
      <w:bookmarkEnd w:id="10"/>
      <w:r w:rsidRPr="00176A23">
        <w:t>Evidence Guide</w:t>
      </w:r>
    </w:p>
    <w:tbl>
      <w:tblPr>
        <w:tblW w:w="9495" w:type="dxa"/>
        <w:tblLayout w:type="fixed"/>
        <w:tblCellMar>
          <w:left w:w="62" w:type="dxa"/>
          <w:right w:w="62" w:type="dxa"/>
        </w:tblCellMar>
        <w:tblLook w:val="0000"/>
      </w:tblPr>
      <w:tblGrid>
        <w:gridCol w:w="3339"/>
        <w:gridCol w:w="6156"/>
      </w:tblGrid>
      <w:tr w:rsidTr="00176A23">
        <w:tblPrEx>
          <w:tblW w:w="9495" w:type="dxa"/>
          <w:tblLayout w:type="fixed"/>
          <w:tblCellMar>
            <w:left w:w="62" w:type="dxa"/>
            <w:right w:w="62" w:type="dxa"/>
          </w:tblCellMar>
          <w:tblLook w:val="0000"/>
        </w:tblPrEx>
        <w:tc>
          <w:tcPr>
            <w:tcW w:w="9495" w:type="dxa"/>
            <w:gridSpan w:val="2"/>
            <w:tcBorders>
              <w:top w:val="nil"/>
              <w:left w:val="nil"/>
              <w:bottom w:val="nil"/>
              <w:right w:val="nil"/>
            </w:tcBorders>
            <w:tcMar>
              <w:top w:w="0" w:type="dxa"/>
              <w:left w:w="62" w:type="dxa"/>
              <w:bottom w:w="0" w:type="dxa"/>
              <w:right w:w="62" w:type="dxa"/>
            </w:tcMar>
          </w:tcPr>
          <w:p w:rsidR="00000000" w:rsidP="00176A23">
            <w:pPr>
              <w:pStyle w:val="BodyText"/>
              <w:rPr>
                <w:lang w:val="en-NZ"/>
              </w:rPr>
            </w:pPr>
            <w:r w:rsidRPr="00176A23">
              <w:rPr>
                <w:rStyle w:val="SpecialBold"/>
              </w:rPr>
              <w:t>EVIDENCE GUIDE</w:t>
            </w:r>
          </w:p>
        </w:tc>
      </w:tr>
      <w:tr w:rsidTr="00176A23">
        <w:tblPrEx>
          <w:tblW w:w="9495" w:type="dxa"/>
          <w:tblLayout w:type="fixed"/>
          <w:tblCellMar>
            <w:left w:w="62" w:type="dxa"/>
            <w:right w:w="62" w:type="dxa"/>
          </w:tblCellMar>
          <w:tblLook w:val="0000"/>
        </w:tblPrEx>
        <w:tc>
          <w:tcPr>
            <w:tcW w:w="9495" w:type="dxa"/>
            <w:gridSpan w:val="2"/>
            <w:tcBorders>
              <w:top w:val="nil"/>
              <w:left w:val="nil"/>
              <w:bottom w:val="nil"/>
              <w:right w:val="nil"/>
            </w:tcBorders>
            <w:tcMar>
              <w:top w:w="0" w:type="dxa"/>
              <w:left w:w="62" w:type="dxa"/>
              <w:bottom w:w="0" w:type="dxa"/>
              <w:right w:w="62" w:type="dxa"/>
            </w:tcMar>
          </w:tcPr>
          <w:p w:rsidR="00000000" w:rsidP="00176A23">
            <w:pPr>
              <w:pStyle w:val="BodyText"/>
              <w:rPr>
                <w:lang w:val="en-NZ"/>
              </w:rPr>
            </w:pPr>
            <w:r w:rsidRPr="00176A23">
              <w:t>The evidence guide provides advice on assessment and must be read in conjunction with the performance criteria, required knowledge and skills, the range statement and the assessment guidelines for this Traini</w:t>
            </w:r>
            <w:r w:rsidRPr="00176A23">
              <w:t>ng Package.</w:t>
            </w:r>
          </w:p>
        </w:tc>
      </w:tr>
      <w:tr w:rsidTr="00176A23">
        <w:tblPrEx>
          <w:tblW w:w="9495" w:type="dxa"/>
          <w:tblLayout w:type="fixed"/>
          <w:tblCellMar>
            <w:left w:w="62" w:type="dxa"/>
            <w:right w:w="62" w:type="dxa"/>
          </w:tblCellMar>
          <w:tblLook w:val="0000"/>
        </w:tblPrEx>
        <w:tc>
          <w:tcPr>
            <w:tcW w:w="3339" w:type="dxa"/>
            <w:tcBorders>
              <w:top w:val="nil"/>
              <w:left w:val="nil"/>
              <w:bottom w:val="nil"/>
              <w:right w:val="nil"/>
            </w:tcBorders>
            <w:tcMar>
              <w:top w:w="0" w:type="dxa"/>
              <w:left w:w="62" w:type="dxa"/>
              <w:bottom w:w="0" w:type="dxa"/>
              <w:right w:w="62" w:type="dxa"/>
            </w:tcMar>
          </w:tcPr>
          <w:p w:rsidR="00000000" w:rsidP="00176A23">
            <w:pPr>
              <w:pStyle w:val="BodyText"/>
              <w:rPr>
                <w:lang w:val="en-NZ"/>
              </w:rPr>
            </w:pPr>
            <w:r w:rsidRPr="00176A23">
              <w:rPr>
                <w:rStyle w:val="SpecialBold"/>
              </w:rPr>
              <w:t>Critical aspects for assessment and evidence required to demonstrate competency in this unit</w:t>
            </w:r>
          </w:p>
        </w:tc>
        <w:tc>
          <w:tcPr>
            <w:tcW w:w="6156" w:type="dxa"/>
            <w:tcBorders>
              <w:top w:val="nil"/>
              <w:left w:val="nil"/>
              <w:bottom w:val="nil"/>
              <w:right w:val="nil"/>
            </w:tcBorders>
            <w:tcMar>
              <w:top w:w="0" w:type="dxa"/>
              <w:left w:w="62" w:type="dxa"/>
              <w:bottom w:w="0" w:type="dxa"/>
              <w:right w:w="62" w:type="dxa"/>
            </w:tcMar>
          </w:tcPr>
          <w:p w:rsidR="00000000" w:rsidRPr="00176A23" w:rsidP="00176A23">
            <w:pPr>
              <w:pStyle w:val="ListBullet"/>
            </w:pPr>
            <w:r w:rsidRPr="00176A23">
              <w:t>The evidence required to demonstrate competency in this unit must be relevant to and satisfy all of the requirements of the elements and performance</w:t>
            </w:r>
            <w:r w:rsidRPr="00176A23">
              <w:t xml:space="preserve"> criteria of this unit and include demonstration of applying:</w:t>
            </w:r>
          </w:p>
          <w:p w:rsidR="00000000" w:rsidRPr="00176A23" w:rsidP="00176A23">
            <w:pPr>
              <w:pStyle w:val="ListBullet2"/>
            </w:pPr>
            <w:r w:rsidRPr="00176A23">
              <w:t>the underpinning knowledge and skills</w:t>
            </w:r>
          </w:p>
          <w:p w:rsidR="00000000" w:rsidRPr="00176A23" w:rsidP="00176A23">
            <w:pPr>
              <w:pStyle w:val="ListBullet2"/>
            </w:pPr>
            <w:r w:rsidRPr="00176A23">
              <w:t>relevant legislation and workplace procedures</w:t>
            </w:r>
          </w:p>
          <w:p w:rsidR="00000000" w:rsidP="00176A23">
            <w:pPr>
              <w:pStyle w:val="ListBullet2"/>
              <w:rPr>
                <w:lang w:val="en-NZ"/>
              </w:rPr>
            </w:pPr>
            <w:r w:rsidRPr="00176A23">
              <w:t>other relevant aspects of the range statement</w:t>
            </w:r>
          </w:p>
        </w:tc>
      </w:tr>
      <w:tr w:rsidTr="00176A23">
        <w:tblPrEx>
          <w:tblW w:w="9495" w:type="dxa"/>
          <w:tblLayout w:type="fixed"/>
          <w:tblCellMar>
            <w:left w:w="62" w:type="dxa"/>
            <w:right w:w="62" w:type="dxa"/>
          </w:tblCellMar>
          <w:tblLook w:val="0000"/>
        </w:tblPrEx>
        <w:tc>
          <w:tcPr>
            <w:tcW w:w="3339" w:type="dxa"/>
            <w:tcBorders>
              <w:top w:val="nil"/>
              <w:left w:val="nil"/>
              <w:bottom w:val="nil"/>
              <w:right w:val="nil"/>
            </w:tcBorders>
            <w:tcMar>
              <w:top w:w="0" w:type="dxa"/>
              <w:left w:w="62" w:type="dxa"/>
              <w:bottom w:w="0" w:type="dxa"/>
              <w:right w:w="62" w:type="dxa"/>
            </w:tcMar>
          </w:tcPr>
          <w:p w:rsidR="00000000" w:rsidP="00176A23">
            <w:pPr>
              <w:pStyle w:val="BodyText"/>
              <w:rPr>
                <w:lang w:val="en-NZ"/>
              </w:rPr>
            </w:pPr>
            <w:r w:rsidRPr="00176A23">
              <w:rPr>
                <w:rStyle w:val="SpecialBold"/>
              </w:rPr>
              <w:t>Context of and specific resources for assessment</w:t>
            </w:r>
          </w:p>
        </w:tc>
        <w:tc>
          <w:tcPr>
            <w:tcW w:w="6156" w:type="dxa"/>
            <w:tcBorders>
              <w:top w:val="nil"/>
              <w:left w:val="nil"/>
              <w:bottom w:val="nil"/>
              <w:right w:val="nil"/>
            </w:tcBorders>
            <w:tcMar>
              <w:top w:w="0" w:type="dxa"/>
              <w:left w:w="62" w:type="dxa"/>
              <w:bottom w:w="0" w:type="dxa"/>
              <w:right w:w="62" w:type="dxa"/>
            </w:tcMar>
          </w:tcPr>
          <w:p w:rsidR="00000000" w:rsidRPr="00176A23" w:rsidP="00176A23">
            <w:pPr>
              <w:pStyle w:val="ListBullet"/>
            </w:pPr>
            <w:r w:rsidRPr="00176A23">
              <w:t>Performance is demonstrated consistently over a period of time and in a suitable range of contexts</w:t>
            </w:r>
          </w:p>
          <w:p w:rsidR="00000000" w:rsidRPr="00176A23" w:rsidP="00176A23">
            <w:pPr>
              <w:pStyle w:val="ListBullet"/>
            </w:pPr>
            <w:r w:rsidRPr="00176A23">
              <w:t>Resources for assessment include:</w:t>
            </w:r>
          </w:p>
          <w:p w:rsidR="00000000" w:rsidRPr="00176A23" w:rsidP="00176A23">
            <w:pPr>
              <w:pStyle w:val="ListBullet2"/>
            </w:pPr>
            <w:r w:rsidRPr="00176A23">
              <w:t>a range of relevant exercises, case studies and other simulated practical and knowledge assessment, and/or</w:t>
            </w:r>
          </w:p>
          <w:p w:rsidR="00000000" w:rsidRPr="00176A23" w:rsidP="00176A23">
            <w:pPr>
              <w:pStyle w:val="ListBullet2"/>
            </w:pPr>
            <w:r w:rsidRPr="00176A23">
              <w:t>access to an appropriate range of relevant operational situations in the workplace</w:t>
            </w:r>
          </w:p>
          <w:p w:rsidR="00000000" w:rsidRPr="00176A23" w:rsidP="00176A23">
            <w:pPr>
              <w:pStyle w:val="ListBullet"/>
            </w:pPr>
            <w:r w:rsidRPr="00176A23">
              <w:t>In both real and simulated environments, access is required to:</w:t>
            </w:r>
          </w:p>
          <w:p w:rsidR="00000000" w:rsidRPr="00176A23" w:rsidP="00176A23">
            <w:pPr>
              <w:pStyle w:val="ListBullet2"/>
            </w:pPr>
            <w:r w:rsidRPr="00176A23">
              <w:t>relevant and appropriate materials and/or equipment, and/or</w:t>
            </w:r>
          </w:p>
          <w:p w:rsidR="00000000" w:rsidP="00176A23">
            <w:pPr>
              <w:pStyle w:val="ListBullet2"/>
              <w:rPr>
                <w:lang w:val="en-NZ"/>
              </w:rPr>
            </w:pPr>
            <w:r w:rsidRPr="00176A23">
              <w:t>applicable documentation, including workplace p</w:t>
            </w:r>
            <w:r w:rsidRPr="00176A23">
              <w:t>rocedures, regulations, codes of practice and operation manuals</w:t>
            </w:r>
          </w:p>
        </w:tc>
      </w:tr>
      <w:tr w:rsidTr="00176A23">
        <w:tblPrEx>
          <w:tblW w:w="9495" w:type="dxa"/>
          <w:tblLayout w:type="fixed"/>
          <w:tblCellMar>
            <w:left w:w="62" w:type="dxa"/>
            <w:right w:w="62" w:type="dxa"/>
          </w:tblCellMar>
          <w:tblLook w:val="0000"/>
        </w:tblPrEx>
        <w:tc>
          <w:tcPr>
            <w:tcW w:w="3339" w:type="dxa"/>
            <w:tcBorders>
              <w:top w:val="nil"/>
              <w:left w:val="nil"/>
              <w:bottom w:val="nil"/>
              <w:right w:val="nil"/>
            </w:tcBorders>
            <w:tcMar>
              <w:top w:w="0" w:type="dxa"/>
              <w:left w:w="62" w:type="dxa"/>
              <w:bottom w:w="0" w:type="dxa"/>
              <w:right w:w="62" w:type="dxa"/>
            </w:tcMar>
          </w:tcPr>
          <w:p w:rsidR="00000000" w:rsidP="00176A23">
            <w:pPr>
              <w:pStyle w:val="BodyText"/>
              <w:rPr>
                <w:lang w:val="en-NZ"/>
              </w:rPr>
            </w:pPr>
            <w:r w:rsidRPr="00176A23">
              <w:rPr>
                <w:rStyle w:val="SpecialBold"/>
              </w:rPr>
              <w:t>Method of assessment</w:t>
            </w:r>
          </w:p>
        </w:tc>
        <w:tc>
          <w:tcPr>
            <w:tcW w:w="6156" w:type="dxa"/>
            <w:tcBorders>
              <w:top w:val="nil"/>
              <w:left w:val="nil"/>
              <w:bottom w:val="nil"/>
              <w:right w:val="nil"/>
            </w:tcBorders>
            <w:tcMar>
              <w:top w:w="0" w:type="dxa"/>
              <w:left w:w="62" w:type="dxa"/>
              <w:bottom w:w="0" w:type="dxa"/>
              <w:right w:w="62" w:type="dxa"/>
            </w:tcMar>
          </w:tcPr>
          <w:p w:rsidR="00000000" w:rsidRPr="00176A23" w:rsidP="00176A23">
            <w:pPr>
              <w:pStyle w:val="ListBullet"/>
            </w:pPr>
            <w:r w:rsidRPr="00176A23">
              <w:t>As a minimum, assessment of knowledge must be conducted through appropriate written/oral tests</w:t>
            </w:r>
          </w:p>
          <w:p w:rsidR="00000000" w:rsidRPr="00176A23" w:rsidP="00176A23">
            <w:pPr>
              <w:pStyle w:val="ListBullet"/>
            </w:pPr>
            <w:r w:rsidRPr="00176A23">
              <w:t>Practical assessment must occur:</w:t>
            </w:r>
          </w:p>
          <w:p w:rsidR="00000000" w:rsidRPr="00176A23" w:rsidP="00176A23">
            <w:pPr>
              <w:pStyle w:val="ListBullet2"/>
            </w:pPr>
            <w:r w:rsidRPr="00176A23">
              <w:t>through activities in an appropriately simulated environment, and/or</w:t>
            </w:r>
          </w:p>
          <w:p w:rsidR="00000000" w:rsidRPr="00176A23" w:rsidP="00176A23">
            <w:pPr>
              <w:pStyle w:val="ListBullet2"/>
            </w:pPr>
            <w:r w:rsidRPr="00176A23">
              <w:t>in an appropriate range of situations in the workplace</w:t>
            </w:r>
          </w:p>
        </w:tc>
      </w:tr>
    </w:tbl>
    <w:p w:rsidR="00000000" w:rsidRPr="00176A23" w:rsidP="00176A23">
      <w:pPr>
        <w:pStyle w:val="BodyText"/>
      </w:pPr>
    </w:p>
    <w:p w:rsidR="00000000" w:rsidRPr="00176A23" w:rsidP="00176A23">
      <w:pPr>
        <w:pStyle w:val="AllowPageBreak"/>
      </w:pPr>
    </w:p>
    <w:p w:rsidR="00000000" w:rsidRPr="00176A23" w:rsidP="00176A23">
      <w:pPr>
        <w:pStyle w:val="Heading1"/>
      </w:pPr>
      <w:bookmarkStart w:id="11" w:name="O_357558"/>
      <w:bookmarkEnd w:id="11"/>
      <w:r w:rsidRPr="00176A23">
        <w:t>Range Statement</w:t>
      </w:r>
    </w:p>
    <w:tbl>
      <w:tblPr>
        <w:tblW w:w="9465" w:type="dxa"/>
        <w:tblLayout w:type="fixed"/>
        <w:tblCellMar>
          <w:left w:w="62" w:type="dxa"/>
          <w:right w:w="62" w:type="dxa"/>
        </w:tblCellMar>
        <w:tblLook w:val="0000"/>
      </w:tblPr>
      <w:tblGrid>
        <w:gridCol w:w="3308"/>
        <w:gridCol w:w="6157"/>
      </w:tblGrid>
      <w:tr w:rsidTr="00176A23">
        <w:tblPrEx>
          <w:tblW w:w="9465" w:type="dxa"/>
          <w:tblLayout w:type="fixed"/>
          <w:tblCellMar>
            <w:left w:w="62" w:type="dxa"/>
            <w:right w:w="62" w:type="dxa"/>
          </w:tblCellMar>
          <w:tblLook w:val="0000"/>
        </w:tblPrEx>
        <w:tc>
          <w:tcPr>
            <w:tcW w:w="9465" w:type="dxa"/>
            <w:gridSpan w:val="2"/>
            <w:tcBorders>
              <w:top w:val="nil"/>
              <w:left w:val="nil"/>
              <w:bottom w:val="nil"/>
              <w:right w:val="nil"/>
            </w:tcBorders>
            <w:tcMar>
              <w:top w:w="0" w:type="dxa"/>
              <w:left w:w="62" w:type="dxa"/>
              <w:bottom w:w="0" w:type="dxa"/>
              <w:right w:w="62" w:type="dxa"/>
            </w:tcMar>
          </w:tcPr>
          <w:p w:rsidR="00000000" w:rsidP="00176A23">
            <w:pPr>
              <w:pStyle w:val="BodyText"/>
              <w:rPr>
                <w:lang w:val="en-NZ"/>
              </w:rPr>
            </w:pPr>
            <w:r w:rsidRPr="00176A23">
              <w:rPr>
                <w:rStyle w:val="SpecialBold"/>
              </w:rPr>
              <w:t xml:space="preserve">RANGE STATEMENT </w:t>
            </w:r>
          </w:p>
        </w:tc>
      </w:tr>
      <w:tr w:rsidTr="00176A23">
        <w:tblPrEx>
          <w:tblW w:w="9465" w:type="dxa"/>
          <w:tblLayout w:type="fixed"/>
          <w:tblCellMar>
            <w:left w:w="62" w:type="dxa"/>
            <w:right w:w="62" w:type="dxa"/>
          </w:tblCellMar>
          <w:tblLook w:val="0000"/>
        </w:tblPrEx>
        <w:tc>
          <w:tcPr>
            <w:tcW w:w="9465" w:type="dxa"/>
            <w:gridSpan w:val="2"/>
            <w:tcBorders>
              <w:top w:val="nil"/>
              <w:left w:val="nil"/>
              <w:bottom w:val="nil"/>
              <w:right w:val="nil"/>
            </w:tcBorders>
            <w:tcMar>
              <w:top w:w="0" w:type="dxa"/>
              <w:left w:w="62" w:type="dxa"/>
              <w:bottom w:w="0" w:type="dxa"/>
              <w:right w:w="62" w:type="dxa"/>
            </w:tcMar>
          </w:tcPr>
          <w:p w:rsidR="00000000" w:rsidP="00176A23">
            <w:pPr>
              <w:pStyle w:val="BodyText"/>
              <w:rPr>
                <w:lang w:val="en-NZ"/>
              </w:rPr>
            </w:pPr>
            <w:r w:rsidRPr="00176A23">
              <w:t>The range statement relates to the unit of competency as a whole. It allows for different work environments and situations that may affect performance.</w:t>
            </w:r>
          </w:p>
        </w:tc>
      </w:tr>
      <w:tr w:rsidTr="00176A23">
        <w:tblPrEx>
          <w:tblW w:w="9465" w:type="dxa"/>
          <w:tblLayout w:type="fixed"/>
          <w:tblCellMar>
            <w:left w:w="62" w:type="dxa"/>
            <w:right w:w="62" w:type="dxa"/>
          </w:tblCellMar>
          <w:tblLook w:val="0000"/>
        </w:tblPrEx>
        <w:trPr>
          <w:trHeight w:val="57"/>
        </w:trPr>
        <w:tc>
          <w:tcPr>
            <w:tcW w:w="3308" w:type="dxa"/>
            <w:tcBorders>
              <w:top w:val="nil"/>
              <w:left w:val="nil"/>
              <w:bottom w:val="nil"/>
              <w:right w:val="nil"/>
            </w:tcBorders>
            <w:tcMar>
              <w:top w:w="0" w:type="dxa"/>
              <w:left w:w="62" w:type="dxa"/>
              <w:bottom w:w="0" w:type="dxa"/>
              <w:right w:w="62" w:type="dxa"/>
            </w:tcMar>
          </w:tcPr>
          <w:p w:rsidR="00000000" w:rsidP="00176A23">
            <w:pPr>
              <w:pStyle w:val="BodyText"/>
              <w:rPr>
                <w:lang w:val="en-NZ"/>
              </w:rPr>
            </w:pPr>
            <w:r w:rsidRPr="00176A23">
              <w:rPr>
                <w:rStyle w:val="SpecialBold"/>
              </w:rPr>
              <w:t>Action to be taken in the event of an incident may include:</w:t>
            </w:r>
          </w:p>
        </w:tc>
        <w:tc>
          <w:tcPr>
            <w:tcW w:w="6157" w:type="dxa"/>
            <w:tcBorders>
              <w:top w:val="nil"/>
              <w:left w:val="nil"/>
              <w:bottom w:val="nil"/>
              <w:right w:val="nil"/>
            </w:tcBorders>
            <w:tcMar>
              <w:top w:w="0" w:type="dxa"/>
              <w:left w:w="62" w:type="dxa"/>
              <w:bottom w:w="0" w:type="dxa"/>
              <w:right w:w="62" w:type="dxa"/>
            </w:tcMar>
          </w:tcPr>
          <w:p w:rsidR="00000000" w:rsidRPr="00176A23" w:rsidP="00176A23">
            <w:pPr>
              <w:pStyle w:val="ListBullet"/>
            </w:pPr>
            <w:r w:rsidRPr="00176A23">
              <w:t>identifying and following established inc</w:t>
            </w:r>
            <w:r w:rsidRPr="00176A23">
              <w:t>ident procedures</w:t>
            </w:r>
          </w:p>
          <w:p w:rsidR="00000000" w:rsidRPr="00176A23" w:rsidP="00176A23">
            <w:pPr>
              <w:pStyle w:val="ListBullet"/>
            </w:pPr>
            <w:r w:rsidRPr="00176A23">
              <w:t>assessing the nature and extent of the incident</w:t>
            </w:r>
          </w:p>
          <w:p w:rsidR="00000000" w:rsidRPr="00176A23" w:rsidP="00176A23">
            <w:pPr>
              <w:pStyle w:val="ListBullet"/>
            </w:pPr>
            <w:r w:rsidRPr="00176A23">
              <w:t>ensuring medical assistance is provided where required</w:t>
            </w:r>
          </w:p>
          <w:p w:rsidR="00000000" w:rsidRPr="00176A23" w:rsidP="00176A23">
            <w:pPr>
              <w:pStyle w:val="ListBullet"/>
            </w:pPr>
            <w:r w:rsidRPr="00176A23">
              <w:t>isolating and coordinating safety of the scene</w:t>
            </w:r>
          </w:p>
          <w:p w:rsidR="00000000" w:rsidRPr="00176A23" w:rsidP="00176A23">
            <w:pPr>
              <w:pStyle w:val="ListBullet"/>
            </w:pPr>
            <w:r w:rsidRPr="00176A23">
              <w:t>alerting relevant organisational personnel and emergency services</w:t>
            </w:r>
          </w:p>
          <w:p w:rsidR="00000000" w:rsidP="00176A23">
            <w:pPr>
              <w:pStyle w:val="ListBullet"/>
              <w:rPr>
                <w:lang w:val="en-NZ"/>
              </w:rPr>
            </w:pPr>
            <w:r w:rsidRPr="00176A23">
              <w:t>recording relevant information and reporting on incident situation in accordance with regulatory and organisational requirements</w:t>
            </w:r>
          </w:p>
        </w:tc>
      </w:tr>
      <w:tr w:rsidTr="00176A23">
        <w:tblPrEx>
          <w:tblW w:w="9465" w:type="dxa"/>
          <w:tblLayout w:type="fixed"/>
          <w:tblCellMar>
            <w:left w:w="62" w:type="dxa"/>
            <w:right w:w="62" w:type="dxa"/>
          </w:tblCellMar>
          <w:tblLook w:val="0000"/>
        </w:tblPrEx>
        <w:tc>
          <w:tcPr>
            <w:tcW w:w="3308" w:type="dxa"/>
            <w:tcBorders>
              <w:top w:val="nil"/>
              <w:left w:val="nil"/>
              <w:bottom w:val="nil"/>
              <w:right w:val="nil"/>
            </w:tcBorders>
            <w:tcMar>
              <w:top w:w="0" w:type="dxa"/>
              <w:left w:w="62" w:type="dxa"/>
              <w:bottom w:w="0" w:type="dxa"/>
              <w:right w:w="62" w:type="dxa"/>
            </w:tcMar>
          </w:tcPr>
          <w:p w:rsidR="00000000" w:rsidP="00176A23">
            <w:pPr>
              <w:pStyle w:val="BodyText"/>
              <w:rPr>
                <w:lang w:val="en-NZ"/>
              </w:rPr>
            </w:pPr>
            <w:r w:rsidRPr="00176A23">
              <w:rPr>
                <w:rStyle w:val="SpecialBold"/>
              </w:rPr>
              <w:t>Consultative processes may include:</w:t>
            </w:r>
          </w:p>
        </w:tc>
        <w:tc>
          <w:tcPr>
            <w:tcW w:w="6157" w:type="dxa"/>
            <w:tcBorders>
              <w:top w:val="nil"/>
              <w:left w:val="nil"/>
              <w:bottom w:val="nil"/>
              <w:right w:val="nil"/>
            </w:tcBorders>
            <w:tcMar>
              <w:top w:w="0" w:type="dxa"/>
              <w:left w:w="62" w:type="dxa"/>
              <w:bottom w:w="0" w:type="dxa"/>
              <w:right w:w="62" w:type="dxa"/>
            </w:tcMar>
          </w:tcPr>
          <w:p w:rsidR="00000000" w:rsidRPr="00176A23" w:rsidP="00176A23">
            <w:pPr>
              <w:pStyle w:val="ListBullet"/>
            </w:pPr>
            <w:r w:rsidRPr="00176A23">
              <w:t>personnel and management</w:t>
            </w:r>
          </w:p>
          <w:p w:rsidR="00000000" w:rsidRPr="00176A23" w:rsidP="00176A23">
            <w:pPr>
              <w:pStyle w:val="ListBullet"/>
            </w:pPr>
            <w:r w:rsidRPr="00176A23">
              <w:t>designated emergency officers</w:t>
            </w:r>
          </w:p>
          <w:p w:rsidR="00000000" w:rsidRPr="00176A23" w:rsidP="00176A23">
            <w:pPr>
              <w:pStyle w:val="ListBullet"/>
            </w:pPr>
            <w:r w:rsidRPr="00176A23">
              <w:t>emergency services personnel, incl</w:t>
            </w:r>
            <w:r w:rsidRPr="00176A23">
              <w:t>uding ambulance, police, fire services and SES</w:t>
            </w:r>
          </w:p>
          <w:p w:rsidR="00000000" w:rsidRPr="00176A23" w:rsidP="00176A23">
            <w:pPr>
              <w:pStyle w:val="ListBullet"/>
            </w:pPr>
            <w:r w:rsidRPr="00176A23">
              <w:t>OH&amp;S specialists</w:t>
            </w:r>
          </w:p>
          <w:p w:rsidR="00000000" w:rsidRPr="00176A23" w:rsidP="00176A23">
            <w:pPr>
              <w:pStyle w:val="ListBullet"/>
            </w:pPr>
            <w:r w:rsidRPr="00176A23">
              <w:t>other professional or technical staff</w:t>
            </w:r>
          </w:p>
          <w:p w:rsidR="00000000" w:rsidP="00176A23">
            <w:pPr>
              <w:pStyle w:val="ListBullet"/>
              <w:rPr>
                <w:lang w:val="en-NZ"/>
              </w:rPr>
            </w:pPr>
            <w:r w:rsidRPr="00176A23">
              <w:t>contractors</w:t>
            </w:r>
          </w:p>
        </w:tc>
      </w:tr>
      <w:tr w:rsidTr="00176A23">
        <w:tblPrEx>
          <w:tblW w:w="9465" w:type="dxa"/>
          <w:tblLayout w:type="fixed"/>
          <w:tblCellMar>
            <w:left w:w="62" w:type="dxa"/>
            <w:right w:w="62" w:type="dxa"/>
          </w:tblCellMar>
          <w:tblLook w:val="0000"/>
        </w:tblPrEx>
        <w:tc>
          <w:tcPr>
            <w:tcW w:w="3308" w:type="dxa"/>
            <w:tcBorders>
              <w:top w:val="nil"/>
              <w:left w:val="nil"/>
              <w:bottom w:val="nil"/>
              <w:right w:val="nil"/>
            </w:tcBorders>
            <w:tcMar>
              <w:top w:w="0" w:type="dxa"/>
              <w:left w:w="62" w:type="dxa"/>
              <w:bottom w:w="0" w:type="dxa"/>
              <w:right w:w="62" w:type="dxa"/>
            </w:tcMar>
          </w:tcPr>
          <w:p w:rsidR="00000000" w:rsidP="00176A23">
            <w:pPr>
              <w:pStyle w:val="BodyText"/>
              <w:rPr>
                <w:lang w:val="en-NZ"/>
              </w:rPr>
            </w:pPr>
            <w:r w:rsidRPr="00176A23">
              <w:rPr>
                <w:rStyle w:val="SpecialBold"/>
              </w:rPr>
              <w:t>Communication systems may include:</w:t>
            </w:r>
          </w:p>
        </w:tc>
        <w:tc>
          <w:tcPr>
            <w:tcW w:w="6157" w:type="dxa"/>
            <w:tcBorders>
              <w:top w:val="nil"/>
              <w:left w:val="nil"/>
              <w:bottom w:val="nil"/>
              <w:right w:val="nil"/>
            </w:tcBorders>
            <w:tcMar>
              <w:top w:w="0" w:type="dxa"/>
              <w:left w:w="62" w:type="dxa"/>
              <w:bottom w:w="0" w:type="dxa"/>
              <w:right w:w="62" w:type="dxa"/>
            </w:tcMar>
          </w:tcPr>
          <w:p w:rsidR="00000000" w:rsidRPr="00176A23" w:rsidP="00176A23">
            <w:pPr>
              <w:pStyle w:val="ListBullet"/>
            </w:pPr>
            <w:r w:rsidRPr="00176A23">
              <w:t>telephone, including mobile telephone</w:t>
            </w:r>
          </w:p>
          <w:p w:rsidR="00000000" w:rsidRPr="00176A23" w:rsidP="00176A23">
            <w:pPr>
              <w:pStyle w:val="ListBullet"/>
            </w:pPr>
            <w:r w:rsidRPr="00176A23">
              <w:t>electronic, including email</w:t>
            </w:r>
          </w:p>
          <w:p w:rsidR="00000000" w:rsidRPr="00176A23" w:rsidP="00176A23">
            <w:pPr>
              <w:pStyle w:val="ListBullet"/>
            </w:pPr>
            <w:r w:rsidRPr="00176A23">
              <w:t>SMS</w:t>
            </w:r>
          </w:p>
          <w:p w:rsidR="00000000" w:rsidP="00176A23">
            <w:pPr>
              <w:pStyle w:val="ListBullet"/>
              <w:rPr>
                <w:lang w:val="en-NZ"/>
              </w:rPr>
            </w:pPr>
            <w:r w:rsidRPr="00176A23">
              <w:t>radio</w:t>
            </w:r>
          </w:p>
        </w:tc>
      </w:tr>
      <w:tr w:rsidTr="00176A23">
        <w:tblPrEx>
          <w:tblW w:w="9465" w:type="dxa"/>
          <w:tblLayout w:type="fixed"/>
          <w:tblCellMar>
            <w:left w:w="62" w:type="dxa"/>
            <w:right w:w="62" w:type="dxa"/>
          </w:tblCellMar>
          <w:tblLook w:val="0000"/>
        </w:tblPrEx>
        <w:tc>
          <w:tcPr>
            <w:tcW w:w="3308" w:type="dxa"/>
            <w:tcBorders>
              <w:top w:val="nil"/>
              <w:left w:val="nil"/>
              <w:bottom w:val="nil"/>
              <w:right w:val="nil"/>
            </w:tcBorders>
            <w:tcMar>
              <w:top w:w="0" w:type="dxa"/>
              <w:left w:w="62" w:type="dxa"/>
              <w:bottom w:w="0" w:type="dxa"/>
              <w:right w:w="62" w:type="dxa"/>
            </w:tcMar>
          </w:tcPr>
          <w:p w:rsidR="00000000" w:rsidP="00176A23">
            <w:pPr>
              <w:pStyle w:val="BodyText"/>
              <w:rPr>
                <w:lang w:val="en-NZ"/>
              </w:rPr>
            </w:pPr>
            <w:r w:rsidRPr="00176A23">
              <w:rPr>
                <w:rStyle w:val="SpecialBold"/>
              </w:rPr>
              <w:t>Organisational procedures may be known as:</w:t>
            </w:r>
          </w:p>
        </w:tc>
        <w:tc>
          <w:tcPr>
            <w:tcW w:w="6157" w:type="dxa"/>
            <w:tcBorders>
              <w:top w:val="nil"/>
              <w:left w:val="nil"/>
              <w:bottom w:val="nil"/>
              <w:right w:val="nil"/>
            </w:tcBorders>
            <w:tcMar>
              <w:top w:w="0" w:type="dxa"/>
              <w:left w:w="62" w:type="dxa"/>
              <w:bottom w:w="0" w:type="dxa"/>
              <w:right w:w="62" w:type="dxa"/>
            </w:tcMar>
          </w:tcPr>
          <w:p w:rsidR="00000000" w:rsidRPr="00176A23" w:rsidP="00176A23">
            <w:pPr>
              <w:pStyle w:val="ListBullet"/>
            </w:pPr>
            <w:r w:rsidRPr="00176A23">
              <w:t>company procedures</w:t>
            </w:r>
          </w:p>
          <w:p w:rsidR="00000000" w:rsidRPr="00176A23" w:rsidP="00176A23">
            <w:pPr>
              <w:pStyle w:val="ListBullet"/>
            </w:pPr>
            <w:r w:rsidRPr="00176A23">
              <w:t>enterprise procedures</w:t>
            </w:r>
          </w:p>
          <w:p w:rsidR="00000000" w:rsidRPr="00176A23" w:rsidP="00176A23">
            <w:pPr>
              <w:pStyle w:val="ListBullet"/>
            </w:pPr>
            <w:r w:rsidRPr="00176A23">
              <w:t>workplace procedures</w:t>
            </w:r>
          </w:p>
          <w:p w:rsidR="00000000" w:rsidP="00176A23">
            <w:pPr>
              <w:pStyle w:val="ListBullet"/>
              <w:rPr>
                <w:lang w:val="en-NZ"/>
              </w:rPr>
            </w:pPr>
            <w:r w:rsidRPr="00176A23">
              <w:t>established procedures</w:t>
            </w:r>
          </w:p>
        </w:tc>
      </w:tr>
      <w:tr w:rsidTr="00176A23">
        <w:tblPrEx>
          <w:tblW w:w="9465" w:type="dxa"/>
          <w:tblLayout w:type="fixed"/>
          <w:tblCellMar>
            <w:left w:w="62" w:type="dxa"/>
            <w:right w:w="62" w:type="dxa"/>
          </w:tblCellMar>
          <w:tblLook w:val="0000"/>
        </w:tblPrEx>
        <w:tc>
          <w:tcPr>
            <w:tcW w:w="3308" w:type="dxa"/>
            <w:tcBorders>
              <w:top w:val="nil"/>
              <w:left w:val="nil"/>
              <w:bottom w:val="nil"/>
              <w:right w:val="nil"/>
            </w:tcBorders>
            <w:tcMar>
              <w:top w:w="0" w:type="dxa"/>
              <w:left w:w="62" w:type="dxa"/>
              <w:bottom w:w="0" w:type="dxa"/>
              <w:right w:w="62" w:type="dxa"/>
            </w:tcMar>
          </w:tcPr>
          <w:p w:rsidR="00000000" w:rsidP="00176A23">
            <w:pPr>
              <w:pStyle w:val="BodyText"/>
              <w:rPr>
                <w:lang w:val="en-NZ"/>
              </w:rPr>
            </w:pPr>
            <w:r w:rsidRPr="00176A23">
              <w:rPr>
                <w:rStyle w:val="SpecialBold"/>
              </w:rPr>
              <w:t>Information and documents may include:</w:t>
            </w:r>
          </w:p>
        </w:tc>
        <w:tc>
          <w:tcPr>
            <w:tcW w:w="6157" w:type="dxa"/>
            <w:tcBorders>
              <w:top w:val="nil"/>
              <w:left w:val="nil"/>
              <w:bottom w:val="nil"/>
              <w:right w:val="nil"/>
            </w:tcBorders>
            <w:tcMar>
              <w:top w:w="0" w:type="dxa"/>
              <w:left w:w="62" w:type="dxa"/>
              <w:bottom w:w="0" w:type="dxa"/>
              <w:right w:w="62" w:type="dxa"/>
            </w:tcMar>
          </w:tcPr>
          <w:p w:rsidR="00000000" w:rsidRPr="00176A23" w:rsidP="00176A23">
            <w:pPr>
              <w:pStyle w:val="ListBullet"/>
            </w:pPr>
            <w:r w:rsidRPr="00176A23">
              <w:t>incident response procedures</w:t>
            </w:r>
          </w:p>
          <w:p w:rsidR="00000000" w:rsidRPr="00176A23" w:rsidP="00176A23">
            <w:pPr>
              <w:pStyle w:val="ListBullet"/>
            </w:pPr>
            <w:r w:rsidRPr="00176A23">
              <w:t>manifests, goods and container identification numbers and</w:t>
            </w:r>
            <w:r w:rsidRPr="00176A23">
              <w:t xml:space="preserve"> codes</w:t>
            </w:r>
          </w:p>
          <w:p w:rsidR="00000000" w:rsidRPr="00176A23" w:rsidP="00176A23">
            <w:pPr>
              <w:pStyle w:val="ListBullet"/>
            </w:pPr>
            <w:r w:rsidRPr="00176A23">
              <w:t>codes of practice, including the Australian Dangerous Goods (ADG) Code</w:t>
            </w:r>
          </w:p>
          <w:p w:rsidR="00000000" w:rsidRPr="00176A23" w:rsidP="00176A23">
            <w:pPr>
              <w:pStyle w:val="ListBullet"/>
            </w:pPr>
            <w:r w:rsidRPr="00176A23">
              <w:t>International Maritime Dangerous Goods (IMDG) Code markings</w:t>
            </w:r>
          </w:p>
          <w:p w:rsidR="00000000" w:rsidRPr="00176A23" w:rsidP="00176A23">
            <w:pPr>
              <w:pStyle w:val="ListBullet"/>
            </w:pPr>
            <w:r w:rsidRPr="00176A23">
              <w:t>HAZCHEM codes and where applicable emergency information panels</w:t>
            </w:r>
          </w:p>
          <w:p w:rsidR="00000000" w:rsidRPr="00176A23" w:rsidP="00176A23">
            <w:pPr>
              <w:pStyle w:val="ListBullet"/>
            </w:pPr>
            <w:r w:rsidRPr="00176A23">
              <w:t>relevant legislation, regulations and related documentation relating to incident response situations</w:t>
            </w:r>
          </w:p>
          <w:p w:rsidR="00000000" w:rsidRPr="00176A23" w:rsidP="00176A23">
            <w:pPr>
              <w:pStyle w:val="ListBullet"/>
            </w:pPr>
            <w:r w:rsidRPr="00176A23">
              <w:t>quality assurance procedures</w:t>
            </w:r>
          </w:p>
          <w:p w:rsidR="00000000" w:rsidP="00176A23">
            <w:pPr>
              <w:pStyle w:val="ListBullet"/>
              <w:rPr>
                <w:lang w:val="en-NZ"/>
              </w:rPr>
            </w:pPr>
            <w:r w:rsidRPr="00176A23">
              <w:t>work instructions</w:t>
            </w:r>
          </w:p>
        </w:tc>
      </w:tr>
      <w:tr w:rsidTr="00176A23">
        <w:tblPrEx>
          <w:tblW w:w="9465" w:type="dxa"/>
          <w:tblLayout w:type="fixed"/>
          <w:tblCellMar>
            <w:left w:w="62" w:type="dxa"/>
            <w:right w:w="62" w:type="dxa"/>
          </w:tblCellMar>
          <w:tblLook w:val="0000"/>
        </w:tblPrEx>
        <w:trPr>
          <w:trHeight w:val="57"/>
        </w:trPr>
        <w:tc>
          <w:tcPr>
            <w:tcW w:w="3308" w:type="dxa"/>
            <w:tcBorders>
              <w:top w:val="nil"/>
              <w:left w:val="nil"/>
              <w:bottom w:val="nil"/>
              <w:right w:val="nil"/>
            </w:tcBorders>
            <w:tcMar>
              <w:top w:w="0" w:type="dxa"/>
              <w:left w:w="62" w:type="dxa"/>
              <w:bottom w:w="0" w:type="dxa"/>
              <w:right w:w="62" w:type="dxa"/>
            </w:tcMar>
          </w:tcPr>
          <w:p w:rsidR="00000000" w:rsidP="00176A23">
            <w:pPr>
              <w:pStyle w:val="BodyText"/>
              <w:rPr>
                <w:lang w:val="en-NZ"/>
              </w:rPr>
            </w:pPr>
            <w:r w:rsidRPr="00176A23">
              <w:rPr>
                <w:rStyle w:val="SpecialBold"/>
              </w:rPr>
              <w:t>Applicable regulations and legislation may include:</w:t>
            </w:r>
          </w:p>
        </w:tc>
        <w:tc>
          <w:tcPr>
            <w:tcW w:w="6157" w:type="dxa"/>
            <w:tcBorders>
              <w:top w:val="nil"/>
              <w:left w:val="nil"/>
              <w:bottom w:val="nil"/>
              <w:right w:val="nil"/>
            </w:tcBorders>
            <w:tcMar>
              <w:top w:w="0" w:type="dxa"/>
              <w:left w:w="62" w:type="dxa"/>
              <w:bottom w:w="0" w:type="dxa"/>
              <w:right w:w="62" w:type="dxa"/>
            </w:tcMar>
          </w:tcPr>
          <w:p w:rsidR="00000000" w:rsidRPr="00176A23" w:rsidP="00176A23">
            <w:pPr>
              <w:pStyle w:val="ListBullet"/>
            </w:pPr>
            <w:r w:rsidRPr="00176A23">
              <w:t>acts and regulations, including the Rail Safety Act</w:t>
            </w:r>
          </w:p>
          <w:p w:rsidR="00000000" w:rsidRPr="00176A23" w:rsidP="00176A23">
            <w:pPr>
              <w:pStyle w:val="ListBullet"/>
            </w:pPr>
            <w:r w:rsidRPr="00176A23">
              <w:t>re</w:t>
            </w:r>
            <w:r w:rsidRPr="00176A23">
              <w:t>levant state and territory legislation relating to:</w:t>
            </w:r>
          </w:p>
          <w:p w:rsidR="00000000" w:rsidRPr="00176A23" w:rsidP="00176A23">
            <w:pPr>
              <w:pStyle w:val="ListBullet2"/>
            </w:pPr>
            <w:r w:rsidRPr="00176A23">
              <w:t>environmental protection</w:t>
            </w:r>
          </w:p>
          <w:p w:rsidR="00000000" w:rsidRPr="00176A23" w:rsidP="00176A23">
            <w:pPr>
              <w:pStyle w:val="ListBullet2"/>
            </w:pPr>
            <w:r w:rsidRPr="00176A23">
              <w:t>OH&amp;S</w:t>
            </w:r>
          </w:p>
          <w:p w:rsidR="00000000" w:rsidRPr="00176A23" w:rsidP="00176A23">
            <w:pPr>
              <w:pStyle w:val="ListBullet2"/>
            </w:pPr>
            <w:r w:rsidRPr="00176A23">
              <w:t>rail safety</w:t>
            </w:r>
          </w:p>
          <w:p w:rsidR="00000000" w:rsidRPr="00176A23" w:rsidP="00176A23">
            <w:pPr>
              <w:pStyle w:val="ListBullet"/>
            </w:pPr>
            <w:r w:rsidRPr="00176A23">
              <w:t>emergency procedures regulations</w:t>
            </w:r>
          </w:p>
          <w:p w:rsidR="00000000" w:rsidRPr="00176A23" w:rsidP="00176A23">
            <w:pPr>
              <w:pStyle w:val="ListBullet"/>
            </w:pPr>
            <w:r w:rsidRPr="00176A23">
              <w:t>dangerous goods and hazardous materials regulations</w:t>
            </w:r>
          </w:p>
          <w:p w:rsidR="00000000" w:rsidRPr="00176A23" w:rsidP="00176A23">
            <w:pPr>
              <w:pStyle w:val="ListBullet"/>
            </w:pPr>
            <w:r w:rsidRPr="00176A23">
              <w:t>relevant Australian standards, codes of practice and guidance notes</w:t>
            </w:r>
          </w:p>
        </w:tc>
      </w:tr>
    </w:tbl>
    <w:p w:rsidR="00000000" w:rsidRPr="00176A23" w:rsidP="00176A23">
      <w:pPr>
        <w:pStyle w:val="BodyText"/>
      </w:pPr>
    </w:p>
    <w:p w:rsidR="00000000" w:rsidRPr="00176A23" w:rsidP="00176A23">
      <w:pPr>
        <w:pStyle w:val="AllowPageBreak"/>
      </w:pPr>
    </w:p>
    <w:p w:rsidR="00000000" w:rsidRPr="00176A23" w:rsidP="00176A23">
      <w:pPr>
        <w:pStyle w:val="Heading1"/>
      </w:pPr>
      <w:bookmarkStart w:id="12" w:name="O_357559"/>
      <w:bookmarkEnd w:id="12"/>
      <w:r w:rsidRPr="00176A23">
        <w:t>Unit Sector(s)</w:t>
      </w:r>
    </w:p>
    <w:p w:rsidR="00000000" w:rsidRPr="00176A23" w:rsidP="00176A23">
      <w:pPr>
        <w:pStyle w:val="BodyText"/>
      </w:pPr>
      <w:r w:rsidRPr="00176A23">
        <w:t>Not applicable.</w:t>
      </w:r>
    </w:p>
    <w:p w:rsidR="00000000" w:rsidRPr="00176A23" w:rsidP="00176A23">
      <w:pPr>
        <w:pStyle w:val="AllowPageBreak"/>
      </w:pPr>
    </w:p>
    <w:p w:rsidR="00000000" w:rsidRPr="00176A23" w:rsidP="00176A23">
      <w:pPr>
        <w:pStyle w:val="Heading1"/>
      </w:pPr>
      <w:bookmarkStart w:id="13" w:name="O_357560"/>
      <w:bookmarkEnd w:id="13"/>
      <w:r w:rsidRPr="00176A23">
        <w:t xml:space="preserve">Competency Field </w:t>
      </w:r>
    </w:p>
    <w:p w:rsidR="00000000" w:rsidRPr="00176A23" w:rsidP="00176A23">
      <w:pPr>
        <w:pStyle w:val="BodyText"/>
      </w:pPr>
      <w:r w:rsidRPr="00176A23">
        <w:t>F – Safety Management</w:t>
      </w:r>
    </w:p>
    <w:p w:rsidR="00000000" w:rsidRPr="00176A23" w:rsidP="00176A23"/>
    <w:sectPr w:rsidSect="00176A23">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76A2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7C1ADF" w:rsidP="007C1ADF">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76A2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C1ADF" w:rsidP="00176A23">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4</w:t>
    </w:r>
    <w:r>
      <w:rPr>
        <w:noProof/>
      </w:rPr>
      <w:fldChar w:fldCharType="end"/>
    </w:r>
  </w:p>
  <w:p w:rsidR="007C1ADF" w:rsidP="00176A23">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Transport &amp; Logistics Industry Skills Council</w:t>
    </w:r>
    <w:r>
      <w:fldChar w:fldCharType="end"/>
    </w:r>
  </w:p>
  <w:p w:rsidR="007C1ADF" w:rsidP="00176A23">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76A2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7C1ADF" w:rsidP="007C1ADF">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76A2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C1ADF" w:rsidP="00176A23">
    <w:pPr>
      <w:pStyle w:val="Header"/>
      <w:framePr w:wrap="around"/>
    </w:pPr>
    <w:r>
      <w:fldChar w:fldCharType="begin"/>
    </w:r>
    <w:r>
      <w:instrText xml:space="preserve"> TITLE   \* MERGEFORMAT </w:instrText>
    </w:r>
    <w:r>
      <w:fldChar w:fldCharType="separate"/>
    </w:r>
    <w:r>
      <w:t>TLIF3085A Apply local incident response procedures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7C1ADF" w:rsidP="00176A23">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B3462E5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788891E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3C34E8E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76A23"/>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176A23"/>
    <w:pPr>
      <w:spacing w:before="360" w:after="60"/>
      <w:outlineLvl w:val="0"/>
    </w:pPr>
    <w:rPr>
      <w:sz w:val="32"/>
    </w:rPr>
  </w:style>
  <w:style w:type="paragraph" w:styleId="Heading2">
    <w:name w:val="heading 2"/>
    <w:basedOn w:val="HeadingBase"/>
    <w:next w:val="BodyText"/>
    <w:link w:val="Heading2Char"/>
    <w:qFormat/>
    <w:rsid w:val="00176A23"/>
    <w:pPr>
      <w:keepLines/>
      <w:spacing w:before="240" w:after="120"/>
      <w:outlineLvl w:val="1"/>
    </w:pPr>
    <w:rPr>
      <w:sz w:val="28"/>
      <w:szCs w:val="40"/>
    </w:rPr>
  </w:style>
  <w:style w:type="paragraph" w:styleId="Heading3">
    <w:name w:val="heading 3"/>
    <w:basedOn w:val="HeadingBase"/>
    <w:next w:val="BodyText"/>
    <w:link w:val="Heading3Char"/>
    <w:qFormat/>
    <w:rsid w:val="00176A23"/>
    <w:pPr>
      <w:spacing w:before="180" w:after="120"/>
      <w:outlineLvl w:val="2"/>
    </w:pPr>
    <w:rPr>
      <w:spacing w:val="-10"/>
      <w:kern w:val="32"/>
    </w:rPr>
  </w:style>
  <w:style w:type="paragraph" w:styleId="Heading4">
    <w:name w:val="heading 4"/>
    <w:basedOn w:val="HeadingBase"/>
    <w:next w:val="BodyText"/>
    <w:link w:val="Heading4Char"/>
    <w:qFormat/>
    <w:rsid w:val="00176A23"/>
    <w:pPr>
      <w:spacing w:before="160" w:after="120"/>
      <w:outlineLvl w:val="3"/>
    </w:pPr>
    <w:rPr>
      <w:sz w:val="22"/>
    </w:rPr>
  </w:style>
  <w:style w:type="paragraph" w:styleId="Heading5">
    <w:name w:val="heading 5"/>
    <w:basedOn w:val="HeadingBase"/>
    <w:next w:val="Normal"/>
    <w:link w:val="Heading5Char"/>
    <w:qFormat/>
    <w:rsid w:val="00176A23"/>
    <w:pPr>
      <w:spacing w:before="80"/>
      <w:outlineLvl w:val="4"/>
    </w:pPr>
    <w:rPr>
      <w:color w:val="918585"/>
      <w:sz w:val="20"/>
    </w:rPr>
  </w:style>
  <w:style w:type="paragraph" w:styleId="Heading6">
    <w:name w:val="heading 6"/>
    <w:basedOn w:val="HeadingBase"/>
    <w:next w:val="Normal"/>
    <w:link w:val="Heading6Char"/>
    <w:qFormat/>
    <w:rsid w:val="00176A23"/>
    <w:pPr>
      <w:spacing w:before="60"/>
      <w:outlineLvl w:val="5"/>
    </w:pPr>
    <w:rPr>
      <w:color w:val="918585"/>
      <w:sz w:val="20"/>
    </w:rPr>
  </w:style>
  <w:style w:type="paragraph" w:styleId="Heading7">
    <w:name w:val="heading 7"/>
    <w:basedOn w:val="Normal"/>
    <w:next w:val="Normal"/>
    <w:link w:val="Heading7Char"/>
    <w:qFormat/>
    <w:rsid w:val="00176A23"/>
    <w:pPr>
      <w:ind w:left="720"/>
      <w:outlineLvl w:val="6"/>
    </w:pPr>
    <w:rPr>
      <w:i/>
    </w:rPr>
  </w:style>
  <w:style w:type="paragraph" w:styleId="Heading8">
    <w:name w:val="heading 8"/>
    <w:basedOn w:val="Normal"/>
    <w:next w:val="Normal"/>
    <w:link w:val="Heading8Char"/>
    <w:qFormat/>
    <w:rsid w:val="00176A23"/>
    <w:pPr>
      <w:ind w:left="720"/>
      <w:outlineLvl w:val="7"/>
    </w:pPr>
    <w:rPr>
      <w:i/>
    </w:rPr>
  </w:style>
  <w:style w:type="paragraph" w:styleId="Heading9">
    <w:name w:val="heading 9"/>
    <w:basedOn w:val="Normal"/>
    <w:next w:val="Normal"/>
    <w:link w:val="Heading9Char"/>
    <w:qFormat/>
    <w:rsid w:val="00176A23"/>
    <w:pPr>
      <w:ind w:left="720"/>
      <w:outlineLvl w:val="8"/>
    </w:pPr>
    <w:rPr>
      <w:i/>
    </w:rPr>
  </w:style>
  <w:style w:type="character" w:default="1" w:styleId="DefaultParagraphFont">
    <w:name w:val="Default Paragraph Font"/>
    <w:uiPriority w:val="1"/>
    <w:unhideWhenUsed/>
    <w:rsid w:val="00176A2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76A23"/>
  </w:style>
  <w:style w:type="character" w:customStyle="1" w:styleId="Heading1Char">
    <w:name w:val="Heading 1 Char"/>
    <w:basedOn w:val="DefaultParagraphFont"/>
    <w:link w:val="Heading1"/>
    <w:rsid w:val="00176A23"/>
    <w:rPr>
      <w:rFonts w:ascii="Times New Roman" w:eastAsia="Times New Roman" w:hAnsi="Times New Roman" w:cs="Times New Roman"/>
      <w:b/>
      <w:sz w:val="32"/>
      <w:szCs w:val="20"/>
      <w:lang w:eastAsia="en-US"/>
    </w:rPr>
  </w:style>
  <w:style w:type="paragraph" w:styleId="BodyText">
    <w:name w:val="Body Text"/>
    <w:basedOn w:val="Normal"/>
    <w:link w:val="BodyTextChar"/>
    <w:rsid w:val="00176A23"/>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176A23"/>
    <w:rPr>
      <w:rFonts w:ascii="Times New Roman" w:eastAsia="Times New Roman" w:hAnsi="Times New Roman" w:cs="Times New Roman"/>
      <w:sz w:val="24"/>
      <w:lang w:val="en-US" w:eastAsia="en-US"/>
    </w:rPr>
  </w:style>
  <w:style w:type="paragraph" w:styleId="Footer">
    <w:name w:val="footer"/>
    <w:basedOn w:val="Normal"/>
    <w:link w:val="FooterChar"/>
    <w:rsid w:val="00176A2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76A23"/>
    <w:rPr>
      <w:rFonts w:ascii="Times New Roman" w:eastAsia="Times New Roman" w:hAnsi="Times New Roman" w:cs="Times New Roman"/>
      <w:sz w:val="16"/>
      <w:lang w:val="en-US" w:eastAsia="en-US"/>
    </w:rPr>
  </w:style>
  <w:style w:type="paragraph" w:styleId="ListBullet">
    <w:name w:val="List Bullet"/>
    <w:basedOn w:val="List"/>
    <w:rsid w:val="00176A23"/>
    <w:pPr>
      <w:numPr>
        <w:numId w:val="13"/>
      </w:numPr>
      <w:tabs>
        <w:tab w:val="clear" w:pos="340"/>
      </w:tabs>
      <w:spacing w:before="40" w:after="40"/>
    </w:pPr>
  </w:style>
  <w:style w:type="character" w:customStyle="1" w:styleId="SpecialBold">
    <w:name w:val="Special Bold"/>
    <w:basedOn w:val="DefaultParagraphFont"/>
    <w:rsid w:val="00176A23"/>
    <w:rPr>
      <w:b/>
      <w:spacing w:val="0"/>
    </w:rPr>
  </w:style>
  <w:style w:type="paragraph" w:styleId="ListBullet2">
    <w:name w:val="List Bullet 2"/>
    <w:basedOn w:val="List2"/>
    <w:rsid w:val="00176A23"/>
    <w:pPr>
      <w:numPr>
        <w:numId w:val="14"/>
      </w:numPr>
      <w:tabs>
        <w:tab w:val="clear" w:pos="680"/>
      </w:tabs>
    </w:pPr>
  </w:style>
  <w:style w:type="paragraph" w:styleId="Header">
    <w:name w:val="header"/>
    <w:basedOn w:val="Normal"/>
    <w:link w:val="HeaderChar"/>
    <w:rsid w:val="00176A2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76A23"/>
    <w:rPr>
      <w:rFonts w:ascii="Times New Roman" w:eastAsia="Times New Roman" w:hAnsi="Times New Roman" w:cs="Times New Roman"/>
      <w:sz w:val="16"/>
      <w:szCs w:val="20"/>
      <w:lang w:val="en-GB" w:eastAsia="en-US"/>
    </w:rPr>
  </w:style>
  <w:style w:type="paragraph" w:customStyle="1" w:styleId="SuperHeading">
    <w:name w:val="SuperHeading"/>
    <w:basedOn w:val="Normal"/>
    <w:rsid w:val="00176A23"/>
    <w:pPr>
      <w:spacing w:before="240" w:after="120"/>
      <w:outlineLvl w:val="0"/>
    </w:pPr>
    <w:rPr>
      <w:rFonts w:ascii="Times New Roman" w:hAnsi="Times New Roman"/>
      <w:b/>
      <w:sz w:val="28"/>
    </w:rPr>
  </w:style>
  <w:style w:type="paragraph" w:customStyle="1" w:styleId="AllowPageBreak">
    <w:name w:val="AllowPageBreak"/>
    <w:rsid w:val="00176A23"/>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176A23"/>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76A23"/>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76A23"/>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76A23"/>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76A2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76A23"/>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176A23"/>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176A23"/>
    <w:rPr>
      <w:rFonts w:ascii="Courier New" w:eastAsia="Times New Roman" w:hAnsi="Courier New" w:cs="Times New Roman"/>
      <w:i/>
      <w:szCs w:val="20"/>
      <w:lang w:val="en-US" w:eastAsia="en-US"/>
    </w:rPr>
  </w:style>
  <w:style w:type="paragraph" w:customStyle="1" w:styleId="HeadingBase">
    <w:name w:val="Heading Base"/>
    <w:rsid w:val="00176A2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76A23"/>
    <w:pPr>
      <w:tabs>
        <w:tab w:val="right" w:leader="dot" w:pos="9072"/>
      </w:tabs>
      <w:ind w:left="567"/>
    </w:pPr>
    <w:rPr>
      <w:szCs w:val="22"/>
    </w:rPr>
  </w:style>
  <w:style w:type="paragraph" w:customStyle="1" w:styleId="TOCBase">
    <w:name w:val="TOC Base"/>
    <w:rsid w:val="00176A2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76A23"/>
    <w:pPr>
      <w:tabs>
        <w:tab w:val="right" w:leader="dot" w:pos="9072"/>
      </w:tabs>
      <w:spacing w:before="40" w:after="40"/>
      <w:ind w:left="284"/>
    </w:pPr>
    <w:rPr>
      <w:rFonts w:ascii="Times New Roman" w:hAnsi="Times New Roman"/>
    </w:rPr>
  </w:style>
  <w:style w:type="paragraph" w:styleId="TOC1">
    <w:name w:val="toc 1"/>
    <w:basedOn w:val="TOCBase"/>
    <w:next w:val="Normal"/>
    <w:rsid w:val="00176A23"/>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176A23"/>
    <w:pPr>
      <w:spacing w:before="5040"/>
      <w:jc w:val="center"/>
    </w:pPr>
    <w:rPr>
      <w:sz w:val="48"/>
      <w:szCs w:val="72"/>
      <w:lang w:val="en-US"/>
    </w:rPr>
  </w:style>
  <w:style w:type="character" w:customStyle="1" w:styleId="TitleChar">
    <w:name w:val="Title Char"/>
    <w:basedOn w:val="DefaultParagraphFont"/>
    <w:link w:val="Title"/>
    <w:rsid w:val="00176A2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76A23"/>
    <w:pPr>
      <w:tabs>
        <w:tab w:val="left" w:pos="3600"/>
        <w:tab w:val="left" w:pos="3958"/>
      </w:tabs>
    </w:pPr>
  </w:style>
  <w:style w:type="paragraph" w:styleId="List">
    <w:name w:val="List"/>
    <w:basedOn w:val="BodyText"/>
    <w:next w:val="BodyText"/>
    <w:rsid w:val="00176A23"/>
    <w:pPr>
      <w:tabs>
        <w:tab w:val="left" w:pos="340"/>
      </w:tabs>
      <w:spacing w:before="60" w:after="60"/>
      <w:ind w:left="340" w:hanging="340"/>
    </w:pPr>
  </w:style>
  <w:style w:type="paragraph" w:customStyle="1" w:styleId="Note">
    <w:name w:val="Note"/>
    <w:basedOn w:val="BodyText"/>
    <w:rsid w:val="00176A23"/>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176A23"/>
    <w:pPr>
      <w:framePr w:wrap="auto" w:hAnchor="text" w:y="6049"/>
    </w:pPr>
    <w:rPr>
      <w:color w:val="000000"/>
      <w:sz w:val="40"/>
    </w:rPr>
  </w:style>
  <w:style w:type="paragraph" w:customStyle="1" w:styleId="TOCTitle">
    <w:name w:val="TOCTitle"/>
    <w:basedOn w:val="Heading1"/>
    <w:rsid w:val="00176A23"/>
    <w:pPr>
      <w:spacing w:after="240"/>
      <w:jc w:val="center"/>
      <w:outlineLvl w:val="9"/>
    </w:pPr>
    <w:rPr>
      <w:caps/>
    </w:rPr>
  </w:style>
  <w:style w:type="paragraph" w:customStyle="1" w:styleId="Version">
    <w:name w:val="Version"/>
    <w:rsid w:val="00176A23"/>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176A23"/>
    <w:pPr>
      <w:keepNext w:val="0"/>
      <w:tabs>
        <w:tab w:val="right" w:pos="4176"/>
      </w:tabs>
      <w:ind w:left="198" w:hanging="198"/>
    </w:pPr>
    <w:rPr>
      <w:rFonts w:ascii="Garamond" w:hAnsi="Garamond"/>
    </w:rPr>
  </w:style>
  <w:style w:type="paragraph" w:styleId="IndexHeading">
    <w:name w:val="index heading"/>
    <w:basedOn w:val="Normal"/>
    <w:next w:val="Index1"/>
    <w:semiHidden/>
    <w:rsid w:val="00176A23"/>
    <w:pPr>
      <w:spacing w:before="120" w:after="120"/>
    </w:pPr>
    <w:rPr>
      <w:rFonts w:ascii="Arial" w:hAnsi="Arial"/>
      <w:b/>
      <w:color w:val="918585"/>
      <w:sz w:val="24"/>
    </w:rPr>
  </w:style>
  <w:style w:type="paragraph" w:customStyle="1" w:styleId="Chapter">
    <w:name w:val="Chapter"/>
    <w:basedOn w:val="Normal"/>
    <w:rsid w:val="00176A23"/>
    <w:pPr>
      <w:spacing w:before="240"/>
    </w:pPr>
    <w:rPr>
      <w:rFonts w:ascii="Times New Roman" w:hAnsi="Times New Roman"/>
      <w:smallCaps/>
      <w:spacing w:val="80"/>
      <w:sz w:val="28"/>
    </w:rPr>
  </w:style>
  <w:style w:type="paragraph" w:customStyle="1" w:styleId="InChapter">
    <w:name w:val="InChapter"/>
    <w:basedOn w:val="Heading3"/>
    <w:rsid w:val="00176A23"/>
    <w:pPr>
      <w:spacing w:after="240"/>
      <w:outlineLvl w:val="9"/>
    </w:pPr>
    <w:rPr>
      <w:noProof/>
    </w:rPr>
  </w:style>
  <w:style w:type="paragraph" w:styleId="Index2">
    <w:name w:val="index 2"/>
    <w:basedOn w:val="Normal"/>
    <w:next w:val="Normal"/>
    <w:semiHidden/>
    <w:rsid w:val="00176A23"/>
    <w:pPr>
      <w:tabs>
        <w:tab w:val="right" w:pos="4176"/>
      </w:tabs>
      <w:ind w:left="568" w:hanging="284"/>
    </w:pPr>
    <w:rPr>
      <w:rFonts w:ascii="Garamond" w:hAnsi="Garamond"/>
    </w:rPr>
  </w:style>
  <w:style w:type="paragraph" w:customStyle="1" w:styleId="Byline">
    <w:name w:val="Byline"/>
    <w:rsid w:val="00176A2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76A23"/>
    <w:pPr>
      <w:tabs>
        <w:tab w:val="clear" w:pos="3600"/>
        <w:tab w:val="clear" w:pos="3958"/>
      </w:tabs>
      <w:jc w:val="right"/>
    </w:pPr>
  </w:style>
  <w:style w:type="character" w:styleId="Emphasis">
    <w:name w:val="Emphasis"/>
    <w:basedOn w:val="DefaultParagraphFont"/>
    <w:qFormat/>
    <w:rsid w:val="00176A23"/>
    <w:rPr>
      <w:i/>
    </w:rPr>
  </w:style>
  <w:style w:type="paragraph" w:styleId="Caption">
    <w:name w:val="caption"/>
    <w:basedOn w:val="BodyText"/>
    <w:next w:val="Normal"/>
    <w:qFormat/>
    <w:rsid w:val="00176A23"/>
    <w:pPr>
      <w:framePr w:w="2268" w:hSpace="181" w:vSpace="181" w:wrap="around" w:vAnchor="text" w:hAnchor="page" w:x="1135" w:y="285" w:anchorLock="1"/>
    </w:pPr>
    <w:rPr>
      <w:i/>
    </w:rPr>
  </w:style>
  <w:style w:type="paragraph" w:customStyle="1" w:styleId="MiniTOCTitle">
    <w:name w:val="MiniTOCTitle"/>
    <w:basedOn w:val="Heading4"/>
    <w:rsid w:val="00176A23"/>
    <w:pPr>
      <w:spacing w:before="240"/>
      <w:outlineLvl w:val="9"/>
    </w:pPr>
    <w:rPr>
      <w:noProof/>
      <w:sz w:val="24"/>
    </w:rPr>
  </w:style>
  <w:style w:type="paragraph" w:customStyle="1" w:styleId="MiniTOCItem">
    <w:name w:val="MiniTOCItem"/>
    <w:basedOn w:val="ListBullet"/>
    <w:rsid w:val="00176A23"/>
    <w:pPr>
      <w:numPr>
        <w:numId w:val="0"/>
      </w:numPr>
      <w:tabs>
        <w:tab w:val="right" w:leader="dot" w:pos="6521"/>
      </w:tabs>
      <w:spacing w:before="0" w:after="0"/>
    </w:pPr>
  </w:style>
  <w:style w:type="paragraph" w:customStyle="1" w:styleId="TOFTitle">
    <w:name w:val="TOFTitle"/>
    <w:basedOn w:val="TOCTitle"/>
    <w:rsid w:val="00176A23"/>
  </w:style>
  <w:style w:type="paragraph" w:styleId="TableofFigures">
    <w:name w:val="table of figures"/>
    <w:basedOn w:val="Normal"/>
    <w:next w:val="Normal"/>
    <w:semiHidden/>
    <w:rsid w:val="00176A23"/>
    <w:pPr>
      <w:tabs>
        <w:tab w:val="right" w:leader="dot" w:pos="9072"/>
      </w:tabs>
      <w:ind w:left="970" w:hanging="403"/>
    </w:pPr>
    <w:rPr>
      <w:rFonts w:ascii="Times New Roman" w:hAnsi="Times New Roman"/>
      <w:b/>
    </w:rPr>
  </w:style>
  <w:style w:type="paragraph" w:styleId="ListNumber">
    <w:name w:val="List Number"/>
    <w:basedOn w:val="List"/>
    <w:rsid w:val="00176A23"/>
    <w:pPr>
      <w:numPr>
        <w:numId w:val="11"/>
      </w:numPr>
    </w:pPr>
  </w:style>
  <w:style w:type="character" w:customStyle="1" w:styleId="WingdingSymbols">
    <w:name w:val="Wingding Symbols"/>
    <w:rsid w:val="00176A23"/>
    <w:rPr>
      <w:rFonts w:ascii="Wingdings" w:hAnsi="Wingdings"/>
    </w:rPr>
  </w:style>
  <w:style w:type="paragraph" w:customStyle="1" w:styleId="TableHeading">
    <w:name w:val="Table Heading"/>
    <w:basedOn w:val="HeadingBase"/>
    <w:rsid w:val="00176A23"/>
    <w:pPr>
      <w:keepLines/>
      <w:pBdr>
        <w:bottom w:val="single" w:sz="6" w:space="1" w:color="918585"/>
      </w:pBdr>
      <w:spacing w:before="240"/>
    </w:pPr>
  </w:style>
  <w:style w:type="character" w:customStyle="1" w:styleId="HotSpot">
    <w:name w:val="HotSpot"/>
    <w:rsid w:val="00176A23"/>
    <w:rPr>
      <w:color w:val="0033CC"/>
      <w:u w:val="none"/>
    </w:rPr>
  </w:style>
  <w:style w:type="paragraph" w:customStyle="1" w:styleId="BodyTextRight">
    <w:name w:val="Body Text Right"/>
    <w:basedOn w:val="BodyText"/>
    <w:rsid w:val="00176A23"/>
    <w:pPr>
      <w:spacing w:before="0" w:after="0"/>
      <w:jc w:val="right"/>
    </w:pPr>
  </w:style>
  <w:style w:type="paragraph" w:styleId="Index3">
    <w:name w:val="index 3"/>
    <w:basedOn w:val="ListNumber2"/>
    <w:next w:val="Normal"/>
    <w:semiHidden/>
    <w:rsid w:val="00176A23"/>
    <w:pPr>
      <w:numPr>
        <w:numId w:val="0"/>
      </w:numPr>
      <w:tabs>
        <w:tab w:val="right" w:leader="dot" w:pos="4176"/>
      </w:tabs>
    </w:pPr>
  </w:style>
  <w:style w:type="paragraph" w:styleId="ListNumber2">
    <w:name w:val="List Number 2"/>
    <w:basedOn w:val="List2"/>
    <w:rsid w:val="00176A23"/>
    <w:pPr>
      <w:numPr>
        <w:numId w:val="10"/>
      </w:numPr>
      <w:tabs>
        <w:tab w:val="clear" w:pos="1060"/>
      </w:tabs>
    </w:pPr>
  </w:style>
  <w:style w:type="paragraph" w:customStyle="1" w:styleId="MarginNote">
    <w:name w:val="Margin Note"/>
    <w:basedOn w:val="BodyText"/>
    <w:rsid w:val="00176A2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76A2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76A23"/>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176A23"/>
    <w:rPr>
      <w:sz w:val="32"/>
    </w:rPr>
  </w:style>
  <w:style w:type="paragraph" w:customStyle="1" w:styleId="HeadingProcedure">
    <w:name w:val="Heading Procedure"/>
    <w:basedOn w:val="HeadingBase"/>
    <w:next w:val="Normal"/>
    <w:rsid w:val="00176A23"/>
    <w:pPr>
      <w:tabs>
        <w:tab w:val="left" w:pos="0"/>
      </w:tabs>
      <w:spacing w:before="120" w:after="60"/>
    </w:pPr>
    <w:rPr>
      <w:i/>
      <w:color w:val="918585"/>
      <w:sz w:val="22"/>
    </w:rPr>
  </w:style>
  <w:style w:type="paragraph" w:customStyle="1" w:styleId="TableBodyText">
    <w:name w:val="Table Body Text"/>
    <w:basedOn w:val="BodyText"/>
    <w:rsid w:val="00176A23"/>
    <w:pPr>
      <w:spacing w:before="60" w:after="60"/>
    </w:pPr>
  </w:style>
  <w:style w:type="paragraph" w:styleId="ListContinue">
    <w:name w:val="List Continue"/>
    <w:basedOn w:val="List"/>
    <w:rsid w:val="00176A23"/>
    <w:pPr>
      <w:ind w:firstLine="0"/>
    </w:pPr>
  </w:style>
  <w:style w:type="paragraph" w:customStyle="1" w:styleId="ListNote">
    <w:name w:val="List Note"/>
    <w:basedOn w:val="List"/>
    <w:rsid w:val="00176A23"/>
    <w:pPr>
      <w:pBdr>
        <w:top w:val="single" w:sz="6" w:space="2" w:color="918585"/>
        <w:bottom w:val="single" w:sz="6" w:space="2" w:color="918585"/>
      </w:pBdr>
      <w:tabs>
        <w:tab w:val="left" w:pos="1021"/>
      </w:tabs>
      <w:ind w:firstLine="0"/>
    </w:pPr>
  </w:style>
  <w:style w:type="paragraph" w:customStyle="1" w:styleId="Warning">
    <w:name w:val="Warning"/>
    <w:basedOn w:val="BodyText"/>
    <w:rsid w:val="00176A23"/>
    <w:pPr>
      <w:shd w:val="clear" w:color="auto" w:fill="D9D9D9"/>
      <w:tabs>
        <w:tab w:val="left" w:pos="992"/>
      </w:tabs>
      <w:ind w:left="119" w:right="119"/>
    </w:pPr>
    <w:rPr>
      <w:sz w:val="20"/>
    </w:rPr>
  </w:style>
  <w:style w:type="paragraph" w:customStyle="1" w:styleId="MarginIcons">
    <w:name w:val="Margin Icons"/>
    <w:basedOn w:val="BodyText"/>
    <w:rsid w:val="00176A23"/>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76A23"/>
    <w:rPr>
      <w:rFonts w:ascii="Courier New" w:hAnsi="Courier New"/>
    </w:rPr>
  </w:style>
  <w:style w:type="paragraph" w:customStyle="1" w:styleId="NoteBullet">
    <w:name w:val="Note Bullet"/>
    <w:basedOn w:val="Note"/>
    <w:rsid w:val="00176A23"/>
    <w:pPr>
      <w:tabs>
        <w:tab w:val="clear" w:pos="680"/>
      </w:tabs>
      <w:spacing w:before="60" w:after="60"/>
    </w:pPr>
  </w:style>
  <w:style w:type="paragraph" w:customStyle="1" w:styleId="SubHeading2">
    <w:name w:val="SubHeading2"/>
    <w:basedOn w:val="HeadingBase"/>
    <w:rsid w:val="00176A23"/>
    <w:pPr>
      <w:spacing w:before="240" w:after="60"/>
    </w:pPr>
    <w:rPr>
      <w:sz w:val="20"/>
    </w:rPr>
  </w:style>
  <w:style w:type="paragraph" w:customStyle="1" w:styleId="SubHeading1">
    <w:name w:val="SubHeading1"/>
    <w:basedOn w:val="HeadingBase"/>
    <w:rsid w:val="00176A23"/>
    <w:pPr>
      <w:spacing w:before="240" w:after="60"/>
    </w:pPr>
    <w:rPr>
      <w:color w:val="918585"/>
      <w:sz w:val="22"/>
    </w:rPr>
  </w:style>
  <w:style w:type="paragraph" w:customStyle="1" w:styleId="SideHeading">
    <w:name w:val="Side Heading"/>
    <w:basedOn w:val="HeadingBase"/>
    <w:rsid w:val="00176A2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76A23"/>
    <w:pPr>
      <w:numPr>
        <w:numId w:val="12"/>
      </w:numPr>
    </w:pPr>
  </w:style>
  <w:style w:type="paragraph" w:styleId="PlainText">
    <w:name w:val="Plain Text"/>
    <w:basedOn w:val="Normal"/>
    <w:link w:val="PlainTextChar"/>
    <w:rsid w:val="00176A23"/>
    <w:rPr>
      <w:sz w:val="20"/>
    </w:rPr>
  </w:style>
  <w:style w:type="character" w:customStyle="1" w:styleId="PlainTextChar">
    <w:name w:val="Plain Text Char"/>
    <w:basedOn w:val="DefaultParagraphFont"/>
    <w:link w:val="PlainText"/>
    <w:rsid w:val="00176A23"/>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176A23"/>
    <w:rPr>
      <w:b/>
      <w:smallCaps/>
    </w:rPr>
  </w:style>
  <w:style w:type="paragraph" w:customStyle="1" w:styleId="TableListNumber">
    <w:name w:val="Table List Number"/>
    <w:basedOn w:val="ListNumber"/>
    <w:rsid w:val="00176A23"/>
    <w:pPr>
      <w:numPr>
        <w:numId w:val="0"/>
      </w:numPr>
    </w:pPr>
  </w:style>
  <w:style w:type="paragraph" w:styleId="TOC4">
    <w:name w:val="toc 4"/>
    <w:basedOn w:val="TOCBase"/>
    <w:next w:val="Normal"/>
    <w:semiHidden/>
    <w:rsid w:val="00176A23"/>
    <w:pPr>
      <w:tabs>
        <w:tab w:val="right" w:leader="dot" w:pos="9071"/>
      </w:tabs>
      <w:ind w:left="1701"/>
    </w:pPr>
  </w:style>
  <w:style w:type="paragraph" w:customStyle="1" w:styleId="ListAlpha">
    <w:name w:val="List Alpha"/>
    <w:basedOn w:val="List"/>
    <w:rsid w:val="00176A23"/>
    <w:pPr>
      <w:numPr>
        <w:numId w:val="9"/>
      </w:numPr>
    </w:pPr>
  </w:style>
  <w:style w:type="paragraph" w:customStyle="1" w:styleId="ListAlpha2">
    <w:name w:val="List Alpha 2"/>
    <w:basedOn w:val="List2"/>
    <w:rsid w:val="00176A23"/>
    <w:pPr>
      <w:numPr>
        <w:numId w:val="8"/>
      </w:numPr>
    </w:pPr>
  </w:style>
  <w:style w:type="paragraph" w:styleId="List2">
    <w:name w:val="List 2"/>
    <w:basedOn w:val="BodyText"/>
    <w:rsid w:val="00176A23"/>
    <w:pPr>
      <w:tabs>
        <w:tab w:val="left" w:pos="680"/>
      </w:tabs>
      <w:spacing w:before="60" w:after="60"/>
      <w:ind w:left="680" w:hanging="340"/>
    </w:pPr>
  </w:style>
  <w:style w:type="paragraph" w:styleId="List3">
    <w:name w:val="List 3"/>
    <w:basedOn w:val="BodyText"/>
    <w:rsid w:val="00176A23"/>
    <w:pPr>
      <w:tabs>
        <w:tab w:val="left" w:pos="1021"/>
      </w:tabs>
      <w:spacing w:before="60" w:after="60"/>
      <w:ind w:left="1020" w:hanging="340"/>
    </w:pPr>
  </w:style>
  <w:style w:type="paragraph" w:styleId="List4">
    <w:name w:val="List 4"/>
    <w:basedOn w:val="BodyText"/>
    <w:rsid w:val="00176A23"/>
    <w:pPr>
      <w:tabs>
        <w:tab w:val="left" w:pos="1361"/>
      </w:tabs>
      <w:spacing w:before="60" w:after="60"/>
      <w:ind w:left="1361" w:hanging="340"/>
    </w:pPr>
  </w:style>
  <w:style w:type="paragraph" w:styleId="List5">
    <w:name w:val="List 5"/>
    <w:basedOn w:val="BodyText"/>
    <w:rsid w:val="00176A23"/>
    <w:pPr>
      <w:tabs>
        <w:tab w:val="left" w:pos="1701"/>
      </w:tabs>
      <w:spacing w:before="60" w:after="60"/>
      <w:ind w:left="1701" w:hanging="340"/>
    </w:pPr>
  </w:style>
  <w:style w:type="paragraph" w:styleId="ListBullet3">
    <w:name w:val="List Bullet 3"/>
    <w:basedOn w:val="List3"/>
    <w:rsid w:val="00176A23"/>
    <w:pPr>
      <w:numPr>
        <w:numId w:val="15"/>
      </w:numPr>
      <w:tabs>
        <w:tab w:val="clear" w:pos="1021"/>
      </w:tabs>
      <w:ind w:left="1037" w:hanging="357"/>
    </w:pPr>
  </w:style>
  <w:style w:type="paragraph" w:styleId="ListBullet4">
    <w:name w:val="List Bullet 4"/>
    <w:basedOn w:val="List4"/>
    <w:rsid w:val="00176A23"/>
    <w:pPr>
      <w:numPr>
        <w:numId w:val="3"/>
      </w:numPr>
    </w:pPr>
  </w:style>
  <w:style w:type="paragraph" w:styleId="ListBullet5">
    <w:name w:val="List Bullet 5"/>
    <w:basedOn w:val="List5"/>
    <w:rsid w:val="00176A23"/>
    <w:pPr>
      <w:numPr>
        <w:numId w:val="4"/>
      </w:numPr>
    </w:pPr>
  </w:style>
  <w:style w:type="paragraph" w:styleId="ListContinue2">
    <w:name w:val="List Continue 2"/>
    <w:basedOn w:val="List2"/>
    <w:rsid w:val="00176A23"/>
    <w:pPr>
      <w:ind w:firstLine="0"/>
    </w:pPr>
  </w:style>
  <w:style w:type="paragraph" w:styleId="ListContinue3">
    <w:name w:val="List Continue 3"/>
    <w:basedOn w:val="List3"/>
    <w:rsid w:val="00176A23"/>
    <w:pPr>
      <w:ind w:left="1021" w:firstLine="0"/>
    </w:pPr>
  </w:style>
  <w:style w:type="paragraph" w:styleId="ListContinue4">
    <w:name w:val="List Continue 4"/>
    <w:basedOn w:val="List4"/>
    <w:rsid w:val="00176A23"/>
    <w:pPr>
      <w:ind w:firstLine="0"/>
    </w:pPr>
  </w:style>
  <w:style w:type="paragraph" w:styleId="ListContinue5">
    <w:name w:val="List Continue 5"/>
    <w:basedOn w:val="List5"/>
    <w:rsid w:val="00176A23"/>
    <w:pPr>
      <w:ind w:firstLine="0"/>
    </w:pPr>
  </w:style>
  <w:style w:type="paragraph" w:styleId="ListNumber3">
    <w:name w:val="List Number 3"/>
    <w:basedOn w:val="List3"/>
    <w:rsid w:val="00176A23"/>
    <w:pPr>
      <w:numPr>
        <w:numId w:val="5"/>
      </w:numPr>
    </w:pPr>
  </w:style>
  <w:style w:type="paragraph" w:styleId="ListNumber4">
    <w:name w:val="List Number 4"/>
    <w:basedOn w:val="List4"/>
    <w:rsid w:val="00176A23"/>
    <w:pPr>
      <w:numPr>
        <w:numId w:val="6"/>
      </w:numPr>
    </w:pPr>
  </w:style>
  <w:style w:type="paragraph" w:styleId="ListNumber5">
    <w:name w:val="List Number 5"/>
    <w:basedOn w:val="List5"/>
    <w:rsid w:val="00176A23"/>
    <w:pPr>
      <w:numPr>
        <w:numId w:val="7"/>
      </w:numPr>
    </w:pPr>
  </w:style>
  <w:style w:type="paragraph" w:styleId="BlockText">
    <w:name w:val="Block Text"/>
    <w:basedOn w:val="Normal"/>
    <w:rsid w:val="00176A23"/>
    <w:pPr>
      <w:spacing w:after="120"/>
      <w:ind w:left="1440" w:right="1440"/>
    </w:pPr>
  </w:style>
  <w:style w:type="character" w:customStyle="1" w:styleId="Subscript">
    <w:name w:val="Subscript"/>
    <w:basedOn w:val="DefaultParagraphFont"/>
    <w:rsid w:val="00176A23"/>
    <w:rPr>
      <w:sz w:val="16"/>
      <w:vertAlign w:val="subscript"/>
    </w:rPr>
  </w:style>
  <w:style w:type="character" w:customStyle="1" w:styleId="Superscript">
    <w:name w:val="Superscript"/>
    <w:basedOn w:val="DefaultParagraphFont"/>
    <w:rsid w:val="00176A23"/>
    <w:rPr>
      <w:sz w:val="16"/>
      <w:vertAlign w:val="superscript"/>
    </w:rPr>
  </w:style>
  <w:style w:type="character" w:customStyle="1" w:styleId="Symbols">
    <w:name w:val="Symbols"/>
    <w:basedOn w:val="DefaultParagraphFont"/>
    <w:rsid w:val="00176A23"/>
    <w:rPr>
      <w:rFonts w:ascii="Symbol" w:hAnsi="Symbol"/>
    </w:rPr>
  </w:style>
  <w:style w:type="character" w:customStyle="1" w:styleId="MenuOptions">
    <w:name w:val="Menu Options"/>
    <w:basedOn w:val="DefaultParagraphFont"/>
    <w:rsid w:val="00176A23"/>
    <w:rPr>
      <w:rFonts w:ascii="Arial Narrow" w:hAnsi="Arial Narrow"/>
      <w:smallCaps/>
    </w:rPr>
  </w:style>
  <w:style w:type="character" w:customStyle="1" w:styleId="Buttons">
    <w:name w:val="Buttons"/>
    <w:basedOn w:val="DefaultParagraphFont"/>
    <w:rsid w:val="00176A23"/>
    <w:rPr>
      <w:b/>
    </w:rPr>
  </w:style>
  <w:style w:type="character" w:customStyle="1" w:styleId="Underlined">
    <w:name w:val="Underlined"/>
    <w:basedOn w:val="DefaultParagraphFont"/>
    <w:rsid w:val="00176A23"/>
    <w:rPr>
      <w:u w:val="single"/>
    </w:rPr>
  </w:style>
  <w:style w:type="paragraph" w:customStyle="1" w:styleId="TableBodyTextRight">
    <w:name w:val="Table Body Text Right"/>
    <w:basedOn w:val="TableBodyText"/>
    <w:rsid w:val="00176A23"/>
    <w:pPr>
      <w:widowControl w:val="0"/>
      <w:autoSpaceDE w:val="0"/>
      <w:autoSpaceDN w:val="0"/>
      <w:adjustRightInd w:val="0"/>
      <w:jc w:val="right"/>
    </w:pPr>
    <w:rPr>
      <w:rFonts w:cs="Arial"/>
      <w:szCs w:val="18"/>
    </w:rPr>
  </w:style>
  <w:style w:type="paragraph" w:customStyle="1" w:styleId="CopyrightText">
    <w:name w:val="Copyright Text"/>
    <w:basedOn w:val="BodyText"/>
    <w:rsid w:val="00176A23"/>
    <w:rPr>
      <w:sz w:val="18"/>
    </w:rPr>
  </w:style>
  <w:style w:type="paragraph" w:customStyle="1" w:styleId="BodySmallRight">
    <w:name w:val="Body Small Right"/>
    <w:basedOn w:val="BodyTextRight"/>
    <w:rsid w:val="00176A23"/>
    <w:rPr>
      <w:sz w:val="18"/>
      <w:szCs w:val="18"/>
    </w:rPr>
  </w:style>
  <w:style w:type="paragraph" w:customStyle="1" w:styleId="MarginEdition">
    <w:name w:val="Margin Edition"/>
    <w:basedOn w:val="MarginNote"/>
    <w:rsid w:val="00176A23"/>
    <w:pPr>
      <w:spacing w:before="0" w:after="0"/>
    </w:pPr>
    <w:rPr>
      <w:rFonts w:ascii="Times New Roman" w:hAnsi="Times New Roman"/>
      <w:color w:val="999999"/>
    </w:rPr>
  </w:style>
  <w:style w:type="paragraph" w:customStyle="1" w:styleId="Spacer">
    <w:name w:val="Spacer"/>
    <w:basedOn w:val="Normal"/>
    <w:rsid w:val="00176A23"/>
    <w:rPr>
      <w:sz w:val="2"/>
      <w:szCs w:val="2"/>
    </w:rPr>
  </w:style>
  <w:style w:type="character" w:customStyle="1" w:styleId="Small">
    <w:name w:val="Small"/>
    <w:basedOn w:val="DefaultParagraphFont"/>
    <w:rsid w:val="00176A23"/>
    <w:rPr>
      <w:sz w:val="16"/>
    </w:rPr>
  </w:style>
  <w:style w:type="paragraph" w:customStyle="1" w:styleId="WideTable">
    <w:name w:val="Wide Table"/>
    <w:basedOn w:val="Normal"/>
    <w:rsid w:val="00176A23"/>
    <w:pPr>
      <w:ind w:left="-1418"/>
    </w:pPr>
    <w:rPr>
      <w:sz w:val="2"/>
      <w:szCs w:val="2"/>
    </w:rPr>
  </w:style>
  <w:style w:type="character" w:styleId="PageNumber">
    <w:name w:val="page number"/>
    <w:basedOn w:val="DefaultParagraphFont"/>
    <w:rsid w:val="00176A23"/>
  </w:style>
  <w:style w:type="paragraph" w:styleId="Quote">
    <w:name w:val="Quote"/>
    <w:basedOn w:val="Heading1"/>
    <w:link w:val="QuoteChar"/>
    <w:qFormat/>
    <w:rsid w:val="00176A23"/>
    <w:rPr>
      <w:b w:val="0"/>
      <w:sz w:val="72"/>
      <w:szCs w:val="72"/>
      <w:lang w:val="en-NZ"/>
    </w:rPr>
  </w:style>
  <w:style w:type="character" w:customStyle="1" w:styleId="QuoteChar">
    <w:name w:val="Quote Char"/>
    <w:basedOn w:val="DefaultParagraphFont"/>
    <w:link w:val="Quote"/>
    <w:rsid w:val="00176A2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76A23"/>
    <w:pPr>
      <w:pageBreakBefore/>
    </w:pPr>
  </w:style>
  <w:style w:type="paragraph" w:customStyle="1" w:styleId="Border">
    <w:name w:val="Border"/>
    <w:basedOn w:val="Normal"/>
    <w:qFormat/>
    <w:rsid w:val="00176A23"/>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76A23"/>
    <w:rPr>
      <w:b/>
      <w:bCs/>
      <w:i/>
      <w:iCs/>
      <w:color w:val="auto"/>
    </w:rPr>
  </w:style>
  <w:style w:type="paragraph" w:styleId="IntenseQuote">
    <w:name w:val="Intense Quote"/>
    <w:basedOn w:val="Normal"/>
    <w:next w:val="Normal"/>
    <w:link w:val="IntenseQuoteChar"/>
    <w:uiPriority w:val="30"/>
    <w:qFormat/>
    <w:rsid w:val="00176A23"/>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76A23"/>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176A23"/>
    <w:rPr>
      <w:smallCaps/>
      <w:color w:val="auto"/>
      <w:u w:val="single"/>
    </w:rPr>
  </w:style>
  <w:style w:type="character" w:styleId="IntenseReference">
    <w:name w:val="Intense Reference"/>
    <w:basedOn w:val="DefaultParagraphFont"/>
    <w:uiPriority w:val="32"/>
    <w:qFormat/>
    <w:rsid w:val="00176A23"/>
    <w:rPr>
      <w:b/>
      <w:bCs/>
      <w:smallCaps/>
      <w:color w:val="auto"/>
      <w:spacing w:val="5"/>
      <w:u w:val="single"/>
    </w:rPr>
  </w:style>
  <w:style w:type="paragraph" w:customStyle="1" w:styleId="2ColumnHeading">
    <w:name w:val="2Column Heading"/>
    <w:basedOn w:val="BodyText"/>
    <w:qFormat/>
    <w:rsid w:val="00176A23"/>
    <w:pPr>
      <w:spacing w:after="60"/>
      <w:ind w:left="-2268"/>
    </w:pPr>
    <w:rPr>
      <w:b/>
    </w:rPr>
  </w:style>
  <w:style w:type="paragraph" w:customStyle="1" w:styleId="Heading1TOC">
    <w:name w:val="Heading1 TOC"/>
    <w:basedOn w:val="Normal"/>
    <w:qFormat/>
    <w:rsid w:val="00176A23"/>
    <w:pPr>
      <w:spacing w:before="240" w:after="120"/>
    </w:pPr>
    <w:rPr>
      <w:rFonts w:ascii="Times New Roman" w:hAnsi="Times New Roman"/>
      <w:b/>
      <w:sz w:val="32"/>
    </w:rPr>
  </w:style>
  <w:style w:type="paragraph" w:customStyle="1" w:styleId="Heading2TOC">
    <w:name w:val="Heading2 TOC"/>
    <w:basedOn w:val="Normal"/>
    <w:qFormat/>
    <w:rsid w:val="00176A23"/>
    <w:pPr>
      <w:spacing w:before="240" w:after="60"/>
    </w:pPr>
    <w:rPr>
      <w:rFonts w:ascii="Times New Roman" w:hAnsi="Times New Roman"/>
      <w:b/>
      <w:sz w:val="28"/>
    </w:rPr>
  </w:style>
  <w:style w:type="character" w:customStyle="1" w:styleId="Underline">
    <w:name w:val="Underline"/>
    <w:basedOn w:val="DefaultParagraphFont"/>
    <w:qFormat/>
    <w:rsid w:val="00176A23"/>
    <w:rPr>
      <w:u w:val="single"/>
    </w:rPr>
  </w:style>
  <w:style w:type="character" w:customStyle="1" w:styleId="BoldandItalics">
    <w:name w:val="Bold and Italics"/>
    <w:qFormat/>
    <w:rsid w:val="00176A23"/>
    <w:rPr>
      <w:b/>
      <w:i/>
      <w:u w:val="none"/>
    </w:rPr>
  </w:style>
  <w:style w:type="paragraph" w:styleId="BalloonText">
    <w:name w:val="Balloon Text"/>
    <w:basedOn w:val="Normal"/>
    <w:link w:val="BalloonTextChar"/>
    <w:rsid w:val="00176A23"/>
    <w:rPr>
      <w:rFonts w:ascii="Tahoma" w:hAnsi="Tahoma" w:cs="Tahoma"/>
      <w:sz w:val="16"/>
      <w:szCs w:val="16"/>
    </w:rPr>
  </w:style>
  <w:style w:type="character" w:customStyle="1" w:styleId="BalloonTextChar">
    <w:name w:val="Balloon Text Char"/>
    <w:basedOn w:val="DefaultParagraphFont"/>
    <w:link w:val="BalloonText"/>
    <w:rsid w:val="00176A23"/>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176A23"/>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176A23"/>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971</Words>
  <Characters>6452</Characters>
  <Application>Microsoft Office Word</Application>
  <DocSecurity>0</DocSecurity>
  <Lines>208</Lines>
  <Paragraphs>126</Paragraphs>
  <ScaleCrop>false</ScaleCrop>
  <Company>Author-it Software Corporation Ltd.</Company>
  <LinksUpToDate>false</LinksUpToDate>
  <CharactersWithSpaces>7371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TLIF3085A Apply local incident response procedures</dc:title>
  <dc:subject>Approved</dc:subject>
  <dc:creator>Transport &amp; Logistics Industry Skills Council</dc:creator>
  <cp:keywords>Release: 1</cp:keywords>
  <dc:description>Copyright © 1996-2007 Author-it Software Corporation Ltd., all rights reserved.</dc:description>
  <cp:lastModifiedBy>Windows User</cp:lastModifiedBy>
  <cp:revision>3</cp:revision>
  <dcterms:created xsi:type="dcterms:W3CDTF">2012-05-27T03:48:00Z</dcterms:created>
  <dcterms:modified xsi:type="dcterms:W3CDTF">2012-05-27T03:48:00Z</dcterms:modified>
</cp:coreProperties>
</file>