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737" w:rsidP="000247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TLIE4032A Use internal communication systems for rail industry regulatory compliance</w:t>
      </w:r>
      <w:r>
        <w:fldChar w:fldCharType="end"/>
      </w:r>
    </w:p>
    <w:p w:rsidR="00024737" w:rsidP="00024737">
      <w:pPr>
        <w:pStyle w:val="Version"/>
        <w:sectPr w:rsidSect="00225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25DFD" w:rsidP="00225DFD">
      <w:pPr>
        <w:pStyle w:val="SuperHeading"/>
      </w:pPr>
      <w:r w:rsidRPr="00225DFD">
        <w:t>TLIE4032A Use internal communication systems for rail industry regulatory compliance</w:t>
      </w:r>
    </w:p>
    <w:p w:rsidR="00000000" w:rsidRPr="00225DFD" w:rsidP="00225DFD">
      <w:pPr>
        <w:pStyle w:val="Heading1"/>
      </w:pPr>
      <w:bookmarkStart w:id="1" w:name="O_567448"/>
      <w:bookmarkEnd w:id="1"/>
      <w:r w:rsidRPr="00225DFD">
        <w:t>Modification History</w:t>
      </w:r>
    </w:p>
    <w:p w:rsidR="00000000" w:rsidRPr="00225DFD" w:rsidP="00225DFD">
      <w:pPr>
        <w:pStyle w:val="BodyText"/>
      </w:pPr>
      <w:r w:rsidRPr="00225DFD">
        <w:t>Release 1 - New unit of competency</w:t>
      </w: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2" w:name="O_567460"/>
      <w:bookmarkEnd w:id="2"/>
      <w:r w:rsidRPr="00225DFD">
        <w:t>Unit Descriptor</w:t>
      </w:r>
    </w:p>
    <w:p w:rsidR="00000000" w:rsidRPr="00225DFD" w:rsidP="00225DFD">
      <w:pPr>
        <w:pStyle w:val="BodyText"/>
      </w:pPr>
      <w:r w:rsidRPr="00225DFD">
        <w:t>This unit involves the skills and knowledge required to use internal communication systems for rail industry regulatory compliance.</w:t>
      </w:r>
    </w:p>
    <w:p w:rsidR="00000000" w:rsidRPr="00225DFD" w:rsidP="00225DFD">
      <w:pPr>
        <w:pStyle w:val="BodyText"/>
      </w:pPr>
      <w:r w:rsidRPr="00225DFD">
        <w:t>It includes identifying regulatory compliance requirements, disseminating information, updating systems and managing data.</w:t>
      </w:r>
    </w:p>
    <w:p w:rsidR="00000000" w:rsidRPr="00225DFD" w:rsidP="00225DFD">
      <w:pPr>
        <w:pStyle w:val="BodyText"/>
      </w:pPr>
      <w:r w:rsidRPr="00225DFD">
        <w:t>L</w:t>
      </w:r>
      <w:r w:rsidRPr="00225DFD">
        <w:t>icensing, legislative, regulatory or certification requirements are applicable to this unit.</w:t>
      </w: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3" w:name="O_567459"/>
      <w:bookmarkEnd w:id="3"/>
      <w:r w:rsidRPr="00225DFD">
        <w:t>Application of the Unit</w:t>
      </w:r>
    </w:p>
    <w:p w:rsidR="00000000" w:rsidRPr="00225DFD" w:rsidP="00225DFD">
      <w:pPr>
        <w:pStyle w:val="BodyText"/>
      </w:pPr>
      <w:r w:rsidRPr="00225DFD">
        <w:t>This unit covers identifying relevant information related to safety management and disseminating the information to the ap</w:t>
      </w:r>
      <w:r w:rsidRPr="00225DFD">
        <w:t>propriate personnel.</w:t>
      </w: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4" w:name="O_567458"/>
      <w:bookmarkEnd w:id="4"/>
      <w:r w:rsidRPr="00225DFD">
        <w:t>Licensing/Regulatory Information</w:t>
      </w:r>
    </w:p>
    <w:p w:rsidR="00000000" w:rsidRPr="00225DFD" w:rsidP="00225DFD">
      <w:pPr>
        <w:pStyle w:val="BodyText"/>
      </w:pPr>
      <w:r w:rsidRPr="00225DFD">
        <w:t>Not applicable.</w:t>
      </w: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5" w:name="O_567457"/>
      <w:bookmarkEnd w:id="5"/>
      <w:r w:rsidRPr="00225DFD">
        <w:t>Pre-Requisites</w:t>
      </w:r>
    </w:p>
    <w:p w:rsidR="00000000" w:rsidRPr="00225DFD" w:rsidP="00225DFD">
      <w:pPr>
        <w:pStyle w:val="BodyText"/>
      </w:pPr>
      <w:r w:rsidRPr="00225DFD">
        <w:t>Not applicable.</w:t>
      </w: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6" w:name="O_567456"/>
      <w:bookmarkEnd w:id="6"/>
      <w:r w:rsidRPr="00225DFD">
        <w:t>Employability Skills Information</w:t>
      </w:r>
    </w:p>
    <w:p w:rsidR="00000000" w:rsidRPr="00225DFD" w:rsidP="00225DFD">
      <w:pPr>
        <w:pStyle w:val="BodyText"/>
      </w:pPr>
      <w:r w:rsidRPr="00225DFD">
        <w:t>This unit contains employability skills.</w:t>
      </w: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7" w:name="O_567455"/>
      <w:bookmarkEnd w:id="7"/>
      <w:r w:rsidRPr="00225DFD">
        <w:t xml:space="preserve">Elements and </w:t>
      </w:r>
      <w:r w:rsidRPr="00225DFD">
        <w:t>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24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BodyText"/>
            </w:pPr>
            <w:r w:rsidRPr="00225DFD">
              <w:t>Performance criteria describe the required performance needed to demonstrate achievement of the element. Assessment of performance is to be consistent with t</w:t>
            </w:r>
            <w:r w:rsidRPr="00225DFD">
              <w:t>he evidence guide.</w:t>
            </w:r>
          </w:p>
        </w:tc>
      </w:tr>
    </w:tbl>
    <w:p w:rsidR="00000000" w:rsidRPr="00225DFD" w:rsidP="00225DFD">
      <w:pPr>
        <w:pStyle w:val="BodyText"/>
      </w:pP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8" w:name="O_567454"/>
      <w:bookmarkEnd w:id="8"/>
      <w:r w:rsidRPr="00225DF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024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1</w:t>
            </w:r>
            <w:r w:rsidRPr="00225DFD">
              <w:rPr>
                <w:rStyle w:val="SpecialBold"/>
              </w:rPr>
              <w:tab/>
              <w:t xml:space="preserve">Identify or confirm regulatory compliance requirements 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BodyText"/>
            </w:pPr>
            <w:r w:rsidRPr="00225DFD">
              <w:t>1.1</w:t>
            </w:r>
            <w:r w:rsidRPr="00225DFD">
              <w:tab/>
              <w:t>Regulatory compliance information is received and analysed for relevance and importance</w:t>
            </w:r>
          </w:p>
          <w:p w:rsidR="00000000" w:rsidRPr="00225DFD" w:rsidP="00225DFD">
            <w:pPr>
              <w:pStyle w:val="BodyText"/>
            </w:pPr>
            <w:r w:rsidRPr="00225DFD">
              <w:t>1.2</w:t>
            </w:r>
            <w:r w:rsidRPr="00225DFD">
              <w:tab/>
            </w:r>
            <w:r w:rsidRPr="00225DFD">
              <w:t>Relevant personnel to whom the information is to be communicated are determined in accordance with regulatory and/or organisational requirements</w:t>
            </w:r>
          </w:p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1.3</w:t>
            </w:r>
            <w:r w:rsidRPr="00225DFD">
              <w:tab/>
              <w:t>Where required, data is transposed into other media prior to dissemination of information</w:t>
            </w:r>
          </w:p>
        </w:tc>
      </w:tr>
      <w:tr w:rsidTr="00024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2</w:t>
            </w:r>
            <w:r w:rsidRPr="00225DFD">
              <w:rPr>
                <w:rStyle w:val="SpecialBold"/>
              </w:rPr>
              <w:tab/>
              <w:t>Disseminate in</w:t>
            </w:r>
            <w:r w:rsidRPr="00225DFD">
              <w:rPr>
                <w:rStyle w:val="SpecialBold"/>
              </w:rPr>
              <w:t xml:space="preserve">formation 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BodyText"/>
            </w:pPr>
            <w:r w:rsidRPr="00225DFD">
              <w:t>2.1</w:t>
            </w:r>
            <w:r w:rsidRPr="00225DFD">
              <w:tab/>
              <w:t>Method/s of communication is determined in accordance with regulatory and/or organisational requirements</w:t>
            </w:r>
          </w:p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2.2</w:t>
            </w:r>
            <w:r w:rsidRPr="00225DFD">
              <w:tab/>
              <w:t>Regulatory compliance information is disseminated promptly and, where applicable, receipt of the information is confirmed and stored</w:t>
            </w:r>
            <w:r w:rsidRPr="00225DFD">
              <w:t>/managed in accordance with organisational requirements</w:t>
            </w:r>
          </w:p>
        </w:tc>
      </w:tr>
      <w:tr w:rsidTr="00024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3</w:t>
            </w:r>
            <w:r w:rsidRPr="00225DFD">
              <w:rPr>
                <w:rStyle w:val="SpecialBold"/>
              </w:rPr>
              <w:tab/>
              <w:t>Update systems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3.1</w:t>
            </w:r>
            <w:r w:rsidRPr="00225DFD">
              <w:tab/>
              <w:t>All organisational systems affected by the regulatory compliance information are identified and updated in accordance with regulatory and/or organisational requirements</w:t>
            </w:r>
          </w:p>
        </w:tc>
      </w:tr>
      <w:tr w:rsidTr="000247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4</w:t>
            </w:r>
            <w:r w:rsidRPr="00225DFD">
              <w:rPr>
                <w:rStyle w:val="SpecialBold"/>
              </w:rPr>
              <w:tab/>
              <w:t>Manage</w:t>
            </w:r>
            <w:r w:rsidRPr="00225DFD">
              <w:rPr>
                <w:rStyle w:val="SpecialBold"/>
              </w:rPr>
              <w:t xml:space="preserve"> data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BodyText"/>
            </w:pPr>
            <w:r w:rsidRPr="00225DFD">
              <w:t>4.1</w:t>
            </w:r>
            <w:r w:rsidRPr="00225DFD">
              <w:tab/>
              <w:t xml:space="preserve">Regulatory compliance information is filed/stored in accordance with regulatory and/or organisational requirements in such a way as to be retrieved as required in the future </w:t>
            </w:r>
          </w:p>
        </w:tc>
      </w:tr>
    </w:tbl>
    <w:p w:rsidR="00000000" w:rsidRPr="00225DFD" w:rsidP="00225DFD">
      <w:pPr>
        <w:pStyle w:val="BodyText"/>
      </w:pP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9" w:name="O_567453"/>
      <w:bookmarkEnd w:id="9"/>
      <w:r w:rsidRPr="00225DF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This section describes the knowledge and skills required for this unit.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Required knowledge: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>Data management systems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 xml:space="preserve">Organisational systems available for information communication and dissemination 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>Relevant legislation, regulations, permit and licen</w:t>
            </w:r>
            <w:r w:rsidRPr="00225DFD">
              <w:t>ce requirements related to rail safety management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>Requirements of organisational systems including safety management system and risk management plans, risk registers, etc.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Required skills: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>Communicate effectively with others verbally and in writing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>Read and interpret instructions, procedures and information relevant to activities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 xml:space="preserve">Use appropriate media to disseminate information 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>Work collaboratively with others</w:t>
            </w:r>
          </w:p>
        </w:tc>
      </w:tr>
    </w:tbl>
    <w:p w:rsidR="00000000" w:rsidRPr="00225DFD" w:rsidP="00225DFD">
      <w:pPr>
        <w:pStyle w:val="BodyText"/>
      </w:pP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10" w:name="O_567452"/>
      <w:bookmarkEnd w:id="10"/>
      <w:r w:rsidRPr="00225DFD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The evidence guide provides advice on assessment and</w:t>
            </w:r>
            <w:r w:rsidRPr="00225DFD">
              <w:t xml:space="preserve"> must be read in conjunction with the performance criteria, required knowledge and skills, the range statement and the assessment guidelines for this Training Package.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>The evidence required to demonstrate competency in this unit must be relevant to and satisfy all of the requirements of the elements and performance criteria of t</w:t>
            </w:r>
            <w:r w:rsidRPr="00225DFD">
              <w:t>his unit and include demonstration of applying:</w:t>
            </w:r>
          </w:p>
          <w:p w:rsidR="00000000" w:rsidRPr="00225DFD" w:rsidP="00225DFD">
            <w:pPr>
              <w:pStyle w:val="ListBullet2"/>
            </w:pPr>
            <w:r w:rsidRPr="00225DFD">
              <w:t>the required knowledge and skills</w:t>
            </w:r>
          </w:p>
          <w:p w:rsidR="00000000" w:rsidRPr="00225DFD" w:rsidP="00225DFD">
            <w:pPr>
              <w:pStyle w:val="ListBullet2"/>
            </w:pPr>
            <w:r w:rsidRPr="00225DFD">
              <w:t>relevant legislation and workplace procedures</w:t>
            </w:r>
          </w:p>
          <w:p w:rsidR="00000000" w:rsidRPr="00225DFD" w:rsidP="00225DFD">
            <w:pPr>
              <w:pStyle w:val="ListBullet2"/>
            </w:pPr>
            <w:r w:rsidRPr="00225DFD">
              <w:t>other relevant aspects of the range statement</w:t>
            </w:r>
          </w:p>
          <w:p w:rsidR="00000000" w:rsidRPr="00225DFD" w:rsidP="00225DFD">
            <w:pPr>
              <w:pStyle w:val="ListBullet"/>
            </w:pPr>
            <w:r w:rsidRPr="00225DFD">
              <w:t>Assessment must include exercises which demonstrate competent performance of the</w:t>
            </w:r>
            <w:r w:rsidRPr="00225DFD">
              <w:t xml:space="preserve"> following in a range of situations:</w:t>
            </w:r>
          </w:p>
          <w:p w:rsidR="00000000" w:rsidRPr="00225DFD" w:rsidP="00225DFD">
            <w:pPr>
              <w:pStyle w:val="ListBullet2"/>
            </w:pPr>
            <w:r w:rsidRPr="00225DFD">
              <w:t>identifying rail industry regulatory compliance requirements</w:t>
            </w:r>
          </w:p>
          <w:p w:rsidR="00000000" w:rsidRPr="00225DFD" w:rsidP="00225DFD">
            <w:pPr>
              <w:pStyle w:val="ListBullet2"/>
            </w:pPr>
            <w:r w:rsidRPr="00225DFD">
              <w:t>identifying and using media available for dissemination of information</w:t>
            </w:r>
          </w:p>
          <w:p w:rsidR="00000000" w:rsidP="00225DFD">
            <w:pPr>
              <w:pStyle w:val="ListBullet2"/>
              <w:rPr>
                <w:lang w:val="en-NZ"/>
              </w:rPr>
            </w:pPr>
            <w:r w:rsidRPr="00225DFD">
              <w:t>identifying storage methods for regulatory compliance information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>Performance is demonstrated consistently over a period of time and in a suitable range of contexts</w:t>
            </w:r>
          </w:p>
          <w:p w:rsidR="00000000" w:rsidRPr="00225DFD" w:rsidP="00225DFD">
            <w:pPr>
              <w:pStyle w:val="ListBullet"/>
            </w:pPr>
            <w:r w:rsidRPr="00225DFD">
              <w:t>Resources for assessment include:</w:t>
            </w:r>
          </w:p>
          <w:p w:rsidR="00000000" w:rsidRPr="00225DFD" w:rsidP="00225DFD">
            <w:pPr>
              <w:pStyle w:val="ListBullet2"/>
            </w:pPr>
            <w:r w:rsidRPr="00225DFD">
              <w:t>a range of relevant exercises, case studies and/or other simulated practical and knowledge assessment, and/or</w:t>
            </w:r>
          </w:p>
          <w:p w:rsidR="00000000" w:rsidRPr="00225DFD" w:rsidP="00225DFD">
            <w:pPr>
              <w:pStyle w:val="ListBullet2"/>
            </w:pPr>
            <w:r w:rsidRPr="00225DFD">
              <w:t>access to an appropriate range of relevant operational situations in the workplace</w:t>
            </w:r>
          </w:p>
          <w:p w:rsidR="00000000" w:rsidRPr="00225DFD" w:rsidP="00225DFD">
            <w:pPr>
              <w:pStyle w:val="ListBullet"/>
            </w:pPr>
            <w:r w:rsidRPr="00225DFD">
              <w:t>In both real and simulated environments, access is required to</w:t>
            </w:r>
            <w:r w:rsidRPr="00225DFD">
              <w:t>:</w:t>
            </w:r>
          </w:p>
          <w:p w:rsidR="00000000" w:rsidRPr="00225DFD" w:rsidP="00225DFD">
            <w:pPr>
              <w:pStyle w:val="ListBullet2"/>
            </w:pPr>
            <w:r w:rsidRPr="00225DFD">
              <w:t>relevant and appropriate materials and equipment, and</w:t>
            </w:r>
          </w:p>
          <w:p w:rsidR="00000000" w:rsidP="00225DFD">
            <w:pPr>
              <w:pStyle w:val="ListBullet2"/>
              <w:rPr>
                <w:lang w:val="en-NZ"/>
              </w:rPr>
            </w:pPr>
            <w:r w:rsidRPr="00225DFD">
              <w:t>applicable documentation including workplace procedures, regulations, codes of practice and operation manuals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>As a minimum, assessment of knowledge must be conducted through appropriate written/oral tests</w:t>
            </w:r>
          </w:p>
          <w:p w:rsidR="00000000" w:rsidRPr="00225DFD" w:rsidP="00225DFD">
            <w:pPr>
              <w:pStyle w:val="ListBullet"/>
            </w:pPr>
            <w:r w:rsidRPr="00225DFD">
              <w:t>Practical assessment must occur:</w:t>
            </w:r>
          </w:p>
          <w:p w:rsidR="00000000" w:rsidRPr="00225DFD" w:rsidP="00225DFD">
            <w:pPr>
              <w:pStyle w:val="ListBullet2"/>
            </w:pPr>
            <w:r w:rsidRPr="00225DFD">
              <w:t>through activities in an appropriately simulated environment, and/or</w:t>
            </w:r>
          </w:p>
          <w:p w:rsidR="00000000" w:rsidRPr="00225DFD" w:rsidP="00225DFD">
            <w:pPr>
              <w:pStyle w:val="ListBullet2"/>
            </w:pPr>
            <w:r w:rsidRPr="00225DFD">
              <w:t>in an appropriate range of situations in the workplace</w:t>
            </w:r>
          </w:p>
        </w:tc>
      </w:tr>
    </w:tbl>
    <w:p w:rsidR="00000000" w:rsidRPr="00225DFD" w:rsidP="00225DFD">
      <w:pPr>
        <w:pStyle w:val="BodyText"/>
      </w:pP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11" w:name="O_567451"/>
      <w:bookmarkEnd w:id="11"/>
      <w:r w:rsidRPr="00225DFD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3"/>
        <w:gridCol w:w="6337"/>
      </w:tblGrid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The range statement relates to the unit of competency as a whole. It allows for different work environments and situations that may affect performance.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Regulatory compliance information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 xml:space="preserve">notices </w:t>
            </w:r>
          </w:p>
          <w:p w:rsidR="00000000" w:rsidRPr="00225DFD" w:rsidP="00225DFD">
            <w:pPr>
              <w:pStyle w:val="ListBullet"/>
            </w:pPr>
            <w:r w:rsidRPr="00225DFD">
              <w:t>safety alerts</w:t>
            </w:r>
          </w:p>
          <w:p w:rsidR="00000000" w:rsidRPr="00225DFD" w:rsidP="00225DFD">
            <w:pPr>
              <w:pStyle w:val="ListBullet"/>
            </w:pPr>
            <w:r w:rsidRPr="00225DFD">
              <w:t>policy changes</w:t>
            </w:r>
          </w:p>
          <w:p w:rsidR="00000000" w:rsidRPr="00225DFD" w:rsidP="00225DFD">
            <w:pPr>
              <w:pStyle w:val="ListBullet"/>
            </w:pPr>
            <w:r w:rsidRPr="00225DFD">
              <w:t>feedback to stakeholders</w:t>
            </w:r>
          </w:p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>safety reports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Relevant personnel may be: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>supervisors and/or managers</w:t>
            </w:r>
          </w:p>
          <w:p w:rsidR="00000000" w:rsidRPr="00225DFD" w:rsidP="00225DFD">
            <w:pPr>
              <w:pStyle w:val="ListBullet"/>
            </w:pPr>
            <w:r w:rsidRPr="00225DFD">
              <w:t>customers</w:t>
            </w:r>
          </w:p>
          <w:p w:rsidR="00000000" w:rsidRPr="00225DFD" w:rsidP="00225DFD">
            <w:pPr>
              <w:pStyle w:val="ListBullet"/>
            </w:pPr>
            <w:r w:rsidRPr="00225DFD">
              <w:t>official representatives</w:t>
            </w:r>
          </w:p>
          <w:p w:rsidR="00000000" w:rsidRPr="00225DFD" w:rsidP="00225DFD">
            <w:pPr>
              <w:pStyle w:val="ListBullet"/>
            </w:pPr>
            <w:r w:rsidRPr="00225DFD">
              <w:t>contractors</w:t>
            </w:r>
          </w:p>
          <w:p w:rsidR="00000000" w:rsidRPr="00225DFD" w:rsidP="00225DFD">
            <w:pPr>
              <w:pStyle w:val="ListBullet"/>
            </w:pPr>
            <w:r w:rsidRPr="00225DFD">
              <w:t xml:space="preserve">relevant authorities </w:t>
            </w:r>
          </w:p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 xml:space="preserve">employees 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Communication methods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>electronic media</w:t>
            </w:r>
          </w:p>
          <w:p w:rsidR="00000000" w:rsidRPr="00225DFD" w:rsidP="00225DFD">
            <w:pPr>
              <w:pStyle w:val="ListBullet"/>
            </w:pPr>
            <w:r w:rsidRPr="00225DFD">
              <w:t>verbal briefings</w:t>
            </w:r>
          </w:p>
          <w:p w:rsidR="00000000" w:rsidRPr="00225DFD" w:rsidP="00225DFD">
            <w:pPr>
              <w:pStyle w:val="ListBullet"/>
            </w:pPr>
            <w:r w:rsidRPr="00225DFD">
              <w:t>presentations</w:t>
            </w:r>
          </w:p>
          <w:p w:rsidR="00000000" w:rsidRPr="00225DFD" w:rsidP="00225DFD">
            <w:pPr>
              <w:pStyle w:val="ListBullet"/>
            </w:pPr>
            <w:r w:rsidRPr="00225DFD">
              <w:t>notices</w:t>
            </w:r>
          </w:p>
          <w:p w:rsidR="00000000" w:rsidRPr="00225DFD" w:rsidP="00225DFD">
            <w:pPr>
              <w:pStyle w:val="ListBullet"/>
            </w:pPr>
            <w:r w:rsidRPr="00225DFD">
              <w:t>noticeboards</w:t>
            </w:r>
          </w:p>
          <w:p w:rsidR="00000000" w:rsidRPr="00225DFD" w:rsidP="00225DFD">
            <w:pPr>
              <w:pStyle w:val="ListBullet"/>
            </w:pPr>
            <w:r w:rsidRPr="00225DFD">
              <w:t>toolbox talks</w:t>
            </w:r>
          </w:p>
          <w:p w:rsidR="00000000" w:rsidP="00225DFD">
            <w:pPr>
              <w:pStyle w:val="ListBullet"/>
              <w:rPr>
                <w:lang w:val="en-NZ"/>
              </w:rPr>
            </w:pPr>
            <w:r w:rsidRPr="00225DFD">
              <w:t>workplace meetings</w:t>
            </w:r>
          </w:p>
        </w:tc>
      </w:tr>
      <w:tr w:rsidTr="00225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5DFD">
            <w:pPr>
              <w:pStyle w:val="BodyText"/>
              <w:rPr>
                <w:lang w:val="en-NZ"/>
              </w:rPr>
            </w:pPr>
            <w:r w:rsidRPr="00225DFD">
              <w:t>Organisational systems may include:</w:t>
            </w:r>
          </w:p>
        </w:tc>
        <w:tc>
          <w:tcPr>
            <w:tcW w:w="63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5DFD" w:rsidP="00225DFD">
            <w:pPr>
              <w:pStyle w:val="ListBullet"/>
            </w:pPr>
            <w:r w:rsidRPr="00225DFD">
              <w:t>rail safety management system</w:t>
            </w:r>
          </w:p>
          <w:p w:rsidR="00000000" w:rsidRPr="00225DFD" w:rsidP="00225DFD">
            <w:pPr>
              <w:pStyle w:val="ListBullet"/>
            </w:pPr>
            <w:r w:rsidRPr="00225DFD">
              <w:t>interface agreements</w:t>
            </w:r>
          </w:p>
          <w:p w:rsidR="00000000" w:rsidRPr="00225DFD" w:rsidP="00225DFD">
            <w:pPr>
              <w:pStyle w:val="ListBullet"/>
            </w:pPr>
            <w:r w:rsidRPr="00225DFD">
              <w:t>risk management system</w:t>
            </w:r>
          </w:p>
        </w:tc>
      </w:tr>
    </w:tbl>
    <w:p w:rsidR="00000000" w:rsidRPr="00225DFD" w:rsidP="00225DFD">
      <w:pPr>
        <w:pStyle w:val="BodyText"/>
      </w:pP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12" w:name="O_567450"/>
      <w:bookmarkEnd w:id="12"/>
      <w:r w:rsidRPr="00225DFD">
        <w:t>Unit Sector(s)</w:t>
      </w:r>
    </w:p>
    <w:p w:rsidR="00000000" w:rsidRPr="00225DFD" w:rsidP="00225DFD">
      <w:pPr>
        <w:pStyle w:val="BodyText"/>
      </w:pPr>
      <w:r w:rsidRPr="00225DFD">
        <w:t>Not applicable.</w:t>
      </w:r>
    </w:p>
    <w:p w:rsidR="00000000" w:rsidRPr="00225DFD" w:rsidP="00225DFD">
      <w:pPr>
        <w:pStyle w:val="AllowPageBreak"/>
      </w:pPr>
    </w:p>
    <w:p w:rsidR="00000000" w:rsidRPr="00225DFD" w:rsidP="00225DFD">
      <w:pPr>
        <w:pStyle w:val="Heading1"/>
      </w:pPr>
      <w:bookmarkStart w:id="13" w:name="O_567449"/>
      <w:bookmarkEnd w:id="13"/>
      <w:r w:rsidRPr="00225DFD">
        <w:t>Competency Field</w:t>
      </w:r>
    </w:p>
    <w:p w:rsidR="00000000" w:rsidRPr="00225DFD" w:rsidP="00225DFD">
      <w:pPr>
        <w:pStyle w:val="BodyText"/>
      </w:pPr>
      <w:r w:rsidRPr="00225DFD">
        <w:t>E – Communication and Calculation</w:t>
      </w:r>
    </w:p>
    <w:p w:rsidR="00000000" w:rsidRPr="00225DFD" w:rsidP="00225DFD"/>
    <w:sectPr w:rsidSect="00225D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D" w:rsidRPr="00024737" w:rsidP="000247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37" w:rsidP="00225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4737" w:rsidP="00225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24737" w:rsidP="00225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D" w:rsidRPr="00024737" w:rsidP="000247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737" w:rsidRPr="002D2AF8" w:rsidP="00225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TLIE4032A Use internal communication systems for rail industry regulatory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024737" w:rsidP="00225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52E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80F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ACC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5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5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5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5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5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5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5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5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5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5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5DFD"/>
  </w:style>
  <w:style w:type="character" w:customStyle="1" w:styleId="Heading1Char">
    <w:name w:val="Heading 1 Char"/>
    <w:basedOn w:val="DefaultParagraphFont"/>
    <w:link w:val="Heading1"/>
    <w:rsid w:val="00225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5D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5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5D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5DFD"/>
    <w:rPr>
      <w:b/>
      <w:spacing w:val="0"/>
    </w:rPr>
  </w:style>
  <w:style w:type="paragraph" w:styleId="ListBullet2">
    <w:name w:val="List Bullet 2"/>
    <w:basedOn w:val="List2"/>
    <w:rsid w:val="00225D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5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5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5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5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5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5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5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5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5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5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5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5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5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5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5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5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5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5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5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5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5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5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5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5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5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5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5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5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5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5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5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5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5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5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5DFD"/>
    <w:rPr>
      <w:i/>
    </w:rPr>
  </w:style>
  <w:style w:type="paragraph" w:styleId="Caption">
    <w:name w:val="caption"/>
    <w:basedOn w:val="BodyText"/>
    <w:next w:val="Normal"/>
    <w:qFormat/>
    <w:rsid w:val="00225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5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5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5DFD"/>
  </w:style>
  <w:style w:type="paragraph" w:styleId="TableofFigures">
    <w:name w:val="table of figures"/>
    <w:basedOn w:val="Normal"/>
    <w:next w:val="Normal"/>
    <w:semiHidden/>
    <w:rsid w:val="00225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5DFD"/>
    <w:pPr>
      <w:numPr>
        <w:numId w:val="11"/>
      </w:numPr>
    </w:pPr>
  </w:style>
  <w:style w:type="character" w:customStyle="1" w:styleId="WingdingSymbols">
    <w:name w:val="Wingding Symbols"/>
    <w:rsid w:val="00225DFD"/>
    <w:rPr>
      <w:rFonts w:ascii="Wingdings" w:hAnsi="Wingdings"/>
    </w:rPr>
  </w:style>
  <w:style w:type="paragraph" w:customStyle="1" w:styleId="TableHeading">
    <w:name w:val="Table Heading"/>
    <w:basedOn w:val="HeadingBase"/>
    <w:rsid w:val="00225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5DFD"/>
    <w:rPr>
      <w:color w:val="0033CC"/>
      <w:u w:val="none"/>
    </w:rPr>
  </w:style>
  <w:style w:type="paragraph" w:customStyle="1" w:styleId="BodyTextRight">
    <w:name w:val="Body Text Right"/>
    <w:basedOn w:val="BodyText"/>
    <w:rsid w:val="00225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5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5D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5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5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5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5DFD"/>
    <w:rPr>
      <w:sz w:val="32"/>
    </w:rPr>
  </w:style>
  <w:style w:type="paragraph" w:customStyle="1" w:styleId="HeadingProcedure">
    <w:name w:val="Heading Procedure"/>
    <w:basedOn w:val="HeadingBase"/>
    <w:next w:val="Normal"/>
    <w:rsid w:val="00225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5DFD"/>
    <w:pPr>
      <w:spacing w:before="60" w:after="60"/>
    </w:pPr>
  </w:style>
  <w:style w:type="paragraph" w:styleId="ListContinue">
    <w:name w:val="List Continue"/>
    <w:basedOn w:val="List"/>
    <w:rsid w:val="00225DFD"/>
    <w:pPr>
      <w:ind w:firstLine="0"/>
    </w:pPr>
  </w:style>
  <w:style w:type="paragraph" w:customStyle="1" w:styleId="ListNote">
    <w:name w:val="List Note"/>
    <w:basedOn w:val="List"/>
    <w:rsid w:val="00225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5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5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5DFD"/>
    <w:rPr>
      <w:rFonts w:ascii="Courier New" w:hAnsi="Courier New"/>
    </w:rPr>
  </w:style>
  <w:style w:type="paragraph" w:customStyle="1" w:styleId="NoteBullet">
    <w:name w:val="Note Bullet"/>
    <w:basedOn w:val="Note"/>
    <w:rsid w:val="00225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5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5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5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5D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5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5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5DFD"/>
    <w:rPr>
      <w:b/>
      <w:smallCaps/>
    </w:rPr>
  </w:style>
  <w:style w:type="paragraph" w:customStyle="1" w:styleId="TableListNumber">
    <w:name w:val="Table List Number"/>
    <w:basedOn w:val="ListNumber"/>
    <w:rsid w:val="00225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5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5DFD"/>
    <w:pPr>
      <w:numPr>
        <w:numId w:val="9"/>
      </w:numPr>
    </w:pPr>
  </w:style>
  <w:style w:type="paragraph" w:customStyle="1" w:styleId="ListAlpha2">
    <w:name w:val="List Alpha 2"/>
    <w:basedOn w:val="List2"/>
    <w:rsid w:val="00225DFD"/>
    <w:pPr>
      <w:numPr>
        <w:numId w:val="8"/>
      </w:numPr>
    </w:pPr>
  </w:style>
  <w:style w:type="paragraph" w:styleId="List2">
    <w:name w:val="List 2"/>
    <w:basedOn w:val="BodyText"/>
    <w:rsid w:val="00225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5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5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5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5DF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5DFD"/>
    <w:pPr>
      <w:numPr>
        <w:numId w:val="3"/>
      </w:numPr>
    </w:pPr>
  </w:style>
  <w:style w:type="paragraph" w:styleId="ListBullet5">
    <w:name w:val="List Bullet 5"/>
    <w:basedOn w:val="List5"/>
    <w:rsid w:val="00225DFD"/>
    <w:pPr>
      <w:numPr>
        <w:numId w:val="4"/>
      </w:numPr>
    </w:pPr>
  </w:style>
  <w:style w:type="paragraph" w:styleId="ListContinue2">
    <w:name w:val="List Continue 2"/>
    <w:basedOn w:val="List2"/>
    <w:rsid w:val="00225DFD"/>
    <w:pPr>
      <w:ind w:firstLine="0"/>
    </w:pPr>
  </w:style>
  <w:style w:type="paragraph" w:styleId="ListContinue3">
    <w:name w:val="List Continue 3"/>
    <w:basedOn w:val="List3"/>
    <w:rsid w:val="00225DFD"/>
    <w:pPr>
      <w:ind w:left="1021" w:firstLine="0"/>
    </w:pPr>
  </w:style>
  <w:style w:type="paragraph" w:styleId="ListContinue4">
    <w:name w:val="List Continue 4"/>
    <w:basedOn w:val="List4"/>
    <w:rsid w:val="00225DFD"/>
    <w:pPr>
      <w:ind w:firstLine="0"/>
    </w:pPr>
  </w:style>
  <w:style w:type="paragraph" w:styleId="ListContinue5">
    <w:name w:val="List Continue 5"/>
    <w:basedOn w:val="List5"/>
    <w:rsid w:val="00225DFD"/>
    <w:pPr>
      <w:ind w:firstLine="0"/>
    </w:pPr>
  </w:style>
  <w:style w:type="paragraph" w:styleId="ListNumber3">
    <w:name w:val="List Number 3"/>
    <w:basedOn w:val="List3"/>
    <w:rsid w:val="00225DFD"/>
    <w:pPr>
      <w:numPr>
        <w:numId w:val="5"/>
      </w:numPr>
    </w:pPr>
  </w:style>
  <w:style w:type="paragraph" w:styleId="ListNumber4">
    <w:name w:val="List Number 4"/>
    <w:basedOn w:val="List4"/>
    <w:rsid w:val="00225DFD"/>
    <w:pPr>
      <w:numPr>
        <w:numId w:val="6"/>
      </w:numPr>
    </w:pPr>
  </w:style>
  <w:style w:type="paragraph" w:styleId="ListNumber5">
    <w:name w:val="List Number 5"/>
    <w:basedOn w:val="List5"/>
    <w:rsid w:val="00225DFD"/>
    <w:pPr>
      <w:numPr>
        <w:numId w:val="7"/>
      </w:numPr>
    </w:pPr>
  </w:style>
  <w:style w:type="paragraph" w:styleId="BlockText">
    <w:name w:val="Block Text"/>
    <w:basedOn w:val="Normal"/>
    <w:rsid w:val="00225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5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5DFD"/>
    <w:rPr>
      <w:sz w:val="16"/>
      <w:vertAlign w:val="superscript"/>
    </w:rPr>
  </w:style>
  <w:style w:type="character" w:customStyle="1" w:styleId="Symbols">
    <w:name w:val="Symbols"/>
    <w:basedOn w:val="DefaultParagraphFont"/>
    <w:rsid w:val="00225DFD"/>
    <w:rPr>
      <w:rFonts w:ascii="Symbol" w:hAnsi="Symbol"/>
    </w:rPr>
  </w:style>
  <w:style w:type="character" w:customStyle="1" w:styleId="MenuOptions">
    <w:name w:val="Menu Options"/>
    <w:basedOn w:val="DefaultParagraphFont"/>
    <w:rsid w:val="00225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5DFD"/>
    <w:rPr>
      <w:b/>
    </w:rPr>
  </w:style>
  <w:style w:type="character" w:customStyle="1" w:styleId="Underlined">
    <w:name w:val="Underlined"/>
    <w:basedOn w:val="DefaultParagraphFont"/>
    <w:rsid w:val="00225DFD"/>
    <w:rPr>
      <w:u w:val="single"/>
    </w:rPr>
  </w:style>
  <w:style w:type="paragraph" w:customStyle="1" w:styleId="TableBodyTextRight">
    <w:name w:val="Table Body Text Right"/>
    <w:basedOn w:val="TableBodyText"/>
    <w:rsid w:val="00225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5DFD"/>
    <w:rPr>
      <w:sz w:val="18"/>
    </w:rPr>
  </w:style>
  <w:style w:type="paragraph" w:customStyle="1" w:styleId="BodySmallRight">
    <w:name w:val="Body Small Right"/>
    <w:basedOn w:val="BodyTextRight"/>
    <w:rsid w:val="00225DFD"/>
    <w:rPr>
      <w:sz w:val="18"/>
      <w:szCs w:val="18"/>
    </w:rPr>
  </w:style>
  <w:style w:type="paragraph" w:customStyle="1" w:styleId="MarginEdition">
    <w:name w:val="Margin Edition"/>
    <w:basedOn w:val="MarginNote"/>
    <w:rsid w:val="00225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5DFD"/>
    <w:rPr>
      <w:sz w:val="2"/>
      <w:szCs w:val="2"/>
    </w:rPr>
  </w:style>
  <w:style w:type="character" w:customStyle="1" w:styleId="Small">
    <w:name w:val="Small"/>
    <w:basedOn w:val="DefaultParagraphFont"/>
    <w:rsid w:val="00225DFD"/>
    <w:rPr>
      <w:sz w:val="16"/>
    </w:rPr>
  </w:style>
  <w:style w:type="paragraph" w:customStyle="1" w:styleId="WideTable">
    <w:name w:val="Wide Table"/>
    <w:basedOn w:val="Normal"/>
    <w:rsid w:val="00225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5DFD"/>
  </w:style>
  <w:style w:type="paragraph" w:styleId="Quote">
    <w:name w:val="Quote"/>
    <w:basedOn w:val="Heading1"/>
    <w:link w:val="QuoteChar"/>
    <w:qFormat/>
    <w:rsid w:val="00225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5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5DFD"/>
    <w:pPr>
      <w:pageBreakBefore/>
    </w:pPr>
  </w:style>
  <w:style w:type="paragraph" w:customStyle="1" w:styleId="Border">
    <w:name w:val="Border"/>
    <w:basedOn w:val="Normal"/>
    <w:qFormat/>
    <w:rsid w:val="00225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5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5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5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5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5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5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5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5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5DFD"/>
    <w:rPr>
      <w:u w:val="single"/>
    </w:rPr>
  </w:style>
  <w:style w:type="character" w:customStyle="1" w:styleId="BoldandItalics">
    <w:name w:val="Bold and Italics"/>
    <w:qFormat/>
    <w:rsid w:val="00225DFD"/>
    <w:rPr>
      <w:b/>
      <w:i/>
      <w:u w:val="none"/>
    </w:rPr>
  </w:style>
  <w:style w:type="paragraph" w:styleId="BalloonText">
    <w:name w:val="Balloon Text"/>
    <w:basedOn w:val="Normal"/>
    <w:link w:val="BalloonTextChar"/>
    <w:rsid w:val="00225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5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5DF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5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5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5DF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732</Words>
  <Characters>4960</Characters>
  <Application>Microsoft Office Word</Application>
  <DocSecurity>0</DocSecurity>
  <Lines>169</Lines>
  <Paragraphs>99</Paragraphs>
  <ScaleCrop>false</ScaleCrop>
  <Company>Author-it Software Corporation Ltd.</Company>
  <LinksUpToDate>false</LinksUpToDate>
  <CharactersWithSpaces>5650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TLIE4032A Use internal communication systems for rail industry regulatory compliance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2013-04-18T07:46:00Z</dcterms:created>
  <dcterms:modified xsi:type="dcterms:W3CDTF">2013-04-18T07:46:00Z</dcterms:modified>
</cp:coreProperties>
</file>