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DD9" w:rsidP="002F2DD9">
      <w:pPr>
        <w:pStyle w:val="Title"/>
      </w:pPr>
      <w:bookmarkStart w:id="0" w:name="_GoBack"/>
      <w:bookmarkEnd w:id="0"/>
      <w:r>
        <w:fldChar w:fldCharType="begin"/>
      </w:r>
      <w:r>
        <w:instrText xml:space="preserve"> TITLE   \* MERGEFORMAT </w:instrText>
      </w:r>
      <w:r>
        <w:fldChar w:fldCharType="separate"/>
      </w:r>
      <w:r>
        <w:t xml:space="preserve">TLIE3026A Carry out advanced calculations in the transport logistics industry </w:t>
      </w:r>
      <w:r>
        <w:fldChar w:fldCharType="end"/>
      </w:r>
    </w:p>
    <w:p w:rsidR="002F2DD9" w:rsidP="002F2DD9">
      <w:pPr>
        <w:pStyle w:val="Version"/>
        <w:sectPr w:rsidSect="00AC77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7D9" w:rsidP="00AC77D9">
      <w:pPr>
        <w:pStyle w:val="SuperHeading"/>
      </w:pPr>
      <w:r w:rsidRPr="00AC77D9">
        <w:t xml:space="preserve">TLIE3026A Carry out advanced calculations in the transport logistics industry </w:t>
      </w:r>
    </w:p>
    <w:p w:rsidR="00000000" w:rsidRPr="00AC77D9" w:rsidP="00AC77D9">
      <w:pPr>
        <w:pStyle w:val="Heading1"/>
      </w:pPr>
      <w:bookmarkStart w:id="1" w:name="O_357488"/>
      <w:bookmarkEnd w:id="1"/>
      <w:r w:rsidRPr="00AC77D9">
        <w:t>Modification History</w:t>
      </w:r>
    </w:p>
    <w:p w:rsidR="00000000" w:rsidRPr="00AC77D9" w:rsidP="00AC77D9">
      <w:pPr>
        <w:pStyle w:val="BodyText"/>
      </w:pPr>
      <w:r w:rsidRPr="00AC77D9">
        <w:t>Not applicable.</w:t>
      </w:r>
    </w:p>
    <w:p w:rsidR="00000000" w:rsidRPr="00AC77D9" w:rsidP="00AC77D9">
      <w:pPr>
        <w:pStyle w:val="AllowPageBreak"/>
      </w:pPr>
    </w:p>
    <w:p w:rsidR="00000000" w:rsidRPr="00AC77D9" w:rsidP="00AC77D9">
      <w:pPr>
        <w:pStyle w:val="Heading1"/>
      </w:pPr>
      <w:bookmarkStart w:id="2" w:name="O_357489"/>
      <w:bookmarkEnd w:id="2"/>
      <w:r w:rsidRPr="00AC77D9">
        <w:t>Unit Descriptor</w:t>
      </w:r>
    </w:p>
    <w:tbl>
      <w:tblPr>
        <w:tblW w:w="0" w:type="auto"/>
        <w:tblCellMar>
          <w:left w:w="62" w:type="dxa"/>
          <w:right w:w="62" w:type="dxa"/>
        </w:tblCellMar>
        <w:tblLook w:val="0000"/>
      </w:tblPr>
      <w:tblGrid>
        <w:gridCol w:w="9196"/>
      </w:tblGrid>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77D9" w:rsidP="00AC77D9">
            <w:pPr>
              <w:pStyle w:val="BodyText"/>
            </w:pPr>
            <w:r w:rsidRPr="00AC77D9">
              <w:t>This unit involves the skills and knowledge required to carry out advanced calcul</w:t>
            </w:r>
            <w:r w:rsidRPr="00AC77D9">
              <w:t>ations.</w:t>
            </w:r>
          </w:p>
          <w:p w:rsidR="00000000" w:rsidRPr="00AC77D9" w:rsidP="00AC77D9">
            <w:pPr>
              <w:pStyle w:val="BodyText"/>
            </w:pPr>
            <w:r w:rsidRPr="00AC77D9">
              <w:t>Licensing, legislative, regulatory and certification requirements are not applicable to this unit.</w:t>
            </w:r>
          </w:p>
        </w:tc>
      </w:tr>
    </w:tbl>
    <w:p w:rsidR="00000000" w:rsidRPr="00AC77D9" w:rsidP="00AC77D9">
      <w:pPr>
        <w:pStyle w:val="BodyText"/>
      </w:pPr>
    </w:p>
    <w:p w:rsidR="00000000" w:rsidRPr="00AC77D9" w:rsidP="00AC77D9">
      <w:pPr>
        <w:pStyle w:val="AllowPageBreak"/>
      </w:pPr>
    </w:p>
    <w:p w:rsidR="00000000" w:rsidRPr="00AC77D9" w:rsidP="00AC77D9">
      <w:pPr>
        <w:pStyle w:val="Heading1"/>
      </w:pPr>
      <w:bookmarkStart w:id="3" w:name="O_357490"/>
      <w:bookmarkEnd w:id="3"/>
      <w:r w:rsidRPr="00AC77D9">
        <w:t>Application of the Unit</w:t>
      </w:r>
    </w:p>
    <w:tbl>
      <w:tblPr>
        <w:tblW w:w="0" w:type="auto"/>
        <w:tblCellMar>
          <w:left w:w="62" w:type="dxa"/>
          <w:right w:w="62" w:type="dxa"/>
        </w:tblCellMar>
        <w:tblLook w:val="0000"/>
      </w:tblPr>
      <w:tblGrid>
        <w:gridCol w:w="9196"/>
      </w:tblGrid>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77D9" w:rsidP="00AC77D9">
            <w:pPr>
              <w:pStyle w:val="BodyText"/>
            </w:pPr>
            <w:r w:rsidRPr="00AC77D9">
              <w:t>This unit applies to those working in the transport and logistics industry.</w:t>
            </w:r>
          </w:p>
        </w:tc>
      </w:tr>
    </w:tbl>
    <w:p w:rsidR="00000000" w:rsidRPr="00AC77D9" w:rsidP="00AC77D9">
      <w:pPr>
        <w:pStyle w:val="BodyText"/>
      </w:pPr>
    </w:p>
    <w:p w:rsidR="00000000" w:rsidRPr="00AC77D9" w:rsidP="00AC77D9">
      <w:pPr>
        <w:pStyle w:val="AllowPageBreak"/>
      </w:pPr>
    </w:p>
    <w:p w:rsidR="00000000" w:rsidRPr="00AC77D9" w:rsidP="00AC77D9">
      <w:pPr>
        <w:pStyle w:val="Heading1"/>
      </w:pPr>
      <w:bookmarkStart w:id="4" w:name="O_357491"/>
      <w:bookmarkEnd w:id="4"/>
      <w:r w:rsidRPr="00AC77D9">
        <w:t>Licensing/Regulatory Information</w:t>
      </w:r>
    </w:p>
    <w:p w:rsidR="00000000" w:rsidRPr="00AC77D9" w:rsidP="00AC77D9">
      <w:pPr>
        <w:pStyle w:val="BodyText"/>
      </w:pPr>
      <w:r w:rsidRPr="00AC77D9">
        <w:t>Refer to Unit Descriptor.</w:t>
      </w:r>
    </w:p>
    <w:p w:rsidR="00000000" w:rsidRPr="00AC77D9" w:rsidP="00AC77D9">
      <w:pPr>
        <w:pStyle w:val="AllowPageBreak"/>
      </w:pPr>
    </w:p>
    <w:p w:rsidR="00000000" w:rsidRPr="00AC77D9" w:rsidP="00AC77D9">
      <w:pPr>
        <w:pStyle w:val="Heading1"/>
      </w:pPr>
      <w:bookmarkStart w:id="5" w:name="O_357492"/>
      <w:bookmarkEnd w:id="5"/>
      <w:r w:rsidRPr="00AC77D9">
        <w:t>Pre-Requisites</w:t>
      </w:r>
    </w:p>
    <w:p w:rsidR="00000000" w:rsidRPr="00AC77D9" w:rsidP="00AC77D9">
      <w:pPr>
        <w:pStyle w:val="BodyText"/>
      </w:pPr>
      <w:r w:rsidRPr="00AC77D9">
        <w:t>Not applicable.</w:t>
      </w:r>
    </w:p>
    <w:p w:rsidR="00000000" w:rsidRPr="00AC77D9" w:rsidP="00AC77D9">
      <w:pPr>
        <w:pStyle w:val="AllowPageBreak"/>
      </w:pPr>
    </w:p>
    <w:p w:rsidR="00000000" w:rsidRPr="00AC77D9" w:rsidP="00AC77D9">
      <w:pPr>
        <w:pStyle w:val="Heading1"/>
      </w:pPr>
      <w:bookmarkStart w:id="6" w:name="O_357493"/>
      <w:bookmarkEnd w:id="6"/>
      <w:r w:rsidRPr="00AC77D9">
        <w:t>Employability Skills Information</w:t>
      </w:r>
    </w:p>
    <w:tbl>
      <w:tblPr>
        <w:tblW w:w="0" w:type="auto"/>
        <w:tblCellMar>
          <w:left w:w="62" w:type="dxa"/>
          <w:right w:w="62" w:type="dxa"/>
        </w:tblCellMar>
        <w:tblLook w:val="0000"/>
      </w:tblPr>
      <w:tblGrid>
        <w:gridCol w:w="9196"/>
      </w:tblGrid>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77D9" w:rsidP="00AC77D9">
            <w:pPr>
              <w:pStyle w:val="BodyText"/>
            </w:pPr>
            <w:r w:rsidRPr="00AC77D9">
              <w:t>This unit contains employability skills.</w:t>
            </w:r>
          </w:p>
        </w:tc>
      </w:tr>
    </w:tbl>
    <w:p w:rsidR="00000000" w:rsidRPr="00AC77D9" w:rsidP="00AC77D9">
      <w:pPr>
        <w:pStyle w:val="BodyText"/>
      </w:pPr>
    </w:p>
    <w:p w:rsidR="00000000" w:rsidRPr="00AC77D9" w:rsidP="00AC77D9">
      <w:pPr>
        <w:pStyle w:val="AllowPageBreak"/>
      </w:pPr>
    </w:p>
    <w:p w:rsidR="00000000" w:rsidRPr="00AC77D9" w:rsidP="00AC77D9">
      <w:pPr>
        <w:pStyle w:val="Heading1"/>
      </w:pPr>
      <w:bookmarkStart w:id="7" w:name="O_357494"/>
      <w:bookmarkEnd w:id="7"/>
      <w:r w:rsidRPr="00AC77D9">
        <w:t>Elements and Performance Criteria Pre-C</w:t>
      </w:r>
      <w:r w:rsidRPr="00AC77D9">
        <w:t>ontent</w:t>
      </w:r>
    </w:p>
    <w:tbl>
      <w:tblPr>
        <w:tblW w:w="0" w:type="auto"/>
        <w:tblCellMar>
          <w:left w:w="62" w:type="dxa"/>
          <w:right w:w="62" w:type="dxa"/>
        </w:tblCellMar>
        <w:tblLook w:val="0000"/>
      </w:tblPr>
      <w:tblGrid>
        <w:gridCol w:w="2649"/>
        <w:gridCol w:w="6547"/>
      </w:tblGrid>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BodyText"/>
            </w:pPr>
            <w:r w:rsidRPr="00AC77D9">
              <w:t>Performance criteria describe the required performance needed to demonstrate achievement of the element. Assessment of performance is to be consistent with the evidence guide.</w:t>
            </w:r>
          </w:p>
        </w:tc>
      </w:tr>
    </w:tbl>
    <w:p w:rsidR="00000000" w:rsidRPr="00AC77D9" w:rsidP="00AC77D9">
      <w:pPr>
        <w:pStyle w:val="BodyText"/>
      </w:pPr>
    </w:p>
    <w:p w:rsidR="00000000" w:rsidRPr="00AC77D9" w:rsidP="00AC77D9">
      <w:pPr>
        <w:pStyle w:val="AllowPageBreak"/>
      </w:pPr>
    </w:p>
    <w:p w:rsidR="00000000" w:rsidRPr="00AC77D9" w:rsidP="00AC77D9">
      <w:pPr>
        <w:pStyle w:val="Heading1"/>
      </w:pPr>
      <w:bookmarkStart w:id="8" w:name="O_357495"/>
      <w:bookmarkEnd w:id="8"/>
      <w:r w:rsidRPr="00AC77D9">
        <w:t>Elements and Performance Criteria</w:t>
      </w:r>
    </w:p>
    <w:tbl>
      <w:tblPr>
        <w:tblW w:w="0" w:type="auto"/>
        <w:tblCellMar>
          <w:left w:w="62" w:type="dxa"/>
          <w:right w:w="62" w:type="dxa"/>
        </w:tblCellMar>
        <w:tblLook w:val="0000"/>
      </w:tblPr>
      <w:tblGrid>
        <w:gridCol w:w="2692"/>
        <w:gridCol w:w="6504"/>
      </w:tblGrid>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77D9" w:rsidP="00AC77D9">
            <w:pPr>
              <w:pStyle w:val="BodyText"/>
            </w:pPr>
            <w:r w:rsidRPr="00AC77D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PERFORMANCE CRITERIA</w:t>
            </w:r>
          </w:p>
        </w:tc>
      </w:tr>
      <w:tr w:rsidTr="002F2DD9">
        <w:tblPrEx>
          <w:tblW w:w="0" w:type="auto"/>
          <w:tblCellMar>
            <w:left w:w="62" w:type="dxa"/>
            <w:right w:w="62" w:type="dxa"/>
          </w:tblCellMar>
          <w:tblLook w:val="0000"/>
        </w:tblPrEx>
        <w:trPr>
          <w:trHeight w:val="20"/>
        </w:trPr>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1</w:t>
            </w:r>
            <w:r w:rsidRPr="00AC77D9">
              <w:rPr>
                <w:rStyle w:val="SpecialBold"/>
              </w:rPr>
              <w:tab/>
              <w:t>Identify required calculations</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BodyText"/>
            </w:pPr>
            <w:r w:rsidRPr="00AC77D9">
              <w:t>1.1</w:t>
            </w:r>
            <w:r w:rsidRPr="00AC77D9">
              <w:tab/>
              <w:t>Nature of calculation required and items involved are determined</w:t>
            </w:r>
          </w:p>
          <w:p w:rsidR="00000000" w:rsidP="00AC77D9">
            <w:pPr>
              <w:pStyle w:val="BodyText"/>
              <w:rPr>
                <w:lang w:val="en-NZ"/>
              </w:rPr>
            </w:pPr>
            <w:r w:rsidRPr="00AC77D9">
              <w:t>1.2</w:t>
            </w:r>
            <w:r w:rsidRPr="00AC77D9">
              <w:tab/>
              <w:t>Tools required to perform calculations are identified and sourced</w:t>
            </w:r>
          </w:p>
        </w:tc>
      </w:tr>
      <w:tr w:rsidTr="002F2DD9">
        <w:tblPrEx>
          <w:tblW w:w="0" w:type="auto"/>
          <w:tblCellMar>
            <w:left w:w="62" w:type="dxa"/>
            <w:right w:w="62" w:type="dxa"/>
          </w:tblCellMar>
          <w:tblLook w:val="0000"/>
        </w:tblPrEx>
        <w:trPr>
          <w:trHeight w:val="1510"/>
        </w:trPr>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2</w:t>
            </w:r>
            <w:r w:rsidRPr="00AC77D9">
              <w:rPr>
                <w:rStyle w:val="SpecialBold"/>
              </w:rPr>
              <w:tab/>
            </w:r>
            <w:r w:rsidRPr="00AC77D9">
              <w:rPr>
                <w:rStyle w:val="SpecialBold"/>
              </w:rPr>
              <w:t>Apply advanced calculations in workplace tasks</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BodyText"/>
            </w:pPr>
            <w:r w:rsidRPr="00AC77D9">
              <w:t>2.1</w:t>
            </w:r>
            <w:r w:rsidRPr="00AC77D9">
              <w:tab/>
              <w:t>Calculations involving fractions, percentages and mixed numbers, using the four basic processes, are performed as required to complete workplace tasks</w:t>
            </w:r>
          </w:p>
          <w:p w:rsidR="00000000" w:rsidP="00AC77D9">
            <w:pPr>
              <w:pStyle w:val="BodyText"/>
              <w:rPr>
                <w:lang w:val="en-NZ"/>
              </w:rPr>
            </w:pPr>
            <w:r w:rsidRPr="00AC77D9">
              <w:t>2.2</w:t>
            </w:r>
            <w:r w:rsidRPr="00AC77D9">
              <w:tab/>
            </w:r>
            <w:r w:rsidRPr="00AC77D9">
              <w:t>Numerical information is checked and corrected for accuracy</w:t>
            </w:r>
          </w:p>
        </w:tc>
      </w:tr>
      <w:tr w:rsidTr="002F2DD9">
        <w:tblPrEx>
          <w:tblW w:w="0" w:type="auto"/>
          <w:tblCellMar>
            <w:left w:w="62" w:type="dxa"/>
            <w:right w:w="62" w:type="dxa"/>
          </w:tblCellMar>
          <w:tblLook w:val="0000"/>
        </w:tblPrEx>
        <w:trPr>
          <w:trHeight w:val="1484"/>
        </w:trPr>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3</w:t>
            </w:r>
            <w:r w:rsidRPr="00AC77D9">
              <w:rPr>
                <w:rStyle w:val="SpecialBold"/>
              </w:rPr>
              <w:tab/>
              <w:t>Prepare estimates</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BodyText"/>
            </w:pPr>
            <w:r w:rsidRPr="00AC77D9">
              <w:t>3.1</w:t>
            </w:r>
            <w:r w:rsidRPr="00AC77D9">
              <w:tab/>
              <w:t>Quantities of materials and resources required to complete a work task are estimated and calculated accurately using fractions, percentages and mixed numbers</w:t>
            </w:r>
          </w:p>
          <w:p w:rsidR="00000000" w:rsidRPr="00AC77D9" w:rsidP="00AC77D9">
            <w:pPr>
              <w:pStyle w:val="BodyText"/>
            </w:pPr>
            <w:r w:rsidRPr="00AC77D9">
              <w:t>3.2</w:t>
            </w:r>
            <w:r w:rsidRPr="00AC77D9">
              <w:tab/>
              <w:t xml:space="preserve">Accurate </w:t>
            </w:r>
            <w:r w:rsidRPr="00AC77D9">
              <w:t>estimates for work completion are made using fractions, percentages and mixed numbers</w:t>
            </w:r>
          </w:p>
          <w:p w:rsidR="00000000" w:rsidP="00AC77D9">
            <w:pPr>
              <w:pStyle w:val="BodyText"/>
              <w:rPr>
                <w:lang w:val="en-NZ"/>
              </w:rPr>
            </w:pPr>
            <w:r w:rsidRPr="00AC77D9">
              <w:t>3.3</w:t>
            </w:r>
            <w:r w:rsidRPr="00AC77D9">
              <w:tab/>
              <w:t>Working load limits of workplace equipment are calculated using advanced calculations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4</w:t>
            </w:r>
            <w:r w:rsidRPr="00AC77D9">
              <w:rPr>
                <w:rStyle w:val="SpecialBold"/>
              </w:rPr>
              <w:tab/>
              <w:t>Interpret graphical representations of mathematical information</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BodyText"/>
            </w:pPr>
            <w:r w:rsidRPr="00AC77D9">
              <w:t>4.1</w:t>
            </w:r>
            <w:r w:rsidRPr="00AC77D9">
              <w:tab/>
              <w:t>Informati</w:t>
            </w:r>
            <w:r w:rsidRPr="00AC77D9">
              <w:t>on represented in symbols, diagrams and pictorial representations is analysed, calculated and interpreted as relevant to the job role and function</w:t>
            </w:r>
          </w:p>
        </w:tc>
      </w:tr>
    </w:tbl>
    <w:p w:rsidR="00000000" w:rsidRPr="00AC77D9" w:rsidP="00AC77D9">
      <w:pPr>
        <w:pStyle w:val="BodyText"/>
      </w:pPr>
    </w:p>
    <w:p w:rsidR="00000000" w:rsidRPr="00AC77D9" w:rsidP="00AC77D9">
      <w:pPr>
        <w:pStyle w:val="AllowPageBreak"/>
      </w:pPr>
    </w:p>
    <w:p w:rsidR="00000000" w:rsidRPr="00AC77D9" w:rsidP="00AC77D9">
      <w:pPr>
        <w:pStyle w:val="Heading1"/>
      </w:pPr>
      <w:bookmarkStart w:id="9" w:name="O_357496"/>
      <w:bookmarkEnd w:id="9"/>
      <w:r w:rsidRPr="00AC77D9">
        <w:t>Required Skills and Knowledge</w:t>
      </w:r>
    </w:p>
    <w:tbl>
      <w:tblPr>
        <w:tblW w:w="0" w:type="auto"/>
        <w:tblCellMar>
          <w:left w:w="62" w:type="dxa"/>
          <w:right w:w="62" w:type="dxa"/>
        </w:tblCellMar>
        <w:tblLook w:val="0000"/>
      </w:tblPr>
      <w:tblGrid>
        <w:gridCol w:w="9196"/>
      </w:tblGrid>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REQUIRED SKILLS AND KNOWLEDGE</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t>This descri</w:t>
            </w:r>
            <w:r w:rsidRPr="00AC77D9">
              <w:t xml:space="preserve">bes the essential skills and knowledge and their level, required for this unit. </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Required knowledge:</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Relevant OH&amp;S responsibilities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Advanced mathematical operations and techniques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Ways of representing advanced and complex mathematical information</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Proc</w:t>
            </w:r>
            <w:r w:rsidRPr="00AC77D9">
              <w:t>edures for identifying and using relevant workplace technology when carrying out workplace calculations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Advanced mathematical problems, and appropriate action and solutions</w:t>
            </w:r>
          </w:p>
        </w:tc>
      </w:tr>
    </w:tbl>
    <w:p w:rsidR="00000000" w:rsidRPr="00AC77D9" w:rsidP="00AC77D9">
      <w:pPr>
        <w:pStyle w:val="BodyText"/>
      </w:pPr>
    </w:p>
    <w:tbl>
      <w:tblPr>
        <w:tblW w:w="0" w:type="auto"/>
        <w:tblCellMar>
          <w:left w:w="62" w:type="dxa"/>
          <w:right w:w="62" w:type="dxa"/>
        </w:tblCellMar>
        <w:tblLook w:val="0000"/>
      </w:tblPr>
      <w:tblGrid>
        <w:gridCol w:w="9196"/>
      </w:tblGrid>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Required skills: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Interpret and follow operational instructions and prioritise work</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Complete documentation relating to work activities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Work collaboratively with others when carrying out advanced workplace calculations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 xml:space="preserve">Modify activities depending on differing operational </w:t>
            </w:r>
            <w:r w:rsidRPr="00AC77D9">
              <w:t>contingencies and environments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Work systematically with required attention to detail</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Operate and adapt to differences in equipment in accordance with standard operating procedures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Estimate working load limits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Make accurate estimates in a range of situa</w:t>
            </w:r>
            <w:r w:rsidRPr="00AC77D9">
              <w:t>tions in the transport and logistics and heavy recovery industry</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Complex numeracy around job functions within transport and logistics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Reading complex legislative and regulatory requirements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using ratios and proportion and applying rates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ListBullet"/>
              <w:rPr>
                <w:lang w:val="en-NZ"/>
              </w:rPr>
            </w:pPr>
            <w:r w:rsidRPr="00AC77D9">
              <w:t>using multiple pieces of mathematical information to perform complex mathematical processes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reading complex dials and indicators, non standard units of measurement, metric and imperial unit conversion, more advanced time estimates</w:t>
            </w:r>
          </w:p>
        </w:tc>
      </w:tr>
    </w:tbl>
    <w:p w:rsidR="00000000" w:rsidRPr="00AC77D9" w:rsidP="00AC77D9">
      <w:pPr>
        <w:pStyle w:val="BodyText"/>
      </w:pPr>
    </w:p>
    <w:p w:rsidR="00000000" w:rsidRPr="00AC77D9" w:rsidP="00AC77D9">
      <w:pPr>
        <w:pStyle w:val="AllowPageBreak"/>
      </w:pPr>
    </w:p>
    <w:p w:rsidR="00000000" w:rsidRPr="00AC77D9" w:rsidP="00AC77D9">
      <w:pPr>
        <w:pStyle w:val="Heading1"/>
      </w:pPr>
      <w:bookmarkStart w:id="10" w:name="O_357497"/>
      <w:bookmarkEnd w:id="10"/>
      <w:r w:rsidRPr="00AC77D9">
        <w:t>Evide</w:t>
      </w:r>
      <w:r w:rsidRPr="00AC77D9">
        <w:t>nce Guide</w:t>
      </w:r>
    </w:p>
    <w:tbl>
      <w:tblPr>
        <w:tblW w:w="9215" w:type="dxa"/>
        <w:tblLayout w:type="fixed"/>
        <w:tblCellMar>
          <w:left w:w="62" w:type="dxa"/>
          <w:right w:w="62" w:type="dxa"/>
        </w:tblCellMar>
        <w:tblLook w:val="0000"/>
      </w:tblPr>
      <w:tblGrid>
        <w:gridCol w:w="3403"/>
        <w:gridCol w:w="5812"/>
      </w:tblGrid>
      <w:tr w:rsidTr="00AC77D9">
        <w:tblPrEx>
          <w:tblW w:w="9215" w:type="dxa"/>
          <w:tblLayout w:type="fixed"/>
          <w:tblCellMar>
            <w:left w:w="62" w:type="dxa"/>
            <w:right w:w="62" w:type="dxa"/>
          </w:tblCellMar>
          <w:tblLook w:val="0000"/>
        </w:tblPrEx>
        <w:tc>
          <w:tcPr>
            <w:tcW w:w="9215" w:type="dxa"/>
            <w:gridSpan w:val="2"/>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EVIDENCE GUIDE</w:t>
            </w:r>
          </w:p>
        </w:tc>
      </w:tr>
      <w:tr w:rsidTr="00AC77D9">
        <w:tblPrEx>
          <w:tblW w:w="9215" w:type="dxa"/>
          <w:tblLayout w:type="fixed"/>
          <w:tblCellMar>
            <w:left w:w="62" w:type="dxa"/>
            <w:right w:w="62" w:type="dxa"/>
          </w:tblCellMar>
          <w:tblLook w:val="0000"/>
        </w:tblPrEx>
        <w:tc>
          <w:tcPr>
            <w:tcW w:w="9215" w:type="dxa"/>
            <w:gridSpan w:val="2"/>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t xml:space="preserve">The evidence guide provides advice on assessment and must be read in conjunction with the Performance Criteria, Required Skills and Knowledge, </w:t>
            </w:r>
            <w:r w:rsidRPr="00AC77D9">
              <w:t xml:space="preserve">the Range Statement and the Assessment section in Section B of the accreditation submission. </w:t>
            </w:r>
          </w:p>
        </w:tc>
      </w:tr>
      <w:tr w:rsidTr="00AC77D9">
        <w:tblPrEx>
          <w:tblW w:w="9215"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Critical aspects for assessment and evidence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The evidence required to demonstrate competency in this unit must b</w:t>
            </w:r>
            <w:r w:rsidRPr="00AC77D9">
              <w:t>e relevant to and satisfy all of the requirements of the elements and performance criteria of this unit and include demonstration of:</w:t>
            </w:r>
          </w:p>
          <w:p w:rsidR="00000000" w:rsidRPr="00AC77D9" w:rsidP="00AC77D9">
            <w:pPr>
              <w:pStyle w:val="ListBullet2"/>
            </w:pPr>
            <w:r w:rsidRPr="00AC77D9">
              <w:t>calculate the mass and dimension of work function pertaining to the job role using fractions, percentages and mixed numbe</w:t>
            </w:r>
            <w:r w:rsidRPr="00AC77D9">
              <w:t>rs</w:t>
            </w:r>
          </w:p>
          <w:p w:rsidR="00000000" w:rsidRPr="00AC77D9" w:rsidP="00AC77D9">
            <w:pPr>
              <w:pStyle w:val="ListBullet2"/>
            </w:pPr>
            <w:r w:rsidRPr="00AC77D9">
              <w:t>demonstrate the calculation of a load limit</w:t>
            </w:r>
          </w:p>
          <w:p w:rsidR="00000000" w:rsidP="00AC77D9">
            <w:pPr>
              <w:pStyle w:val="ListBullet2"/>
              <w:rPr>
                <w:lang w:val="en-NZ"/>
              </w:rPr>
            </w:pPr>
            <w:r w:rsidRPr="00AC77D9">
              <w:t xml:space="preserve">interpret and analyse a workplace mathematical symbol </w:t>
            </w:r>
          </w:p>
        </w:tc>
      </w:tr>
      <w:tr w:rsidTr="00AC77D9">
        <w:tblPrEx>
          <w:tblW w:w="9215"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Context of and 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Performance is demonstrated consistently over a period of time and in a suitable range of contexts</w:t>
            </w:r>
          </w:p>
          <w:p w:rsidR="00000000" w:rsidRPr="00AC77D9" w:rsidP="00AC77D9">
            <w:pPr>
              <w:pStyle w:val="ListBullet"/>
            </w:pPr>
            <w:r w:rsidRPr="00AC77D9">
              <w:t>Resources for assessment include:</w:t>
            </w:r>
          </w:p>
          <w:p w:rsidR="00000000" w:rsidRPr="00AC77D9" w:rsidP="00AC77D9">
            <w:pPr>
              <w:pStyle w:val="ListBullet2"/>
            </w:pPr>
            <w:r w:rsidRPr="00AC77D9">
              <w:t>a range of relevant exercises, case studies and/or other simulated practical and knowledge assessment, and/or</w:t>
            </w:r>
          </w:p>
          <w:p w:rsidR="00000000" w:rsidRPr="00AC77D9" w:rsidP="00AC77D9">
            <w:pPr>
              <w:pStyle w:val="ListBullet2"/>
            </w:pPr>
            <w:r w:rsidRPr="00AC77D9">
              <w:t>access to an appropriate range of relevant operational situations in the workplace</w:t>
            </w:r>
          </w:p>
          <w:p w:rsidR="00000000" w:rsidRPr="00AC77D9" w:rsidP="00AC77D9">
            <w:pPr>
              <w:pStyle w:val="ListBullet"/>
            </w:pPr>
            <w:r w:rsidRPr="00AC77D9">
              <w:t>In both real and simulated e</w:t>
            </w:r>
            <w:r w:rsidRPr="00AC77D9">
              <w:t>nvironments, access is required to:</w:t>
            </w:r>
          </w:p>
          <w:p w:rsidR="00000000" w:rsidRPr="00AC77D9" w:rsidP="00AC77D9">
            <w:pPr>
              <w:pStyle w:val="ListBullet2"/>
            </w:pPr>
            <w:r w:rsidRPr="00AC77D9">
              <w:t>relevant and appropriate materials and equipment</w:t>
            </w:r>
          </w:p>
          <w:p w:rsidR="00000000" w:rsidP="00AC77D9">
            <w:pPr>
              <w:pStyle w:val="ListBullet2"/>
              <w:rPr>
                <w:lang w:val="en-NZ"/>
              </w:rPr>
            </w:pPr>
            <w:r w:rsidRPr="00AC77D9">
              <w:t>applicable documentation, including workplace procedures, regulations, codes of practice and operation manuals</w:t>
            </w:r>
          </w:p>
        </w:tc>
      </w:tr>
      <w:tr w:rsidTr="00AC77D9">
        <w:tblPrEx>
          <w:tblW w:w="9215" w:type="dxa"/>
          <w:tblLayout w:type="fixed"/>
          <w:tblCellMar>
            <w:left w:w="62" w:type="dxa"/>
            <w:right w:w="62" w:type="dxa"/>
          </w:tblCellMar>
          <w:tblLook w:val="0000"/>
        </w:tblPrEx>
        <w:trPr>
          <w:trHeight w:val="2364"/>
        </w:trPr>
        <w:tc>
          <w:tcPr>
            <w:tcW w:w="3403" w:type="dxa"/>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As a minimum, assessment of knowledge</w:t>
            </w:r>
            <w:r w:rsidRPr="00AC77D9">
              <w:t xml:space="preserve"> must be conducted through appropriate assessments using written, practical and oral assessments</w:t>
            </w:r>
          </w:p>
          <w:p w:rsidR="00000000" w:rsidRPr="00AC77D9" w:rsidP="00AC77D9">
            <w:pPr>
              <w:pStyle w:val="ListBullet"/>
            </w:pPr>
            <w:r w:rsidRPr="00AC77D9">
              <w:t>Practical assessment must occur:</w:t>
            </w:r>
          </w:p>
          <w:p w:rsidR="00000000" w:rsidRPr="00AC77D9" w:rsidP="00AC77D9">
            <w:pPr>
              <w:pStyle w:val="ListBullet2"/>
            </w:pPr>
            <w:r w:rsidRPr="00AC77D9">
              <w:t>through activities in an appropriately simulated environment consistent with current industry practice, and/or</w:t>
            </w:r>
          </w:p>
          <w:p w:rsidR="00000000" w:rsidRPr="00AC77D9" w:rsidP="00AC77D9">
            <w:pPr>
              <w:pStyle w:val="ListBullet2"/>
            </w:pPr>
            <w:r w:rsidRPr="00AC77D9">
              <w:t>in an appropriate range of situations in the workplace</w:t>
            </w:r>
          </w:p>
        </w:tc>
      </w:tr>
    </w:tbl>
    <w:p w:rsidR="00000000" w:rsidRPr="00AC77D9" w:rsidP="00AC77D9">
      <w:pPr>
        <w:pStyle w:val="BodyText"/>
      </w:pPr>
    </w:p>
    <w:p w:rsidR="00000000" w:rsidRPr="00AC77D9" w:rsidP="00AC77D9">
      <w:pPr>
        <w:pStyle w:val="AllowPageBreak"/>
      </w:pPr>
    </w:p>
    <w:p w:rsidR="00000000" w:rsidRPr="00AC77D9" w:rsidP="00AC77D9">
      <w:pPr>
        <w:pStyle w:val="Heading1"/>
      </w:pPr>
      <w:bookmarkStart w:id="11" w:name="O_357498"/>
      <w:bookmarkEnd w:id="11"/>
      <w:r w:rsidRPr="00AC77D9">
        <w:t>Range Statement</w:t>
      </w:r>
    </w:p>
    <w:tbl>
      <w:tblPr>
        <w:tblW w:w="0" w:type="auto"/>
        <w:tblCellMar>
          <w:left w:w="62" w:type="dxa"/>
          <w:right w:w="62" w:type="dxa"/>
        </w:tblCellMar>
        <w:tblLook w:val="0000"/>
      </w:tblPr>
      <w:tblGrid>
        <w:gridCol w:w="3147"/>
        <w:gridCol w:w="6049"/>
      </w:tblGrid>
      <w:tr w:rsidTr="002F2D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RANGE STATEMENT</w:t>
            </w:r>
          </w:p>
        </w:tc>
      </w:tr>
      <w:tr w:rsidTr="002F2D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t xml:space="preserve">The Range Statement relates to the unit of competency as a whole. It allows for different work environments and situations that may affect </w:t>
            </w:r>
            <w:r w:rsidRPr="00AC77D9">
              <w:t xml:space="preserve">performance. Add any essential operating conditions that may be present with training and assessment depending on the work situation, needs of the candidate, accessibility of the item, and local industry and regional contexts. </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Calculations may involve:</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volume</w:t>
            </w:r>
          </w:p>
          <w:p w:rsidR="00000000" w:rsidRPr="00AC77D9" w:rsidP="00AC77D9">
            <w:pPr>
              <w:pStyle w:val="ListBullet"/>
            </w:pPr>
            <w:r w:rsidRPr="00AC77D9">
              <w:t>weight</w:t>
            </w:r>
          </w:p>
          <w:p w:rsidR="00000000" w:rsidRPr="00AC77D9" w:rsidP="00AC77D9">
            <w:pPr>
              <w:pStyle w:val="ListBullet"/>
            </w:pPr>
            <w:r w:rsidRPr="00AC77D9">
              <w:t>time</w:t>
            </w:r>
          </w:p>
          <w:p w:rsidR="00000000" w:rsidRPr="00AC77D9" w:rsidP="00AC77D9">
            <w:pPr>
              <w:pStyle w:val="ListBullet"/>
            </w:pPr>
            <w:r w:rsidRPr="00AC77D9">
              <w:t>length and distance</w:t>
            </w:r>
          </w:p>
          <w:p w:rsidR="00000000" w:rsidRPr="00AC77D9" w:rsidP="00AC77D9">
            <w:pPr>
              <w:pStyle w:val="ListBullet"/>
            </w:pPr>
            <w:r w:rsidRPr="00AC77D9">
              <w:t>area</w:t>
            </w:r>
          </w:p>
          <w:p w:rsidR="00000000" w:rsidP="00AC77D9">
            <w:pPr>
              <w:pStyle w:val="ListBullet"/>
              <w:rPr>
                <w:lang w:val="en-NZ"/>
              </w:rPr>
            </w:pPr>
            <w:r w:rsidRPr="00AC77D9">
              <w:t>perimeter</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Tools required may include:</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calculator</w:t>
            </w:r>
          </w:p>
          <w:p w:rsidR="00000000" w:rsidRPr="00AC77D9" w:rsidP="00AC77D9">
            <w:pPr>
              <w:pStyle w:val="ListBullet"/>
            </w:pPr>
            <w:r w:rsidRPr="00AC77D9">
              <w:t>numeric keypad</w:t>
            </w:r>
          </w:p>
          <w:p w:rsidR="00000000" w:rsidP="00AC77D9">
            <w:pPr>
              <w:pStyle w:val="ListBullet"/>
              <w:rPr>
                <w:lang w:val="en-NZ"/>
              </w:rPr>
            </w:pPr>
            <w:r w:rsidRPr="00AC77D9">
              <w:t>computer</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Four basic processes are:</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addition</w:t>
            </w:r>
          </w:p>
          <w:p w:rsidR="00000000" w:rsidRPr="00AC77D9" w:rsidP="00AC77D9">
            <w:pPr>
              <w:pStyle w:val="ListBullet"/>
            </w:pPr>
            <w:r w:rsidRPr="00AC77D9">
              <w:t>subtraction</w:t>
            </w:r>
          </w:p>
          <w:p w:rsidR="00000000" w:rsidRPr="00AC77D9" w:rsidP="00AC77D9">
            <w:pPr>
              <w:pStyle w:val="ListBullet"/>
            </w:pPr>
            <w:r w:rsidRPr="00AC77D9">
              <w:t>division</w:t>
            </w:r>
          </w:p>
          <w:p w:rsidR="00000000" w:rsidP="00AC77D9">
            <w:pPr>
              <w:pStyle w:val="ListBullet"/>
              <w:rPr>
                <w:lang w:val="en-NZ"/>
              </w:rPr>
            </w:pPr>
            <w:r w:rsidRPr="00AC77D9">
              <w:t>multiplication</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Symbols, diagrams and pictorial representations include:</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graphic representation within transport and logistics operations</w:t>
            </w:r>
          </w:p>
          <w:p w:rsidR="00000000" w:rsidRPr="00AC77D9" w:rsidP="00AC77D9">
            <w:pPr>
              <w:pStyle w:val="ListBullet"/>
            </w:pPr>
            <w:r w:rsidRPr="00AC77D9">
              <w:t>spreadsheets</w:t>
            </w:r>
          </w:p>
          <w:p w:rsidR="00000000" w:rsidRPr="00AC77D9" w:rsidP="00AC77D9">
            <w:pPr>
              <w:pStyle w:val="ListBullet"/>
            </w:pPr>
            <w:r w:rsidRPr="00AC77D9">
              <w:t>pie charts</w:t>
            </w:r>
          </w:p>
          <w:p w:rsidR="00000000" w:rsidRPr="00AC77D9" w:rsidP="00AC77D9">
            <w:pPr>
              <w:pStyle w:val="ListBullet"/>
            </w:pPr>
            <w:r w:rsidRPr="00AC77D9">
              <w:t>horizontal winch pull</w:t>
            </w:r>
          </w:p>
          <w:p w:rsidR="00000000" w:rsidRPr="00AC77D9" w:rsidP="00AC77D9">
            <w:pPr>
              <w:pStyle w:val="ListBullet"/>
            </w:pPr>
            <w:r w:rsidRPr="00AC77D9">
              <w:t>vertical winch pull</w:t>
            </w:r>
          </w:p>
          <w:p w:rsidR="00000000" w:rsidRPr="00AC77D9" w:rsidP="00AC77D9">
            <w:pPr>
              <w:pStyle w:val="ListBullet"/>
            </w:pPr>
            <w:r w:rsidRPr="00AC77D9">
              <w:t>air cushion</w:t>
            </w:r>
          </w:p>
          <w:p w:rsidR="00000000" w:rsidRPr="00AC77D9" w:rsidP="00AC77D9">
            <w:pPr>
              <w:pStyle w:val="ListBullet"/>
            </w:pPr>
            <w:r w:rsidRPr="00AC77D9">
              <w:t>rolling recovery</w:t>
            </w:r>
          </w:p>
          <w:p w:rsidR="00000000" w:rsidP="00AC77D9">
            <w:pPr>
              <w:pStyle w:val="ListBullet"/>
              <w:rPr>
                <w:lang w:val="en-NZ"/>
              </w:rPr>
            </w:pPr>
            <w:r w:rsidRPr="00AC77D9">
              <w:t>gradients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Working load limits include:</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horizontal winch pull</w:t>
            </w:r>
          </w:p>
          <w:p w:rsidR="00000000" w:rsidRPr="00AC77D9" w:rsidP="00AC77D9">
            <w:pPr>
              <w:pStyle w:val="ListBullet"/>
            </w:pPr>
            <w:r w:rsidRPr="00AC77D9">
              <w:t>vertical winch pull</w:t>
            </w:r>
          </w:p>
          <w:p w:rsidR="00000000" w:rsidRPr="00AC77D9" w:rsidP="00AC77D9">
            <w:pPr>
              <w:pStyle w:val="ListBullet"/>
            </w:pPr>
            <w:r w:rsidRPr="00AC77D9">
              <w:t>winch pull (leverage) required for recovery</w:t>
            </w:r>
          </w:p>
          <w:p w:rsidR="00000000" w:rsidP="00AC77D9">
            <w:pPr>
              <w:pStyle w:val="ListBullet"/>
              <w:rPr>
                <w:lang w:val="en-NZ"/>
              </w:rPr>
            </w:pPr>
            <w:r w:rsidRPr="00AC77D9">
              <w:t>air cushion force (leverage) required for rollover recovery</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Accurate estimates include:</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potential snapping path</w:t>
            </w:r>
          </w:p>
          <w:p w:rsidR="00000000" w:rsidRPr="00AC77D9" w:rsidP="00AC77D9">
            <w:pPr>
              <w:pStyle w:val="ListBullet"/>
            </w:pPr>
            <w:r w:rsidRPr="00AC77D9">
              <w:t xml:space="preserve">resistance </w:t>
            </w:r>
          </w:p>
          <w:p w:rsidR="00000000" w:rsidRPr="00AC77D9" w:rsidP="00AC77D9">
            <w:pPr>
              <w:pStyle w:val="ListBullet"/>
            </w:pPr>
            <w:r w:rsidRPr="00AC77D9">
              <w:t xml:space="preserve">rolling </w:t>
            </w:r>
          </w:p>
          <w:p w:rsidR="00000000" w:rsidRPr="00AC77D9" w:rsidP="00AC77D9">
            <w:pPr>
              <w:pStyle w:val="ListBullet"/>
            </w:pPr>
            <w:r w:rsidRPr="00AC77D9">
              <w:t>damage</w:t>
            </w:r>
          </w:p>
          <w:p w:rsidR="00000000" w:rsidRPr="00AC77D9" w:rsidP="00AC77D9">
            <w:pPr>
              <w:pStyle w:val="ListBullet"/>
            </w:pPr>
            <w:r w:rsidRPr="00AC77D9">
              <w:t>gradient</w:t>
            </w:r>
          </w:p>
          <w:p w:rsidR="00000000" w:rsidRPr="00AC77D9" w:rsidP="00AC77D9">
            <w:pPr>
              <w:pStyle w:val="ListBullet"/>
            </w:pPr>
            <w:r w:rsidRPr="00AC77D9">
              <w:t>mechanical advantage</w:t>
            </w:r>
          </w:p>
          <w:p w:rsidR="00000000" w:rsidP="00AC77D9">
            <w:pPr>
              <w:pStyle w:val="ListBullet"/>
              <w:rPr>
                <w:lang w:val="en-NZ"/>
              </w:rPr>
            </w:pPr>
            <w:r w:rsidRPr="00AC77D9">
              <w:t>included angles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 xml:space="preserve">Mathematical operations </w:t>
            </w:r>
            <w:r w:rsidRPr="00AC77D9">
              <w:rPr>
                <w:rStyle w:val="SpecialBold"/>
              </w:rPr>
              <w:t xml:space="preserve">may </w:t>
            </w:r>
            <w:r w:rsidRPr="00AC77D9">
              <w:rPr>
                <w:rStyle w:val="SpecialBold"/>
              </w:rPr>
              <w:t>include:</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multiplication</w:t>
            </w:r>
          </w:p>
          <w:p w:rsidR="00000000" w:rsidRPr="00AC77D9" w:rsidP="00AC77D9">
            <w:pPr>
              <w:pStyle w:val="ListBullet"/>
            </w:pPr>
            <w:r w:rsidRPr="00AC77D9">
              <w:t>division</w:t>
            </w:r>
          </w:p>
          <w:p w:rsidR="00000000" w:rsidRPr="00AC77D9" w:rsidP="00AC77D9">
            <w:pPr>
              <w:pStyle w:val="ListBullet"/>
            </w:pPr>
            <w:r w:rsidRPr="00AC77D9">
              <w:t>addition</w:t>
            </w:r>
          </w:p>
          <w:p w:rsidR="00000000" w:rsidRPr="00AC77D9" w:rsidP="00AC77D9">
            <w:pPr>
              <w:pStyle w:val="ListBullet"/>
            </w:pPr>
            <w:r w:rsidRPr="00AC77D9">
              <w:t>subtraction</w:t>
            </w:r>
          </w:p>
          <w:p w:rsidR="00000000" w:rsidRPr="00AC77D9" w:rsidP="00AC77D9">
            <w:pPr>
              <w:pStyle w:val="ListBullet"/>
            </w:pPr>
            <w:r w:rsidRPr="00AC77D9">
              <w:t>percentages</w:t>
            </w:r>
          </w:p>
          <w:p w:rsidR="00000000" w:rsidRPr="00AC77D9" w:rsidP="00AC77D9">
            <w:pPr>
              <w:pStyle w:val="ListBullet"/>
            </w:pPr>
            <w:r w:rsidRPr="00AC77D9">
              <w:t>fractions</w:t>
            </w:r>
          </w:p>
          <w:p w:rsidR="00000000" w:rsidP="00AC77D9">
            <w:pPr>
              <w:pStyle w:val="ListBullet"/>
              <w:rPr>
                <w:lang w:val="en-NZ"/>
              </w:rPr>
            </w:pPr>
            <w:r w:rsidRPr="00AC77D9">
              <w:t>estimation</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Depending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company procedures</w:t>
            </w:r>
          </w:p>
          <w:p w:rsidR="00000000" w:rsidRPr="00AC77D9" w:rsidP="00AC77D9">
            <w:pPr>
              <w:pStyle w:val="ListBullet"/>
            </w:pPr>
            <w:r w:rsidRPr="00AC77D9">
              <w:t>enterprise procedures</w:t>
            </w:r>
          </w:p>
          <w:p w:rsidR="00000000" w:rsidRPr="00AC77D9" w:rsidP="00AC77D9">
            <w:pPr>
              <w:pStyle w:val="ListBullet"/>
            </w:pPr>
            <w:r w:rsidRPr="00AC77D9">
              <w:t>organisational procedures</w:t>
            </w:r>
          </w:p>
          <w:p w:rsidR="00000000" w:rsidP="00AC77D9">
            <w:pPr>
              <w:pStyle w:val="ListBullet"/>
              <w:rPr>
                <w:lang w:val="en-NZ"/>
              </w:rPr>
            </w:pPr>
            <w:r w:rsidRPr="00AC77D9">
              <w:t>established procedures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Calculations may involve the basic use of a range of technology, including:</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manual techniques</w:t>
            </w:r>
          </w:p>
          <w:p w:rsidR="00000000" w:rsidRPr="00AC77D9" w:rsidP="00AC77D9">
            <w:pPr>
              <w:pStyle w:val="ListBullet"/>
            </w:pPr>
            <w:r w:rsidRPr="00AC77D9">
              <w:t>calculator</w:t>
            </w:r>
          </w:p>
          <w:p w:rsidR="00000000" w:rsidP="00AC77D9">
            <w:pPr>
              <w:pStyle w:val="ListBullet"/>
              <w:rPr>
                <w:lang w:val="en-NZ"/>
              </w:rPr>
            </w:pPr>
            <w:r w:rsidRPr="00AC77D9">
              <w:t>computer</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Information and documentation may include:</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workplace procedures, checklists and instruction</w:t>
            </w:r>
            <w:r w:rsidRPr="00AC77D9">
              <w:t>s</w:t>
            </w:r>
          </w:p>
          <w:p w:rsidR="00000000" w:rsidRPr="00AC77D9" w:rsidP="00AC77D9">
            <w:pPr>
              <w:pStyle w:val="ListBullet"/>
            </w:pPr>
            <w:r w:rsidRPr="00AC77D9">
              <w:t>goods identification numbers and codes</w:t>
            </w:r>
          </w:p>
          <w:p w:rsidR="00000000" w:rsidRPr="00AC77D9" w:rsidP="00AC77D9">
            <w:pPr>
              <w:pStyle w:val="ListBullet"/>
            </w:pPr>
            <w:r w:rsidRPr="00AC77D9">
              <w:t>manifests, bar codes, goods and container identification</w:t>
            </w:r>
          </w:p>
          <w:p w:rsidR="00000000" w:rsidRPr="00AC77D9" w:rsidP="00AC77D9">
            <w:pPr>
              <w:pStyle w:val="ListBullet"/>
            </w:pPr>
            <w:r w:rsidRPr="00AC77D9">
              <w:t>manufacturer specifications</w:t>
            </w:r>
          </w:p>
          <w:p w:rsidR="00000000" w:rsidRPr="00AC77D9" w:rsidP="00AC77D9">
            <w:pPr>
              <w:pStyle w:val="ListBullet"/>
            </w:pPr>
            <w:r w:rsidRPr="00AC77D9">
              <w:t>workplace policies</w:t>
            </w:r>
          </w:p>
          <w:p w:rsidR="00000000" w:rsidRPr="00AC77D9" w:rsidP="00AC77D9">
            <w:pPr>
              <w:pStyle w:val="ListBullet"/>
            </w:pPr>
            <w:r w:rsidRPr="00AC77D9">
              <w:t>supplier and client instructions</w:t>
            </w:r>
          </w:p>
          <w:p w:rsidR="00000000" w:rsidRPr="00AC77D9" w:rsidP="00AC77D9">
            <w:pPr>
              <w:pStyle w:val="ListBullet"/>
            </w:pPr>
            <w:r w:rsidRPr="00AC77D9">
              <w:t>material safety data sheets</w:t>
            </w:r>
          </w:p>
          <w:p w:rsidR="00000000" w:rsidRPr="00AC77D9" w:rsidP="00AC77D9">
            <w:pPr>
              <w:pStyle w:val="ListBullet"/>
            </w:pPr>
            <w:r w:rsidRPr="00AC77D9">
              <w:t>relevant codes of practice, including the National Standard for Manual Handling and the industry safety code</w:t>
            </w:r>
          </w:p>
          <w:p w:rsidR="00000000" w:rsidRPr="00AC77D9" w:rsidP="00AC77D9">
            <w:pPr>
              <w:pStyle w:val="ListBullet"/>
            </w:pPr>
            <w:r w:rsidRPr="00AC77D9">
              <w:t>award, enterprise bargaining agreement, other industrial arrangements</w:t>
            </w:r>
          </w:p>
          <w:p w:rsidR="00000000" w:rsidRPr="00AC77D9" w:rsidP="00AC77D9">
            <w:pPr>
              <w:pStyle w:val="ListBullet"/>
            </w:pPr>
            <w:r w:rsidRPr="00AC77D9">
              <w:t>standards and certification requirements</w:t>
            </w:r>
          </w:p>
          <w:p w:rsidR="00000000" w:rsidP="00AC77D9">
            <w:pPr>
              <w:pStyle w:val="ListBullet"/>
              <w:rPr>
                <w:lang w:val="en-NZ"/>
              </w:rPr>
            </w:pPr>
            <w:r w:rsidRPr="00AC77D9">
              <w:t>quality assurance procedures</w:t>
            </w:r>
          </w:p>
        </w:tc>
      </w:tr>
      <w:tr w:rsidTr="002F2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D9">
            <w:pPr>
              <w:pStyle w:val="BodyText"/>
              <w:rPr>
                <w:lang w:val="en-NZ"/>
              </w:rPr>
            </w:pPr>
            <w:r w:rsidRPr="00AC77D9">
              <w:rPr>
                <w:rStyle w:val="SpecialBold"/>
              </w:rPr>
              <w:t>Applic</w:t>
            </w:r>
            <w:r w:rsidRPr="00AC77D9">
              <w:rPr>
                <w:rStyle w:val="SpecialBold"/>
              </w:rPr>
              <w:t>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AC77D9" w:rsidP="00AC77D9">
            <w:pPr>
              <w:pStyle w:val="ListBullet"/>
            </w:pPr>
            <w:r w:rsidRPr="00AC77D9">
              <w:t>dangerous goods and freight regulations and codes</w:t>
            </w:r>
          </w:p>
          <w:p w:rsidR="00000000" w:rsidRPr="00AC77D9" w:rsidP="00AC77D9">
            <w:pPr>
              <w:pStyle w:val="ListBullet"/>
            </w:pPr>
            <w:r w:rsidRPr="00AC77D9">
              <w:t>relevant federal, state and territory OH&amp;S legislation</w:t>
            </w:r>
          </w:p>
        </w:tc>
      </w:tr>
    </w:tbl>
    <w:p w:rsidR="00000000" w:rsidRPr="00AC77D9" w:rsidP="00AC77D9">
      <w:pPr>
        <w:pStyle w:val="BodyText"/>
      </w:pPr>
    </w:p>
    <w:p w:rsidR="00000000" w:rsidRPr="00AC77D9" w:rsidP="00AC77D9">
      <w:pPr>
        <w:pStyle w:val="AllowPageBreak"/>
      </w:pPr>
    </w:p>
    <w:p w:rsidR="00000000" w:rsidRPr="00AC77D9" w:rsidP="00AC77D9">
      <w:pPr>
        <w:pStyle w:val="Heading1"/>
      </w:pPr>
      <w:bookmarkStart w:id="12" w:name="O_357499"/>
      <w:bookmarkEnd w:id="12"/>
      <w:r w:rsidRPr="00AC77D9">
        <w:t>Unit Sector(s)</w:t>
      </w:r>
    </w:p>
    <w:p w:rsidR="00000000" w:rsidRPr="00AC77D9" w:rsidP="00AC77D9">
      <w:pPr>
        <w:pStyle w:val="BodyText"/>
      </w:pPr>
      <w:r w:rsidRPr="00AC77D9">
        <w:t>Not applicable.</w:t>
      </w:r>
    </w:p>
    <w:p w:rsidR="00000000" w:rsidRPr="00AC77D9" w:rsidP="00AC77D9">
      <w:pPr>
        <w:pStyle w:val="AllowPageBreak"/>
      </w:pPr>
    </w:p>
    <w:p w:rsidR="00000000" w:rsidRPr="00AC77D9" w:rsidP="00AC77D9">
      <w:pPr>
        <w:pStyle w:val="Heading1"/>
      </w:pPr>
      <w:bookmarkStart w:id="13" w:name="O_357500"/>
      <w:bookmarkEnd w:id="13"/>
      <w:r w:rsidRPr="00AC77D9">
        <w:t>Competency Field</w:t>
      </w:r>
    </w:p>
    <w:p w:rsidR="00000000" w:rsidRPr="00AC77D9" w:rsidP="00AC77D9">
      <w:pPr>
        <w:pStyle w:val="BodyText"/>
      </w:pPr>
      <w:r w:rsidRPr="00AC77D9">
        <w:t>E – Communication and</w:t>
      </w:r>
      <w:r w:rsidRPr="00AC77D9">
        <w:t xml:space="preserve"> Calculation</w:t>
      </w:r>
    </w:p>
    <w:p w:rsidR="00000000" w:rsidRPr="00AC77D9" w:rsidP="00AC77D9"/>
    <w:sectPr w:rsidSect="00AC77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DD9" w:rsidP="002F2D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D9" w:rsidP="00AC77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2DD9" w:rsidP="00AC77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F2DD9" w:rsidP="00AC77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D9" w:rsidRPr="002F2DD9" w:rsidP="002F2D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D9" w:rsidRPr="002D2AF8" w:rsidP="00AC77D9">
    <w:pPr>
      <w:pStyle w:val="Header"/>
      <w:framePr w:wrap="around"/>
    </w:pPr>
    <w:r>
      <w:fldChar w:fldCharType="begin"/>
    </w:r>
    <w:r>
      <w:instrText xml:space="preserve"> TITLE   \* MERGEFORMAT </w:instrText>
    </w:r>
    <w:r>
      <w:fldChar w:fldCharType="separate"/>
    </w:r>
    <w:r>
      <w:t xml:space="preserve">TLIE3026A Carry out advanced calculations in the transport logistics industry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F2DD9" w:rsidP="00AC77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448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948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8631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7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7D9"/>
    <w:pPr>
      <w:spacing w:before="360" w:after="60"/>
      <w:outlineLvl w:val="0"/>
    </w:pPr>
    <w:rPr>
      <w:sz w:val="32"/>
    </w:rPr>
  </w:style>
  <w:style w:type="paragraph" w:styleId="Heading2">
    <w:name w:val="heading 2"/>
    <w:basedOn w:val="HeadingBase"/>
    <w:next w:val="BodyText"/>
    <w:link w:val="Heading2Char"/>
    <w:qFormat/>
    <w:rsid w:val="00AC77D9"/>
    <w:pPr>
      <w:keepLines/>
      <w:spacing w:before="240" w:after="120"/>
      <w:outlineLvl w:val="1"/>
    </w:pPr>
    <w:rPr>
      <w:sz w:val="28"/>
      <w:szCs w:val="40"/>
    </w:rPr>
  </w:style>
  <w:style w:type="paragraph" w:styleId="Heading3">
    <w:name w:val="heading 3"/>
    <w:basedOn w:val="HeadingBase"/>
    <w:next w:val="BodyText"/>
    <w:link w:val="Heading3Char"/>
    <w:qFormat/>
    <w:rsid w:val="00AC77D9"/>
    <w:pPr>
      <w:spacing w:before="180" w:after="120"/>
      <w:outlineLvl w:val="2"/>
    </w:pPr>
    <w:rPr>
      <w:spacing w:val="-10"/>
      <w:kern w:val="32"/>
    </w:rPr>
  </w:style>
  <w:style w:type="paragraph" w:styleId="Heading4">
    <w:name w:val="heading 4"/>
    <w:basedOn w:val="HeadingBase"/>
    <w:next w:val="BodyText"/>
    <w:link w:val="Heading4Char"/>
    <w:qFormat/>
    <w:rsid w:val="00AC77D9"/>
    <w:pPr>
      <w:spacing w:before="160" w:after="120"/>
      <w:outlineLvl w:val="3"/>
    </w:pPr>
    <w:rPr>
      <w:sz w:val="22"/>
    </w:rPr>
  </w:style>
  <w:style w:type="paragraph" w:styleId="Heading5">
    <w:name w:val="heading 5"/>
    <w:basedOn w:val="HeadingBase"/>
    <w:next w:val="Normal"/>
    <w:link w:val="Heading5Char"/>
    <w:qFormat/>
    <w:rsid w:val="00AC77D9"/>
    <w:pPr>
      <w:spacing w:before="80"/>
      <w:outlineLvl w:val="4"/>
    </w:pPr>
    <w:rPr>
      <w:color w:val="918585"/>
      <w:sz w:val="20"/>
    </w:rPr>
  </w:style>
  <w:style w:type="paragraph" w:styleId="Heading6">
    <w:name w:val="heading 6"/>
    <w:basedOn w:val="HeadingBase"/>
    <w:next w:val="Normal"/>
    <w:link w:val="Heading6Char"/>
    <w:qFormat/>
    <w:rsid w:val="00AC77D9"/>
    <w:pPr>
      <w:spacing w:before="60"/>
      <w:outlineLvl w:val="5"/>
    </w:pPr>
    <w:rPr>
      <w:color w:val="918585"/>
      <w:sz w:val="20"/>
    </w:rPr>
  </w:style>
  <w:style w:type="paragraph" w:styleId="Heading7">
    <w:name w:val="heading 7"/>
    <w:basedOn w:val="Normal"/>
    <w:next w:val="Normal"/>
    <w:link w:val="Heading7Char"/>
    <w:qFormat/>
    <w:rsid w:val="00AC77D9"/>
    <w:pPr>
      <w:ind w:left="720"/>
      <w:outlineLvl w:val="6"/>
    </w:pPr>
    <w:rPr>
      <w:i/>
    </w:rPr>
  </w:style>
  <w:style w:type="paragraph" w:styleId="Heading8">
    <w:name w:val="heading 8"/>
    <w:basedOn w:val="Normal"/>
    <w:next w:val="Normal"/>
    <w:link w:val="Heading8Char"/>
    <w:qFormat/>
    <w:rsid w:val="00AC77D9"/>
    <w:pPr>
      <w:ind w:left="720"/>
      <w:outlineLvl w:val="7"/>
    </w:pPr>
    <w:rPr>
      <w:i/>
    </w:rPr>
  </w:style>
  <w:style w:type="paragraph" w:styleId="Heading9">
    <w:name w:val="heading 9"/>
    <w:basedOn w:val="Normal"/>
    <w:next w:val="Normal"/>
    <w:link w:val="Heading9Char"/>
    <w:qFormat/>
    <w:rsid w:val="00AC77D9"/>
    <w:pPr>
      <w:ind w:left="720"/>
      <w:outlineLvl w:val="8"/>
    </w:pPr>
    <w:rPr>
      <w:i/>
    </w:rPr>
  </w:style>
  <w:style w:type="character" w:default="1" w:styleId="DefaultParagraphFont">
    <w:name w:val="Default Paragraph Font"/>
    <w:uiPriority w:val="1"/>
    <w:unhideWhenUsed/>
    <w:rsid w:val="00AC7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7D9"/>
  </w:style>
  <w:style w:type="character" w:customStyle="1" w:styleId="Heading1Char">
    <w:name w:val="Heading 1 Char"/>
    <w:basedOn w:val="DefaultParagraphFont"/>
    <w:link w:val="Heading1"/>
    <w:rsid w:val="00AC77D9"/>
    <w:rPr>
      <w:rFonts w:ascii="Times New Roman" w:eastAsia="Times New Roman" w:hAnsi="Times New Roman" w:cs="Times New Roman"/>
      <w:b/>
      <w:sz w:val="32"/>
      <w:szCs w:val="20"/>
      <w:lang w:eastAsia="en-US"/>
    </w:rPr>
  </w:style>
  <w:style w:type="paragraph" w:styleId="BodyText">
    <w:name w:val="Body Text"/>
    <w:basedOn w:val="Normal"/>
    <w:link w:val="BodyTextChar"/>
    <w:rsid w:val="00AC77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7D9"/>
    <w:rPr>
      <w:rFonts w:ascii="Times New Roman" w:eastAsia="Times New Roman" w:hAnsi="Times New Roman" w:cs="Times New Roman"/>
      <w:sz w:val="24"/>
      <w:lang w:eastAsia="en-US"/>
    </w:rPr>
  </w:style>
  <w:style w:type="paragraph" w:styleId="Footer">
    <w:name w:val="footer"/>
    <w:basedOn w:val="Normal"/>
    <w:link w:val="FooterChar"/>
    <w:rsid w:val="00AC7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7D9"/>
    <w:rPr>
      <w:rFonts w:ascii="Times New Roman" w:eastAsia="Times New Roman" w:hAnsi="Times New Roman" w:cs="Times New Roman"/>
      <w:sz w:val="16"/>
      <w:lang w:eastAsia="en-US"/>
    </w:rPr>
  </w:style>
  <w:style w:type="paragraph" w:styleId="ListBullet">
    <w:name w:val="List Bullet"/>
    <w:basedOn w:val="List"/>
    <w:rsid w:val="00AC77D9"/>
    <w:pPr>
      <w:numPr>
        <w:numId w:val="13"/>
      </w:numPr>
      <w:tabs>
        <w:tab w:val="clear" w:pos="340"/>
      </w:tabs>
      <w:spacing w:before="40" w:after="40"/>
    </w:pPr>
  </w:style>
  <w:style w:type="character" w:customStyle="1" w:styleId="SpecialBold">
    <w:name w:val="Special Bold"/>
    <w:basedOn w:val="DefaultParagraphFont"/>
    <w:rsid w:val="00AC77D9"/>
    <w:rPr>
      <w:b/>
      <w:spacing w:val="0"/>
    </w:rPr>
  </w:style>
  <w:style w:type="paragraph" w:styleId="ListBullet2">
    <w:name w:val="List Bullet 2"/>
    <w:basedOn w:val="List2"/>
    <w:rsid w:val="00AC77D9"/>
    <w:pPr>
      <w:numPr>
        <w:numId w:val="14"/>
      </w:numPr>
      <w:tabs>
        <w:tab w:val="clear" w:pos="680"/>
      </w:tabs>
    </w:pPr>
  </w:style>
  <w:style w:type="paragraph" w:customStyle="1" w:styleId="SuperHeading">
    <w:name w:val="SuperHeading"/>
    <w:basedOn w:val="Normal"/>
    <w:rsid w:val="00AC77D9"/>
    <w:pPr>
      <w:spacing w:before="240" w:after="120"/>
      <w:outlineLvl w:val="0"/>
    </w:pPr>
    <w:rPr>
      <w:rFonts w:ascii="Times New Roman" w:hAnsi="Times New Roman"/>
      <w:b/>
      <w:sz w:val="28"/>
    </w:rPr>
  </w:style>
  <w:style w:type="paragraph" w:customStyle="1" w:styleId="AllowPageBreak">
    <w:name w:val="AllowPageBreak"/>
    <w:rsid w:val="00AC77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77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7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7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7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7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7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7D9"/>
    <w:rPr>
      <w:rFonts w:ascii="Courier New" w:eastAsia="Times New Roman" w:hAnsi="Courier New" w:cs="Times New Roman"/>
      <w:i/>
      <w:szCs w:val="20"/>
      <w:lang w:eastAsia="en-US"/>
    </w:rPr>
  </w:style>
  <w:style w:type="paragraph" w:customStyle="1" w:styleId="HeadingBase">
    <w:name w:val="Heading Base"/>
    <w:rsid w:val="00AC7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7D9"/>
    <w:pPr>
      <w:tabs>
        <w:tab w:val="right" w:leader="dot" w:pos="9072"/>
      </w:tabs>
      <w:ind w:left="567"/>
    </w:pPr>
    <w:rPr>
      <w:szCs w:val="22"/>
    </w:rPr>
  </w:style>
  <w:style w:type="paragraph" w:customStyle="1" w:styleId="TOCBase">
    <w:name w:val="TOC Base"/>
    <w:rsid w:val="00AC7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7D9"/>
    <w:pPr>
      <w:tabs>
        <w:tab w:val="right" w:leader="dot" w:pos="9072"/>
      </w:tabs>
      <w:spacing w:before="40" w:after="40"/>
      <w:ind w:left="284"/>
    </w:pPr>
    <w:rPr>
      <w:rFonts w:ascii="Times New Roman" w:hAnsi="Times New Roman"/>
    </w:rPr>
  </w:style>
  <w:style w:type="paragraph" w:styleId="TOC1">
    <w:name w:val="toc 1"/>
    <w:basedOn w:val="TOCBase"/>
    <w:next w:val="Normal"/>
    <w:rsid w:val="00AC77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7D9"/>
    <w:pPr>
      <w:spacing w:before="5040"/>
      <w:jc w:val="center"/>
    </w:pPr>
    <w:rPr>
      <w:sz w:val="48"/>
      <w:szCs w:val="72"/>
      <w:lang w:val="en-US"/>
    </w:rPr>
  </w:style>
  <w:style w:type="character" w:customStyle="1" w:styleId="TitleChar">
    <w:name w:val="Title Char"/>
    <w:basedOn w:val="DefaultParagraphFont"/>
    <w:link w:val="Title"/>
    <w:rsid w:val="00AC7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7D9"/>
    <w:pPr>
      <w:tabs>
        <w:tab w:val="left" w:pos="3600"/>
        <w:tab w:val="left" w:pos="3958"/>
      </w:tabs>
    </w:pPr>
  </w:style>
  <w:style w:type="paragraph" w:styleId="List">
    <w:name w:val="List"/>
    <w:basedOn w:val="BodyText"/>
    <w:next w:val="BodyText"/>
    <w:rsid w:val="00AC77D9"/>
    <w:pPr>
      <w:tabs>
        <w:tab w:val="left" w:pos="340"/>
      </w:tabs>
      <w:spacing w:before="60" w:after="60"/>
      <w:ind w:left="340" w:hanging="340"/>
    </w:pPr>
  </w:style>
  <w:style w:type="paragraph" w:customStyle="1" w:styleId="Note">
    <w:name w:val="Note"/>
    <w:basedOn w:val="BodyText"/>
    <w:rsid w:val="00AC7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7D9"/>
    <w:pPr>
      <w:framePr w:wrap="auto" w:hAnchor="text" w:y="6049"/>
    </w:pPr>
    <w:rPr>
      <w:color w:val="000000"/>
      <w:sz w:val="40"/>
    </w:rPr>
  </w:style>
  <w:style w:type="paragraph" w:customStyle="1" w:styleId="TOCTitle">
    <w:name w:val="TOCTitle"/>
    <w:basedOn w:val="Heading1"/>
    <w:rsid w:val="00AC77D9"/>
    <w:pPr>
      <w:spacing w:after="240"/>
      <w:jc w:val="center"/>
      <w:outlineLvl w:val="9"/>
    </w:pPr>
    <w:rPr>
      <w:caps/>
    </w:rPr>
  </w:style>
  <w:style w:type="paragraph" w:customStyle="1" w:styleId="Version">
    <w:name w:val="Version"/>
    <w:rsid w:val="00AC77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7D9"/>
    <w:pPr>
      <w:keepNext w:val="0"/>
      <w:tabs>
        <w:tab w:val="right" w:pos="4176"/>
      </w:tabs>
      <w:ind w:left="198" w:hanging="198"/>
    </w:pPr>
    <w:rPr>
      <w:rFonts w:ascii="Garamond" w:hAnsi="Garamond"/>
    </w:rPr>
  </w:style>
  <w:style w:type="paragraph" w:styleId="IndexHeading">
    <w:name w:val="index heading"/>
    <w:basedOn w:val="Normal"/>
    <w:next w:val="Index1"/>
    <w:semiHidden/>
    <w:rsid w:val="00AC77D9"/>
    <w:pPr>
      <w:spacing w:before="120" w:after="120"/>
    </w:pPr>
    <w:rPr>
      <w:rFonts w:ascii="Arial" w:hAnsi="Arial"/>
      <w:b/>
      <w:color w:val="918585"/>
      <w:sz w:val="24"/>
    </w:rPr>
  </w:style>
  <w:style w:type="paragraph" w:styleId="Header">
    <w:name w:val="header"/>
    <w:basedOn w:val="Normal"/>
    <w:link w:val="HeaderChar"/>
    <w:rsid w:val="00AC7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7D9"/>
    <w:rPr>
      <w:rFonts w:ascii="Times New Roman" w:eastAsia="Times New Roman" w:hAnsi="Times New Roman" w:cs="Times New Roman"/>
      <w:sz w:val="16"/>
      <w:szCs w:val="20"/>
      <w:lang w:val="en-GB" w:eastAsia="en-US"/>
    </w:rPr>
  </w:style>
  <w:style w:type="paragraph" w:customStyle="1" w:styleId="Chapter">
    <w:name w:val="Chapter"/>
    <w:basedOn w:val="Normal"/>
    <w:rsid w:val="00AC77D9"/>
    <w:pPr>
      <w:spacing w:before="240"/>
    </w:pPr>
    <w:rPr>
      <w:rFonts w:ascii="Times New Roman" w:hAnsi="Times New Roman"/>
      <w:smallCaps/>
      <w:spacing w:val="80"/>
      <w:sz w:val="28"/>
    </w:rPr>
  </w:style>
  <w:style w:type="paragraph" w:customStyle="1" w:styleId="InChapter">
    <w:name w:val="InChapter"/>
    <w:basedOn w:val="Heading3"/>
    <w:rsid w:val="00AC77D9"/>
    <w:pPr>
      <w:spacing w:after="240"/>
      <w:outlineLvl w:val="9"/>
    </w:pPr>
    <w:rPr>
      <w:noProof/>
    </w:rPr>
  </w:style>
  <w:style w:type="paragraph" w:styleId="Index2">
    <w:name w:val="index 2"/>
    <w:basedOn w:val="Normal"/>
    <w:next w:val="Normal"/>
    <w:semiHidden/>
    <w:rsid w:val="00AC77D9"/>
    <w:pPr>
      <w:tabs>
        <w:tab w:val="right" w:pos="4176"/>
      </w:tabs>
      <w:ind w:left="568" w:hanging="284"/>
    </w:pPr>
    <w:rPr>
      <w:rFonts w:ascii="Garamond" w:hAnsi="Garamond"/>
    </w:rPr>
  </w:style>
  <w:style w:type="paragraph" w:customStyle="1" w:styleId="Byline">
    <w:name w:val="Byline"/>
    <w:rsid w:val="00AC7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7D9"/>
    <w:pPr>
      <w:tabs>
        <w:tab w:val="clear" w:pos="3600"/>
        <w:tab w:val="clear" w:pos="3958"/>
      </w:tabs>
      <w:jc w:val="right"/>
    </w:pPr>
  </w:style>
  <w:style w:type="character" w:styleId="Emphasis">
    <w:name w:val="Emphasis"/>
    <w:basedOn w:val="DefaultParagraphFont"/>
    <w:qFormat/>
    <w:rsid w:val="00AC77D9"/>
    <w:rPr>
      <w:i/>
    </w:rPr>
  </w:style>
  <w:style w:type="paragraph" w:styleId="Caption">
    <w:name w:val="caption"/>
    <w:basedOn w:val="BodyText"/>
    <w:next w:val="Normal"/>
    <w:qFormat/>
    <w:rsid w:val="00AC77D9"/>
    <w:pPr>
      <w:framePr w:w="2268" w:hSpace="181" w:vSpace="181" w:wrap="around" w:vAnchor="text" w:hAnchor="page" w:x="1135" w:y="285" w:anchorLock="1"/>
    </w:pPr>
    <w:rPr>
      <w:i/>
    </w:rPr>
  </w:style>
  <w:style w:type="paragraph" w:customStyle="1" w:styleId="MiniTOCTitle">
    <w:name w:val="MiniTOCTitle"/>
    <w:basedOn w:val="Heading4"/>
    <w:rsid w:val="00AC77D9"/>
    <w:pPr>
      <w:spacing w:before="240"/>
      <w:outlineLvl w:val="9"/>
    </w:pPr>
    <w:rPr>
      <w:noProof/>
      <w:sz w:val="24"/>
    </w:rPr>
  </w:style>
  <w:style w:type="paragraph" w:customStyle="1" w:styleId="MiniTOCItem">
    <w:name w:val="MiniTOCItem"/>
    <w:basedOn w:val="ListBullet"/>
    <w:rsid w:val="00AC77D9"/>
    <w:pPr>
      <w:numPr>
        <w:numId w:val="0"/>
      </w:numPr>
      <w:tabs>
        <w:tab w:val="right" w:leader="dot" w:pos="6521"/>
      </w:tabs>
      <w:spacing w:before="0" w:after="0"/>
    </w:pPr>
  </w:style>
  <w:style w:type="paragraph" w:customStyle="1" w:styleId="TOFTitle">
    <w:name w:val="TOFTitle"/>
    <w:basedOn w:val="TOCTitle"/>
    <w:rsid w:val="00AC77D9"/>
  </w:style>
  <w:style w:type="paragraph" w:styleId="TableofFigures">
    <w:name w:val="table of figures"/>
    <w:basedOn w:val="Normal"/>
    <w:next w:val="Normal"/>
    <w:semiHidden/>
    <w:rsid w:val="00AC77D9"/>
    <w:pPr>
      <w:tabs>
        <w:tab w:val="right" w:leader="dot" w:pos="9072"/>
      </w:tabs>
      <w:ind w:left="970" w:hanging="403"/>
    </w:pPr>
    <w:rPr>
      <w:rFonts w:ascii="Times New Roman" w:hAnsi="Times New Roman"/>
      <w:b/>
    </w:rPr>
  </w:style>
  <w:style w:type="paragraph" w:styleId="ListNumber">
    <w:name w:val="List Number"/>
    <w:basedOn w:val="List"/>
    <w:rsid w:val="00AC77D9"/>
    <w:pPr>
      <w:numPr>
        <w:numId w:val="11"/>
      </w:numPr>
    </w:pPr>
  </w:style>
  <w:style w:type="character" w:customStyle="1" w:styleId="WingdingSymbols">
    <w:name w:val="Wingding Symbols"/>
    <w:rsid w:val="00AC77D9"/>
    <w:rPr>
      <w:rFonts w:ascii="Wingdings" w:hAnsi="Wingdings"/>
    </w:rPr>
  </w:style>
  <w:style w:type="paragraph" w:customStyle="1" w:styleId="TableHeading">
    <w:name w:val="Table Heading"/>
    <w:basedOn w:val="HeadingBase"/>
    <w:rsid w:val="00AC77D9"/>
    <w:pPr>
      <w:keepLines/>
      <w:pBdr>
        <w:bottom w:val="single" w:sz="6" w:space="1" w:color="918585"/>
      </w:pBdr>
      <w:spacing w:before="240"/>
    </w:pPr>
  </w:style>
  <w:style w:type="character" w:customStyle="1" w:styleId="HotSpot">
    <w:name w:val="HotSpot"/>
    <w:rsid w:val="00AC77D9"/>
    <w:rPr>
      <w:color w:val="0033CC"/>
      <w:u w:val="none"/>
    </w:rPr>
  </w:style>
  <w:style w:type="paragraph" w:customStyle="1" w:styleId="BodyTextRight">
    <w:name w:val="Body Text Right"/>
    <w:basedOn w:val="BodyText"/>
    <w:rsid w:val="00AC77D9"/>
    <w:pPr>
      <w:spacing w:before="0" w:after="0"/>
      <w:jc w:val="right"/>
    </w:pPr>
  </w:style>
  <w:style w:type="paragraph" w:styleId="Index3">
    <w:name w:val="index 3"/>
    <w:basedOn w:val="ListNumber2"/>
    <w:next w:val="Normal"/>
    <w:semiHidden/>
    <w:rsid w:val="00AC77D9"/>
    <w:pPr>
      <w:numPr>
        <w:numId w:val="0"/>
      </w:numPr>
      <w:tabs>
        <w:tab w:val="right" w:leader="dot" w:pos="4176"/>
      </w:tabs>
    </w:pPr>
  </w:style>
  <w:style w:type="paragraph" w:styleId="ListNumber2">
    <w:name w:val="List Number 2"/>
    <w:basedOn w:val="List2"/>
    <w:rsid w:val="00AC77D9"/>
    <w:pPr>
      <w:numPr>
        <w:numId w:val="10"/>
      </w:numPr>
      <w:tabs>
        <w:tab w:val="clear" w:pos="1060"/>
      </w:tabs>
    </w:pPr>
  </w:style>
  <w:style w:type="paragraph" w:customStyle="1" w:styleId="MarginNote">
    <w:name w:val="Margin Note"/>
    <w:basedOn w:val="BodyText"/>
    <w:rsid w:val="00AC7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7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7D9"/>
    <w:rPr>
      <w:sz w:val="32"/>
    </w:rPr>
  </w:style>
  <w:style w:type="paragraph" w:customStyle="1" w:styleId="HeadingProcedure">
    <w:name w:val="Heading Procedure"/>
    <w:basedOn w:val="HeadingBase"/>
    <w:next w:val="Normal"/>
    <w:rsid w:val="00AC77D9"/>
    <w:pPr>
      <w:tabs>
        <w:tab w:val="left" w:pos="0"/>
      </w:tabs>
      <w:spacing w:before="120" w:after="60"/>
    </w:pPr>
    <w:rPr>
      <w:i/>
      <w:color w:val="918585"/>
      <w:sz w:val="22"/>
    </w:rPr>
  </w:style>
  <w:style w:type="paragraph" w:customStyle="1" w:styleId="TableBodyText">
    <w:name w:val="Table Body Text"/>
    <w:basedOn w:val="BodyText"/>
    <w:rsid w:val="00AC77D9"/>
    <w:pPr>
      <w:spacing w:before="60" w:after="60"/>
    </w:pPr>
  </w:style>
  <w:style w:type="paragraph" w:styleId="ListContinue">
    <w:name w:val="List Continue"/>
    <w:basedOn w:val="List"/>
    <w:rsid w:val="00AC77D9"/>
    <w:pPr>
      <w:ind w:firstLine="0"/>
    </w:pPr>
  </w:style>
  <w:style w:type="paragraph" w:customStyle="1" w:styleId="ListNote">
    <w:name w:val="List Note"/>
    <w:basedOn w:val="List"/>
    <w:rsid w:val="00AC77D9"/>
    <w:pPr>
      <w:pBdr>
        <w:top w:val="single" w:sz="6" w:space="2" w:color="918585"/>
        <w:bottom w:val="single" w:sz="6" w:space="2" w:color="918585"/>
      </w:pBdr>
      <w:tabs>
        <w:tab w:val="left" w:pos="1021"/>
      </w:tabs>
      <w:ind w:firstLine="0"/>
    </w:pPr>
  </w:style>
  <w:style w:type="paragraph" w:customStyle="1" w:styleId="Warning">
    <w:name w:val="Warning"/>
    <w:basedOn w:val="BodyText"/>
    <w:rsid w:val="00AC77D9"/>
    <w:pPr>
      <w:shd w:val="clear" w:color="auto" w:fill="D9D9D9"/>
      <w:tabs>
        <w:tab w:val="left" w:pos="992"/>
      </w:tabs>
      <w:ind w:left="119" w:right="119"/>
    </w:pPr>
    <w:rPr>
      <w:sz w:val="20"/>
    </w:rPr>
  </w:style>
  <w:style w:type="paragraph" w:customStyle="1" w:styleId="MarginIcons">
    <w:name w:val="Margin Icons"/>
    <w:basedOn w:val="BodyText"/>
    <w:rsid w:val="00AC77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7D9"/>
    <w:rPr>
      <w:rFonts w:ascii="Courier New" w:hAnsi="Courier New"/>
    </w:rPr>
  </w:style>
  <w:style w:type="paragraph" w:customStyle="1" w:styleId="NoteBullet">
    <w:name w:val="Note Bullet"/>
    <w:basedOn w:val="Note"/>
    <w:rsid w:val="00AC77D9"/>
    <w:pPr>
      <w:tabs>
        <w:tab w:val="clear" w:pos="680"/>
      </w:tabs>
      <w:spacing w:before="60" w:after="60"/>
    </w:pPr>
  </w:style>
  <w:style w:type="paragraph" w:customStyle="1" w:styleId="SubHeading2">
    <w:name w:val="SubHeading2"/>
    <w:basedOn w:val="HeadingBase"/>
    <w:rsid w:val="00AC77D9"/>
    <w:pPr>
      <w:spacing w:before="240" w:after="60"/>
    </w:pPr>
    <w:rPr>
      <w:sz w:val="20"/>
    </w:rPr>
  </w:style>
  <w:style w:type="paragraph" w:customStyle="1" w:styleId="SubHeading1">
    <w:name w:val="SubHeading1"/>
    <w:basedOn w:val="HeadingBase"/>
    <w:rsid w:val="00AC77D9"/>
    <w:pPr>
      <w:spacing w:before="240" w:after="60"/>
    </w:pPr>
    <w:rPr>
      <w:color w:val="918585"/>
      <w:sz w:val="22"/>
    </w:rPr>
  </w:style>
  <w:style w:type="paragraph" w:customStyle="1" w:styleId="SideHeading">
    <w:name w:val="Side Heading"/>
    <w:basedOn w:val="HeadingBase"/>
    <w:rsid w:val="00AC7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7D9"/>
    <w:pPr>
      <w:numPr>
        <w:numId w:val="12"/>
      </w:numPr>
    </w:pPr>
  </w:style>
  <w:style w:type="paragraph" w:styleId="PlainText">
    <w:name w:val="Plain Text"/>
    <w:basedOn w:val="Normal"/>
    <w:link w:val="PlainTextChar"/>
    <w:rsid w:val="00AC77D9"/>
    <w:rPr>
      <w:sz w:val="20"/>
    </w:rPr>
  </w:style>
  <w:style w:type="character" w:customStyle="1" w:styleId="PlainTextChar">
    <w:name w:val="Plain Text Char"/>
    <w:basedOn w:val="DefaultParagraphFont"/>
    <w:link w:val="PlainText"/>
    <w:rsid w:val="00AC77D9"/>
    <w:rPr>
      <w:rFonts w:ascii="Courier New" w:eastAsia="Times New Roman" w:hAnsi="Courier New" w:cs="Times New Roman"/>
      <w:sz w:val="20"/>
      <w:szCs w:val="20"/>
      <w:lang w:eastAsia="en-US"/>
    </w:rPr>
  </w:style>
  <w:style w:type="character" w:customStyle="1" w:styleId="MenuOption">
    <w:name w:val="Menu Option"/>
    <w:basedOn w:val="DefaultParagraphFont"/>
    <w:rsid w:val="00AC77D9"/>
    <w:rPr>
      <w:b/>
      <w:smallCaps/>
    </w:rPr>
  </w:style>
  <w:style w:type="paragraph" w:customStyle="1" w:styleId="TableListNumber">
    <w:name w:val="Table List Number"/>
    <w:basedOn w:val="ListNumber"/>
    <w:rsid w:val="00AC77D9"/>
    <w:pPr>
      <w:numPr>
        <w:numId w:val="0"/>
      </w:numPr>
    </w:pPr>
  </w:style>
  <w:style w:type="paragraph" w:styleId="TOC4">
    <w:name w:val="toc 4"/>
    <w:basedOn w:val="TOCBase"/>
    <w:next w:val="Normal"/>
    <w:semiHidden/>
    <w:rsid w:val="00AC77D9"/>
    <w:pPr>
      <w:tabs>
        <w:tab w:val="right" w:leader="dot" w:pos="9071"/>
      </w:tabs>
      <w:ind w:left="1701"/>
    </w:pPr>
  </w:style>
  <w:style w:type="paragraph" w:customStyle="1" w:styleId="ListAlpha">
    <w:name w:val="List Alpha"/>
    <w:basedOn w:val="List"/>
    <w:rsid w:val="00AC77D9"/>
    <w:pPr>
      <w:numPr>
        <w:numId w:val="9"/>
      </w:numPr>
    </w:pPr>
  </w:style>
  <w:style w:type="paragraph" w:customStyle="1" w:styleId="ListAlpha2">
    <w:name w:val="List Alpha 2"/>
    <w:basedOn w:val="List2"/>
    <w:rsid w:val="00AC77D9"/>
    <w:pPr>
      <w:numPr>
        <w:numId w:val="8"/>
      </w:numPr>
    </w:pPr>
  </w:style>
  <w:style w:type="paragraph" w:styleId="List2">
    <w:name w:val="List 2"/>
    <w:basedOn w:val="BodyText"/>
    <w:rsid w:val="00AC77D9"/>
    <w:pPr>
      <w:tabs>
        <w:tab w:val="left" w:pos="680"/>
      </w:tabs>
      <w:spacing w:before="60" w:after="60"/>
      <w:ind w:left="680" w:hanging="340"/>
    </w:pPr>
  </w:style>
  <w:style w:type="paragraph" w:styleId="List3">
    <w:name w:val="List 3"/>
    <w:basedOn w:val="BodyText"/>
    <w:rsid w:val="00AC77D9"/>
    <w:pPr>
      <w:tabs>
        <w:tab w:val="left" w:pos="1021"/>
      </w:tabs>
      <w:spacing w:before="60" w:after="60"/>
      <w:ind w:left="1020" w:hanging="340"/>
    </w:pPr>
  </w:style>
  <w:style w:type="paragraph" w:styleId="List4">
    <w:name w:val="List 4"/>
    <w:basedOn w:val="BodyText"/>
    <w:rsid w:val="00AC77D9"/>
    <w:pPr>
      <w:tabs>
        <w:tab w:val="left" w:pos="1361"/>
      </w:tabs>
      <w:spacing w:before="60" w:after="60"/>
      <w:ind w:left="1361" w:hanging="340"/>
    </w:pPr>
  </w:style>
  <w:style w:type="paragraph" w:styleId="List5">
    <w:name w:val="List 5"/>
    <w:basedOn w:val="BodyText"/>
    <w:rsid w:val="00AC77D9"/>
    <w:pPr>
      <w:tabs>
        <w:tab w:val="left" w:pos="1701"/>
      </w:tabs>
      <w:spacing w:before="60" w:after="60"/>
      <w:ind w:left="1701" w:hanging="340"/>
    </w:pPr>
  </w:style>
  <w:style w:type="paragraph" w:styleId="ListBullet3">
    <w:name w:val="List Bullet 3"/>
    <w:basedOn w:val="List3"/>
    <w:rsid w:val="00AC77D9"/>
    <w:pPr>
      <w:numPr>
        <w:numId w:val="15"/>
      </w:numPr>
      <w:tabs>
        <w:tab w:val="clear" w:pos="1021"/>
      </w:tabs>
      <w:ind w:left="1037" w:hanging="357"/>
    </w:pPr>
  </w:style>
  <w:style w:type="paragraph" w:styleId="ListBullet4">
    <w:name w:val="List Bullet 4"/>
    <w:basedOn w:val="List4"/>
    <w:rsid w:val="00AC77D9"/>
    <w:pPr>
      <w:numPr>
        <w:numId w:val="3"/>
      </w:numPr>
    </w:pPr>
  </w:style>
  <w:style w:type="paragraph" w:styleId="ListBullet5">
    <w:name w:val="List Bullet 5"/>
    <w:basedOn w:val="List5"/>
    <w:rsid w:val="00AC77D9"/>
    <w:pPr>
      <w:numPr>
        <w:numId w:val="4"/>
      </w:numPr>
    </w:pPr>
  </w:style>
  <w:style w:type="paragraph" w:styleId="ListContinue2">
    <w:name w:val="List Continue 2"/>
    <w:basedOn w:val="List2"/>
    <w:rsid w:val="00AC77D9"/>
    <w:pPr>
      <w:ind w:firstLine="0"/>
    </w:pPr>
  </w:style>
  <w:style w:type="paragraph" w:styleId="ListContinue3">
    <w:name w:val="List Continue 3"/>
    <w:basedOn w:val="List3"/>
    <w:rsid w:val="00AC77D9"/>
    <w:pPr>
      <w:ind w:left="1021" w:firstLine="0"/>
    </w:pPr>
  </w:style>
  <w:style w:type="paragraph" w:styleId="ListContinue4">
    <w:name w:val="List Continue 4"/>
    <w:basedOn w:val="List4"/>
    <w:rsid w:val="00AC77D9"/>
    <w:pPr>
      <w:ind w:firstLine="0"/>
    </w:pPr>
  </w:style>
  <w:style w:type="paragraph" w:styleId="ListContinue5">
    <w:name w:val="List Continue 5"/>
    <w:basedOn w:val="List5"/>
    <w:rsid w:val="00AC77D9"/>
    <w:pPr>
      <w:ind w:firstLine="0"/>
    </w:pPr>
  </w:style>
  <w:style w:type="paragraph" w:styleId="ListNumber3">
    <w:name w:val="List Number 3"/>
    <w:basedOn w:val="List3"/>
    <w:rsid w:val="00AC77D9"/>
    <w:pPr>
      <w:numPr>
        <w:numId w:val="5"/>
      </w:numPr>
    </w:pPr>
  </w:style>
  <w:style w:type="paragraph" w:styleId="ListNumber4">
    <w:name w:val="List Number 4"/>
    <w:basedOn w:val="List4"/>
    <w:rsid w:val="00AC77D9"/>
    <w:pPr>
      <w:numPr>
        <w:numId w:val="6"/>
      </w:numPr>
    </w:pPr>
  </w:style>
  <w:style w:type="paragraph" w:styleId="ListNumber5">
    <w:name w:val="List Number 5"/>
    <w:basedOn w:val="List5"/>
    <w:rsid w:val="00AC77D9"/>
    <w:pPr>
      <w:numPr>
        <w:numId w:val="7"/>
      </w:numPr>
    </w:pPr>
  </w:style>
  <w:style w:type="paragraph" w:styleId="BlockText">
    <w:name w:val="Block Text"/>
    <w:basedOn w:val="Normal"/>
    <w:rsid w:val="00AC77D9"/>
    <w:pPr>
      <w:spacing w:after="120"/>
      <w:ind w:left="1440" w:right="1440"/>
    </w:pPr>
  </w:style>
  <w:style w:type="character" w:customStyle="1" w:styleId="Subscript">
    <w:name w:val="Subscript"/>
    <w:basedOn w:val="DefaultParagraphFont"/>
    <w:rsid w:val="00AC77D9"/>
    <w:rPr>
      <w:sz w:val="16"/>
      <w:vertAlign w:val="subscript"/>
    </w:rPr>
  </w:style>
  <w:style w:type="character" w:customStyle="1" w:styleId="Superscript">
    <w:name w:val="Superscript"/>
    <w:basedOn w:val="DefaultParagraphFont"/>
    <w:rsid w:val="00AC77D9"/>
    <w:rPr>
      <w:sz w:val="16"/>
      <w:vertAlign w:val="superscript"/>
    </w:rPr>
  </w:style>
  <w:style w:type="character" w:customStyle="1" w:styleId="Symbols">
    <w:name w:val="Symbols"/>
    <w:basedOn w:val="DefaultParagraphFont"/>
    <w:rsid w:val="00AC77D9"/>
    <w:rPr>
      <w:rFonts w:ascii="Symbol" w:hAnsi="Symbol"/>
    </w:rPr>
  </w:style>
  <w:style w:type="character" w:customStyle="1" w:styleId="MenuOptions">
    <w:name w:val="Menu Options"/>
    <w:basedOn w:val="DefaultParagraphFont"/>
    <w:rsid w:val="00AC77D9"/>
    <w:rPr>
      <w:rFonts w:ascii="Arial Narrow" w:hAnsi="Arial Narrow"/>
      <w:smallCaps/>
    </w:rPr>
  </w:style>
  <w:style w:type="character" w:customStyle="1" w:styleId="Buttons">
    <w:name w:val="Buttons"/>
    <w:basedOn w:val="DefaultParagraphFont"/>
    <w:rsid w:val="00AC77D9"/>
    <w:rPr>
      <w:b/>
    </w:rPr>
  </w:style>
  <w:style w:type="character" w:customStyle="1" w:styleId="Underlined">
    <w:name w:val="Underlined"/>
    <w:basedOn w:val="DefaultParagraphFont"/>
    <w:rsid w:val="00AC77D9"/>
    <w:rPr>
      <w:u w:val="single"/>
    </w:rPr>
  </w:style>
  <w:style w:type="paragraph" w:customStyle="1" w:styleId="TableBodyTextRight">
    <w:name w:val="Table Body Text Right"/>
    <w:basedOn w:val="TableBodyText"/>
    <w:rsid w:val="00AC77D9"/>
    <w:pPr>
      <w:widowControl w:val="0"/>
      <w:autoSpaceDE w:val="0"/>
      <w:autoSpaceDN w:val="0"/>
      <w:adjustRightInd w:val="0"/>
      <w:jc w:val="right"/>
    </w:pPr>
    <w:rPr>
      <w:rFonts w:cs="Arial"/>
      <w:szCs w:val="18"/>
    </w:rPr>
  </w:style>
  <w:style w:type="paragraph" w:customStyle="1" w:styleId="CopyrightText">
    <w:name w:val="Copyright Text"/>
    <w:basedOn w:val="BodyText"/>
    <w:rsid w:val="00AC77D9"/>
    <w:rPr>
      <w:sz w:val="18"/>
    </w:rPr>
  </w:style>
  <w:style w:type="paragraph" w:customStyle="1" w:styleId="BodySmallRight">
    <w:name w:val="Body Small Right"/>
    <w:basedOn w:val="BodyTextRight"/>
    <w:rsid w:val="00AC77D9"/>
    <w:rPr>
      <w:sz w:val="18"/>
      <w:szCs w:val="18"/>
    </w:rPr>
  </w:style>
  <w:style w:type="paragraph" w:customStyle="1" w:styleId="MarginEdition">
    <w:name w:val="Margin Edition"/>
    <w:basedOn w:val="MarginNote"/>
    <w:rsid w:val="00AC77D9"/>
    <w:pPr>
      <w:spacing w:before="0" w:after="0"/>
    </w:pPr>
    <w:rPr>
      <w:rFonts w:ascii="Times New Roman" w:hAnsi="Times New Roman"/>
      <w:color w:val="999999"/>
    </w:rPr>
  </w:style>
  <w:style w:type="paragraph" w:customStyle="1" w:styleId="Spacer">
    <w:name w:val="Spacer"/>
    <w:basedOn w:val="Normal"/>
    <w:rsid w:val="00AC77D9"/>
    <w:rPr>
      <w:sz w:val="2"/>
      <w:szCs w:val="2"/>
    </w:rPr>
  </w:style>
  <w:style w:type="character" w:customStyle="1" w:styleId="Small">
    <w:name w:val="Small"/>
    <w:basedOn w:val="DefaultParagraphFont"/>
    <w:rsid w:val="00AC77D9"/>
    <w:rPr>
      <w:sz w:val="16"/>
    </w:rPr>
  </w:style>
  <w:style w:type="paragraph" w:customStyle="1" w:styleId="WideTable">
    <w:name w:val="Wide Table"/>
    <w:basedOn w:val="Normal"/>
    <w:rsid w:val="00AC77D9"/>
    <w:pPr>
      <w:ind w:left="-1418"/>
    </w:pPr>
    <w:rPr>
      <w:sz w:val="2"/>
      <w:szCs w:val="2"/>
    </w:rPr>
  </w:style>
  <w:style w:type="character" w:styleId="PageNumber">
    <w:name w:val="page number"/>
    <w:basedOn w:val="DefaultParagraphFont"/>
    <w:rsid w:val="00AC77D9"/>
  </w:style>
  <w:style w:type="paragraph" w:styleId="Quote">
    <w:name w:val="Quote"/>
    <w:basedOn w:val="Heading1"/>
    <w:link w:val="QuoteChar"/>
    <w:qFormat/>
    <w:rsid w:val="00AC77D9"/>
    <w:rPr>
      <w:b w:val="0"/>
      <w:sz w:val="72"/>
      <w:szCs w:val="72"/>
      <w:lang w:val="en-NZ"/>
    </w:rPr>
  </w:style>
  <w:style w:type="character" w:customStyle="1" w:styleId="QuoteChar">
    <w:name w:val="Quote Char"/>
    <w:basedOn w:val="DefaultParagraphFont"/>
    <w:link w:val="Quote"/>
    <w:rsid w:val="00AC7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7D9"/>
    <w:pPr>
      <w:pageBreakBefore/>
    </w:pPr>
  </w:style>
  <w:style w:type="paragraph" w:customStyle="1" w:styleId="Border">
    <w:name w:val="Border"/>
    <w:basedOn w:val="Normal"/>
    <w:qFormat/>
    <w:rsid w:val="00AC77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7D9"/>
    <w:rPr>
      <w:b/>
      <w:bCs/>
      <w:i/>
      <w:iCs/>
      <w:color w:val="auto"/>
    </w:rPr>
  </w:style>
  <w:style w:type="paragraph" w:styleId="IntenseQuote">
    <w:name w:val="Intense Quote"/>
    <w:basedOn w:val="Normal"/>
    <w:next w:val="Normal"/>
    <w:link w:val="IntenseQuoteChar"/>
    <w:uiPriority w:val="30"/>
    <w:qFormat/>
    <w:rsid w:val="00AC77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7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7D9"/>
    <w:rPr>
      <w:smallCaps/>
      <w:color w:val="auto"/>
      <w:u w:val="single"/>
    </w:rPr>
  </w:style>
  <w:style w:type="character" w:styleId="IntenseReference">
    <w:name w:val="Intense Reference"/>
    <w:basedOn w:val="DefaultParagraphFont"/>
    <w:uiPriority w:val="32"/>
    <w:qFormat/>
    <w:rsid w:val="00AC77D9"/>
    <w:rPr>
      <w:b/>
      <w:bCs/>
      <w:smallCaps/>
      <w:color w:val="auto"/>
      <w:spacing w:val="5"/>
      <w:u w:val="single"/>
    </w:rPr>
  </w:style>
  <w:style w:type="paragraph" w:customStyle="1" w:styleId="2ColumnHeading">
    <w:name w:val="2Column Heading"/>
    <w:basedOn w:val="BodyText"/>
    <w:qFormat/>
    <w:rsid w:val="00AC77D9"/>
    <w:pPr>
      <w:spacing w:after="60"/>
      <w:ind w:left="-2268"/>
    </w:pPr>
    <w:rPr>
      <w:b/>
    </w:rPr>
  </w:style>
  <w:style w:type="paragraph" w:customStyle="1" w:styleId="Heading1TOC">
    <w:name w:val="Heading1 TOC"/>
    <w:basedOn w:val="Normal"/>
    <w:qFormat/>
    <w:rsid w:val="00AC77D9"/>
    <w:pPr>
      <w:spacing w:before="240" w:after="120"/>
    </w:pPr>
    <w:rPr>
      <w:rFonts w:ascii="Times New Roman" w:hAnsi="Times New Roman"/>
      <w:b/>
      <w:sz w:val="32"/>
    </w:rPr>
  </w:style>
  <w:style w:type="paragraph" w:customStyle="1" w:styleId="Heading2TOC">
    <w:name w:val="Heading2 TOC"/>
    <w:basedOn w:val="Normal"/>
    <w:qFormat/>
    <w:rsid w:val="00AC77D9"/>
    <w:pPr>
      <w:spacing w:before="240" w:after="60"/>
    </w:pPr>
    <w:rPr>
      <w:rFonts w:ascii="Times New Roman" w:hAnsi="Times New Roman"/>
      <w:b/>
      <w:sz w:val="28"/>
    </w:rPr>
  </w:style>
  <w:style w:type="character" w:customStyle="1" w:styleId="Underline">
    <w:name w:val="Underline"/>
    <w:basedOn w:val="DefaultParagraphFont"/>
    <w:qFormat/>
    <w:rsid w:val="00AC77D9"/>
    <w:rPr>
      <w:u w:val="single"/>
    </w:rPr>
  </w:style>
  <w:style w:type="character" w:customStyle="1" w:styleId="BoldandItalics">
    <w:name w:val="Bold and Italics"/>
    <w:qFormat/>
    <w:rsid w:val="00AC77D9"/>
    <w:rPr>
      <w:b/>
      <w:i/>
      <w:u w:val="none"/>
    </w:rPr>
  </w:style>
  <w:style w:type="paragraph" w:styleId="BalloonText">
    <w:name w:val="Balloon Text"/>
    <w:basedOn w:val="Normal"/>
    <w:link w:val="BalloonTextChar"/>
    <w:rsid w:val="00AC77D9"/>
    <w:rPr>
      <w:rFonts w:ascii="Tahoma" w:hAnsi="Tahoma" w:cs="Tahoma"/>
      <w:sz w:val="16"/>
      <w:szCs w:val="16"/>
    </w:rPr>
  </w:style>
  <w:style w:type="character" w:customStyle="1" w:styleId="BalloonTextChar">
    <w:name w:val="Balloon Text Char"/>
    <w:basedOn w:val="DefaultParagraphFont"/>
    <w:link w:val="BalloonText"/>
    <w:rsid w:val="00AC77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7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7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7D9"/>
    <w:rPr>
      <w:b/>
      <w:color w:val="660033"/>
      <w:spacing w:val="0"/>
    </w:rPr>
  </w:style>
  <w:style w:type="paragraph" w:customStyle="1" w:styleId="Nameditemlist">
    <w:name w:val="Named item list"/>
    <w:basedOn w:val="BodyText"/>
    <w:qFormat/>
    <w:rsid w:val="00AC77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1006</Words>
  <Characters>6720</Characters>
  <Application>Microsoft Office Word</Application>
  <DocSecurity>0</DocSecurity>
  <Lines>244</Lines>
  <Paragraphs>155</Paragraphs>
  <ScaleCrop>false</ScaleCrop>
  <Company>Author-it Software Corporation Ltd.</Company>
  <LinksUpToDate>false</LinksUpToDate>
  <CharactersWithSpaces>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TLIE3026A Carry out advanced calculations in the transport logistics industry</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2012-10-10T06:43:00Z</dcterms:created>
  <dcterms:modified xsi:type="dcterms:W3CDTF">2012-10-10T06:43:00Z</dcterms:modified>
</cp:coreProperties>
</file>