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512" w:rsidP="00B27512">
      <w:pPr>
        <w:pStyle w:val="Title"/>
      </w:pPr>
      <w:r>
        <w:fldChar w:fldCharType="begin"/>
      </w:r>
      <w:r>
        <w:instrText xml:space="preserve"> TITLE   \* MERGEFORMAT </w:instrText>
      </w:r>
      <w:r>
        <w:fldChar w:fldCharType="separate"/>
      </w:r>
      <w:r>
        <w:t>TLID4049A Bottom load a dangerous goods tanker</w:t>
      </w:r>
      <w:r>
        <w:fldChar w:fldCharType="end"/>
      </w:r>
    </w:p>
    <w:p w:rsidR="00B27512" w:rsidP="00B27512">
      <w:pPr>
        <w:pStyle w:val="Version"/>
        <w:sectPr w:rsidSect="00CF12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264" w:rsidP="00CF1264">
      <w:pPr>
        <w:pStyle w:val="SuperHeading"/>
      </w:pPr>
      <w:r w:rsidRPr="00CF1264">
        <w:t>TLID4049A Bottom load a dangerous goods tanker</w:t>
      </w:r>
    </w:p>
    <w:p w:rsidR="00000000" w:rsidRPr="00CF1264" w:rsidP="00CF1264">
      <w:pPr>
        <w:pStyle w:val="Heading1"/>
      </w:pPr>
      <w:bookmarkStart w:id="1" w:name="O_357413"/>
      <w:bookmarkEnd w:id="1"/>
      <w:r w:rsidRPr="00CF1264">
        <w:t>Modification History</w:t>
      </w:r>
    </w:p>
    <w:p w:rsidR="00000000" w:rsidRPr="00CF1264" w:rsidP="00CF1264">
      <w:pPr>
        <w:pStyle w:val="BodyText"/>
      </w:pPr>
      <w:r w:rsidRPr="00CF1264">
        <w:t>Not applicable.</w:t>
      </w:r>
    </w:p>
    <w:p w:rsidR="00000000" w:rsidRPr="00CF1264" w:rsidP="00CF1264">
      <w:pPr>
        <w:pStyle w:val="AllowPageBreak"/>
      </w:pPr>
    </w:p>
    <w:p w:rsidR="00000000" w:rsidRPr="00CF1264" w:rsidP="00CF1264">
      <w:pPr>
        <w:pStyle w:val="Heading1"/>
      </w:pPr>
      <w:bookmarkStart w:id="2" w:name="O_357414"/>
      <w:bookmarkEnd w:id="2"/>
      <w:r w:rsidRPr="00CF1264">
        <w:t>Unit Descriptor</w:t>
      </w:r>
    </w:p>
    <w:tbl>
      <w:tblPr>
        <w:tblW w:w="0" w:type="auto"/>
        <w:tblCellMar>
          <w:left w:w="62" w:type="dxa"/>
          <w:right w:w="62" w:type="dxa"/>
        </w:tblCellMar>
        <w:tblLook w:val="0000"/>
      </w:tblPr>
      <w:tblGrid>
        <w:gridCol w:w="9196"/>
      </w:tblGrid>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t>This unit involves the skills and knowledge required to bottom load a dangerous goods tanker.</w:t>
            </w:r>
          </w:p>
          <w:p w:rsidR="00000000" w:rsidRPr="00CF1264" w:rsidP="00CF1264">
            <w:pPr>
              <w:pStyle w:val="BodyText"/>
            </w:pPr>
            <w:r w:rsidRPr="00CF1264">
              <w:t>Licensing, legislative, r</w:t>
            </w:r>
            <w:r w:rsidRPr="00CF1264">
              <w:t>egulatory and certification requirements are applicable to this unit.</w:t>
            </w:r>
          </w:p>
        </w:tc>
      </w:tr>
    </w:tbl>
    <w:p w:rsidR="00000000" w:rsidRPr="00CF1264" w:rsidP="00CF1264">
      <w:pPr>
        <w:pStyle w:val="BodyText"/>
      </w:pPr>
    </w:p>
    <w:p w:rsidR="00000000" w:rsidRPr="00CF1264" w:rsidP="00CF1264">
      <w:pPr>
        <w:pStyle w:val="AllowPageBreak"/>
      </w:pPr>
    </w:p>
    <w:p w:rsidR="00000000" w:rsidRPr="00CF1264" w:rsidP="00CF1264">
      <w:pPr>
        <w:pStyle w:val="Heading1"/>
      </w:pPr>
      <w:bookmarkStart w:id="3" w:name="O_357415"/>
      <w:bookmarkEnd w:id="3"/>
      <w:r w:rsidRPr="00CF1264">
        <w:t>Application of the Unit</w:t>
      </w:r>
    </w:p>
    <w:tbl>
      <w:tblPr>
        <w:tblW w:w="0" w:type="auto"/>
        <w:tblCellMar>
          <w:left w:w="62" w:type="dxa"/>
          <w:right w:w="62" w:type="dxa"/>
        </w:tblCellMar>
        <w:tblLook w:val="0000"/>
      </w:tblPr>
      <w:tblGrid>
        <w:gridCol w:w="9196"/>
      </w:tblGrid>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t xml:space="preserve">This unit applies to those working in the complex road transport fuel/gas industry. </w:t>
            </w:r>
          </w:p>
        </w:tc>
      </w:tr>
    </w:tbl>
    <w:p w:rsidR="00000000" w:rsidRPr="00CF1264" w:rsidP="00CF1264">
      <w:pPr>
        <w:pStyle w:val="BodyText"/>
      </w:pPr>
    </w:p>
    <w:p w:rsidR="00000000" w:rsidRPr="00CF1264" w:rsidP="00CF1264">
      <w:pPr>
        <w:pStyle w:val="AllowPageBreak"/>
      </w:pPr>
    </w:p>
    <w:p w:rsidR="00000000" w:rsidRPr="00CF1264" w:rsidP="00CF1264">
      <w:pPr>
        <w:pStyle w:val="Heading1"/>
      </w:pPr>
      <w:bookmarkStart w:id="4" w:name="O_357416"/>
      <w:bookmarkEnd w:id="4"/>
      <w:r w:rsidRPr="00CF1264">
        <w:t>Licensing/Regulatory Information</w:t>
      </w:r>
    </w:p>
    <w:p w:rsidR="00000000" w:rsidRPr="00CF1264" w:rsidP="00CF1264">
      <w:pPr>
        <w:pStyle w:val="BodyText"/>
      </w:pPr>
      <w:r w:rsidRPr="00CF1264">
        <w:t>Refer to Unit Descriptor.</w:t>
      </w:r>
    </w:p>
    <w:p w:rsidR="00000000" w:rsidRPr="00CF1264" w:rsidP="00CF1264">
      <w:pPr>
        <w:pStyle w:val="AllowPageBreak"/>
      </w:pPr>
    </w:p>
    <w:p w:rsidR="00000000" w:rsidRPr="00CF1264" w:rsidP="00CF1264">
      <w:pPr>
        <w:pStyle w:val="Heading1"/>
      </w:pPr>
      <w:bookmarkStart w:id="5" w:name="O_357417"/>
      <w:bookmarkEnd w:id="5"/>
      <w:r w:rsidRPr="00CF1264">
        <w:t>Pre-Requisites</w:t>
      </w:r>
    </w:p>
    <w:tbl>
      <w:tblPr>
        <w:tblW w:w="0" w:type="auto"/>
        <w:tblCellMar>
          <w:left w:w="62" w:type="dxa"/>
          <w:right w:w="62" w:type="dxa"/>
        </w:tblCellMar>
        <w:tblLook w:val="0000"/>
      </w:tblPr>
      <w:tblGrid>
        <w:gridCol w:w="2368"/>
        <w:gridCol w:w="6828"/>
      </w:tblGrid>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Prerequisite Unit</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t>TLIC4065A Operate chemical tanker (or)</w:t>
            </w:r>
          </w:p>
          <w:p w:rsidR="00000000" w:rsidRPr="00CF1264" w:rsidP="00CF1264">
            <w:pPr>
              <w:pStyle w:val="BodyText"/>
            </w:pPr>
            <w:r w:rsidRPr="00CF1264">
              <w:t>TLIC4066A Operate fuel tanker (or)</w:t>
            </w:r>
          </w:p>
          <w:p w:rsidR="00000000" w:rsidRPr="00CF1264" w:rsidP="00CF1264">
            <w:pPr>
              <w:pStyle w:val="BodyText"/>
            </w:pPr>
            <w:r w:rsidRPr="00CF1264">
              <w:t>TLIC4067A Operate LP gas tanker</w:t>
            </w:r>
          </w:p>
        </w:tc>
      </w:tr>
    </w:tbl>
    <w:p w:rsidR="00000000" w:rsidRPr="00CF1264" w:rsidP="00CF1264">
      <w:pPr>
        <w:pStyle w:val="BodyText"/>
      </w:pPr>
    </w:p>
    <w:p w:rsidR="00000000" w:rsidRPr="00CF1264" w:rsidP="00CF1264">
      <w:pPr>
        <w:pStyle w:val="AllowPageBreak"/>
      </w:pPr>
    </w:p>
    <w:p w:rsidR="00000000" w:rsidRPr="00CF1264" w:rsidP="00CF1264">
      <w:pPr>
        <w:pStyle w:val="Heading1"/>
      </w:pPr>
      <w:bookmarkStart w:id="6" w:name="O_357418"/>
      <w:bookmarkEnd w:id="6"/>
      <w:r w:rsidRPr="00CF1264">
        <w:t>Employability Skills Information</w:t>
      </w:r>
    </w:p>
    <w:tbl>
      <w:tblPr>
        <w:tblW w:w="0" w:type="auto"/>
        <w:tblCellMar>
          <w:left w:w="62" w:type="dxa"/>
          <w:right w:w="62" w:type="dxa"/>
        </w:tblCellMar>
        <w:tblLook w:val="0000"/>
      </w:tblPr>
      <w:tblGrid>
        <w:gridCol w:w="9196"/>
      </w:tblGrid>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t>This unit contains employability skills.</w:t>
            </w:r>
          </w:p>
        </w:tc>
      </w:tr>
    </w:tbl>
    <w:p w:rsidR="00000000" w:rsidRPr="00CF1264" w:rsidP="00CF1264">
      <w:pPr>
        <w:pStyle w:val="BodyText"/>
      </w:pPr>
    </w:p>
    <w:p w:rsidR="00000000" w:rsidRPr="00CF1264" w:rsidP="00CF1264">
      <w:pPr>
        <w:pStyle w:val="AllowPageBreak"/>
      </w:pPr>
    </w:p>
    <w:p w:rsidR="00000000" w:rsidRPr="00CF1264" w:rsidP="00CF1264">
      <w:pPr>
        <w:pStyle w:val="Heading1"/>
      </w:pPr>
      <w:bookmarkStart w:id="7" w:name="O_357419"/>
      <w:bookmarkEnd w:id="7"/>
      <w:r w:rsidRPr="00CF1264">
        <w:t>Elements and Performance Criteria Pre-Content</w:t>
      </w:r>
    </w:p>
    <w:tbl>
      <w:tblPr>
        <w:tblW w:w="0" w:type="auto"/>
        <w:tblCellMar>
          <w:left w:w="62" w:type="dxa"/>
          <w:right w:w="62" w:type="dxa"/>
        </w:tblCellMar>
        <w:tblLook w:val="0000"/>
      </w:tblPr>
      <w:tblGrid>
        <w:gridCol w:w="2368"/>
        <w:gridCol w:w="6828"/>
      </w:tblGrid>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t>Performance criteria describe the required performance needed to demonstrate achieve</w:t>
            </w:r>
            <w:r w:rsidRPr="00CF1264">
              <w:t>ment of the element. Assessment of performance is to be consistent with the evidence guide.</w:t>
            </w:r>
          </w:p>
        </w:tc>
      </w:tr>
    </w:tbl>
    <w:p w:rsidR="00000000" w:rsidRPr="00CF1264" w:rsidP="00CF1264">
      <w:pPr>
        <w:pStyle w:val="BodyText"/>
      </w:pPr>
    </w:p>
    <w:p w:rsidR="00000000" w:rsidRPr="00CF1264" w:rsidP="00CF1264">
      <w:pPr>
        <w:pStyle w:val="AllowPageBreak"/>
      </w:pPr>
    </w:p>
    <w:p w:rsidR="00000000" w:rsidRPr="00CF1264" w:rsidP="00CF1264">
      <w:pPr>
        <w:pStyle w:val="Heading1"/>
      </w:pPr>
      <w:bookmarkStart w:id="8" w:name="O_357420"/>
      <w:bookmarkEnd w:id="8"/>
      <w:r w:rsidRPr="00CF1264">
        <w:t>Elements and Performance Criteria</w:t>
      </w:r>
    </w:p>
    <w:tbl>
      <w:tblPr>
        <w:tblW w:w="0" w:type="auto"/>
        <w:tblCellMar>
          <w:left w:w="62" w:type="dxa"/>
          <w:right w:w="62" w:type="dxa"/>
        </w:tblCellMar>
        <w:tblLook w:val="0000"/>
      </w:tblPr>
      <w:tblGrid>
        <w:gridCol w:w="2352"/>
        <w:gridCol w:w="51"/>
        <w:gridCol w:w="6793"/>
      </w:tblGrid>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PERFORMANCE CRITERIA</w:t>
            </w:r>
          </w:p>
        </w:tc>
      </w:tr>
      <w:tr w:rsidTr="00B27512">
        <w:tblPrEx>
          <w:tblW w:w="0" w:type="auto"/>
          <w:tblCellMar>
            <w:left w:w="62" w:type="dxa"/>
            <w:right w:w="62" w:type="dxa"/>
          </w:tblCellMar>
          <w:tblLook w:val="0000"/>
        </w:tblPrEx>
        <w:trPr>
          <w:trHeight w:val="1898"/>
        </w:trPr>
        <w:tc>
          <w:tcPr>
            <w:tcW w:w="0" w:type="auto"/>
            <w:gridSpan w:val="2"/>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1</w:t>
            </w:r>
            <w:r w:rsidRPr="00CF1264">
              <w:rPr>
                <w:rStyle w:val="SpecialBold"/>
              </w:rPr>
              <w:tab/>
              <w:t>Conduct pre-loading activities</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t>1.1 Documentation i</w:t>
            </w:r>
            <w:r w:rsidRPr="00CF1264">
              <w:t xml:space="preserve">s submitted prior to loading and checked for accuracy of expected load </w:t>
            </w:r>
          </w:p>
          <w:p w:rsidR="00000000" w:rsidRPr="00CF1264" w:rsidP="00CF1264">
            <w:pPr>
              <w:pStyle w:val="BodyText"/>
            </w:pPr>
            <w:r w:rsidRPr="00CF1264">
              <w:t xml:space="preserve">1.2 Loading area is checked for hazards </w:t>
            </w:r>
          </w:p>
          <w:p w:rsidR="00000000" w:rsidRPr="00CF1264" w:rsidP="00CF1264">
            <w:pPr>
              <w:pStyle w:val="BodyText"/>
            </w:pPr>
            <w:r w:rsidRPr="00CF1264">
              <w:t>1.3 HAZCHEM signage and product tumblers are checked or changed in accordance with regulatory requirements, and site and organisational procedu</w:t>
            </w:r>
            <w:r w:rsidRPr="00CF1264">
              <w:t>res</w:t>
            </w:r>
          </w:p>
          <w:p w:rsidR="00000000" w:rsidP="00CF1264">
            <w:pPr>
              <w:pStyle w:val="BodyText"/>
              <w:rPr>
                <w:lang w:val="en-NZ"/>
              </w:rPr>
            </w:pPr>
            <w:r w:rsidRPr="00CF1264">
              <w:t>1.4 Integrity of dangerous goods is checked prior to loading in accordance with workplace procedures</w:t>
            </w:r>
          </w:p>
        </w:tc>
      </w:tr>
      <w:tr w:rsidTr="00B27512">
        <w:tblPrEx>
          <w:tblW w:w="0" w:type="auto"/>
          <w:tblCellMar>
            <w:left w:w="62" w:type="dxa"/>
            <w:right w:w="62" w:type="dxa"/>
          </w:tblCellMar>
          <w:tblLook w:val="0000"/>
        </w:tblPrEx>
        <w:trPr>
          <w:trHeight w:val="3050"/>
        </w:trPr>
        <w:tc>
          <w:tcPr>
            <w:tcW w:w="0" w:type="auto"/>
            <w:gridSpan w:val="2"/>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2</w:t>
            </w:r>
            <w:r w:rsidRPr="00CF1264">
              <w:rPr>
                <w:rStyle w:val="SpecialBold"/>
              </w:rPr>
              <w:tab/>
              <w:t>Prepare for loading</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t>2.1 Loading console instructions are followed and authorisation is gained</w:t>
            </w:r>
          </w:p>
          <w:p w:rsidR="00000000" w:rsidRPr="00CF1264" w:rsidP="00CF1264">
            <w:pPr>
              <w:pStyle w:val="BodyText"/>
            </w:pPr>
            <w:r w:rsidRPr="00CF1264">
              <w:t>2.2 Tanker equipment is prepared for loading in accord</w:t>
            </w:r>
            <w:r w:rsidRPr="00CF1264">
              <w:t>ance with organisational and facility procedures</w:t>
            </w:r>
          </w:p>
          <w:p w:rsidR="00000000" w:rsidRPr="00CF1264" w:rsidP="00CF1264">
            <w:pPr>
              <w:pStyle w:val="BodyText"/>
            </w:pPr>
            <w:r w:rsidRPr="00CF1264">
              <w:t>2.3 Product and volume to be loaded are selected in accordance with loading documents</w:t>
            </w:r>
          </w:p>
          <w:p w:rsidR="00000000" w:rsidRPr="00CF1264" w:rsidP="00CF1264">
            <w:pPr>
              <w:pStyle w:val="BodyText"/>
            </w:pPr>
            <w:r w:rsidRPr="00CF1264">
              <w:t>2.4 Final check of product type and quantity to be loaded is made for compliance with delivery documentation, safe carryi</w:t>
            </w:r>
            <w:r w:rsidRPr="00CF1264">
              <w:t>ng capacity, and gross weight limitations of the tanker</w:t>
            </w:r>
          </w:p>
          <w:p w:rsidR="00000000" w:rsidP="00CF1264">
            <w:pPr>
              <w:pStyle w:val="BodyText"/>
              <w:rPr>
                <w:lang w:val="en-NZ"/>
              </w:rPr>
            </w:pPr>
            <w:r w:rsidRPr="00CF1264">
              <w:t>2.5 Any discrepancies are rectified in accordance with organisational procedures</w:t>
            </w:r>
          </w:p>
        </w:tc>
      </w:tr>
      <w:tr w:rsidTr="00B27512">
        <w:tblPrEx>
          <w:tblW w:w="0" w:type="auto"/>
          <w:tblCellMar>
            <w:left w:w="62" w:type="dxa"/>
            <w:right w:w="62" w:type="dxa"/>
          </w:tblCellMar>
          <w:tblLook w:val="0000"/>
        </w:tblPrEx>
        <w:trPr>
          <w:trHeight w:val="3650"/>
        </w:trPr>
        <w:tc>
          <w:tcPr>
            <w:tcW w:w="0" w:type="auto"/>
            <w:gridSpan w:val="2"/>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3</w:t>
            </w:r>
            <w:r w:rsidRPr="00CF1264">
              <w:rPr>
                <w:rStyle w:val="SpecialBold"/>
              </w:rPr>
              <w:tab/>
              <w:t>Bottom load tanker</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t>3.1 Locations of emergency equipment and emergency procedures are identified before loading commences</w:t>
            </w:r>
          </w:p>
          <w:p w:rsidR="00000000" w:rsidRPr="00CF1264" w:rsidP="00CF1264">
            <w:pPr>
              <w:pStyle w:val="BodyText"/>
            </w:pPr>
            <w:r w:rsidRPr="00CF1264">
              <w:t>3.2 Vapour recovery product transfer equipment is connected in accordance with organisational requirements</w:t>
            </w:r>
          </w:p>
          <w:p w:rsidR="00000000" w:rsidRPr="00CF1264" w:rsidP="00CF1264">
            <w:pPr>
              <w:pStyle w:val="BodyText"/>
            </w:pPr>
            <w:r w:rsidRPr="00CF1264">
              <w:t>3.3 Site procedures are followed for commenceme</w:t>
            </w:r>
            <w:r w:rsidRPr="00CF1264">
              <w:t xml:space="preserve">nt of the loading process </w:t>
            </w:r>
          </w:p>
          <w:p w:rsidR="00000000" w:rsidRPr="00CF1264" w:rsidP="00CF1264">
            <w:pPr>
              <w:pStyle w:val="BodyText"/>
            </w:pPr>
            <w:r w:rsidRPr="00CF1264">
              <w:t>3.4 Tanker is safely loaded with product using only approved equipment and in accordance with organisational requirements and site procedures</w:t>
            </w:r>
          </w:p>
          <w:p w:rsidR="00000000" w:rsidRPr="00CF1264" w:rsidP="00CF1264">
            <w:pPr>
              <w:pStyle w:val="BodyText"/>
            </w:pPr>
            <w:r w:rsidRPr="00CF1264">
              <w:t>3.5 Loading process is manoeuvred at console in accordance with organisational and site</w:t>
            </w:r>
            <w:r w:rsidRPr="00CF1264">
              <w:t xml:space="preserve"> procedures</w:t>
            </w:r>
          </w:p>
          <w:p w:rsidR="00000000" w:rsidP="00CF1264">
            <w:pPr>
              <w:pStyle w:val="BodyText"/>
              <w:rPr>
                <w:lang w:val="en-NZ"/>
              </w:rPr>
            </w:pPr>
            <w:r w:rsidRPr="00CF1264">
              <w:t>3.6 Valves on the tanker and load-out facility are closed and all transfer equipment is secured at the completion of the loading process in accordance with site procedures</w:t>
            </w:r>
          </w:p>
        </w:tc>
      </w:tr>
      <w:tr w:rsidTr="00B27512">
        <w:tblPrEx>
          <w:tblW w:w="0" w:type="auto"/>
          <w:tblCellMar>
            <w:left w:w="62" w:type="dxa"/>
            <w:right w:w="62" w:type="dxa"/>
          </w:tblCellMar>
          <w:tblLook w:val="0000"/>
        </w:tblPrEx>
        <w:trPr>
          <w:trHeight w:val="3951"/>
        </w:trPr>
        <w:tc>
          <w:tcPr>
            <w:tcW w:w="0" w:type="auto"/>
            <w:gridSpan w:val="2"/>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4</w:t>
            </w:r>
            <w:r w:rsidRPr="00CF1264">
              <w:rPr>
                <w:rStyle w:val="SpecialBold"/>
              </w:rPr>
              <w:tab/>
              <w:t>Leave the loading rack</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BodyText"/>
            </w:pPr>
            <w:r w:rsidRPr="00CF1264">
              <w:t>4.1 Loaded tanker is checked to ensure it is w</w:t>
            </w:r>
            <w:r w:rsidRPr="00CF1264">
              <w:t>ithin legal weight limitations and complies with regulatory and organisational procedures</w:t>
            </w:r>
          </w:p>
          <w:p w:rsidR="00000000" w:rsidRPr="00CF1264" w:rsidP="00CF1264">
            <w:pPr>
              <w:pStyle w:val="BodyText"/>
            </w:pPr>
            <w:r w:rsidRPr="00CF1264">
              <w:t>4.2 Pre-departure inspection of loaded tanker is undertaken to ensure all hoses, pipes and cables are disconnected and secured, brake interlock is deactivated, and an</w:t>
            </w:r>
            <w:r w:rsidRPr="00CF1264">
              <w:t>y obstacles are cleared in accordance with organisational procedures</w:t>
            </w:r>
          </w:p>
          <w:p w:rsidR="00000000" w:rsidRPr="00CF1264" w:rsidP="00CF1264">
            <w:pPr>
              <w:pStyle w:val="BodyText"/>
            </w:pPr>
            <w:r w:rsidRPr="00CF1264">
              <w:t>4.3 Tanker is slowly moved from the loading area without damage to property or injury to people and in accordance with site procedures</w:t>
            </w:r>
          </w:p>
          <w:p w:rsidR="00000000" w:rsidRPr="00CF1264" w:rsidP="00CF1264">
            <w:pPr>
              <w:pStyle w:val="BodyText"/>
            </w:pPr>
            <w:r w:rsidRPr="00CF1264">
              <w:t>4.4 Tanker is parked in the designated area and chec</w:t>
            </w:r>
            <w:r w:rsidRPr="00CF1264">
              <w:t>ked to ensure correct placarding</w:t>
            </w:r>
          </w:p>
          <w:p w:rsidR="00000000" w:rsidRPr="00CF1264" w:rsidP="00CF1264">
            <w:pPr>
              <w:pStyle w:val="BodyText"/>
            </w:pPr>
            <w:r w:rsidRPr="00CF1264">
              <w:t xml:space="preserve">4.5 Load documentation is completed, checked and secured in the tanker in accordance with regulatory requirements </w:t>
            </w:r>
          </w:p>
          <w:p w:rsidR="00000000" w:rsidRPr="00CF1264" w:rsidP="00CF1264">
            <w:pPr>
              <w:pStyle w:val="BodyText"/>
            </w:pPr>
            <w:r w:rsidRPr="00CF1264">
              <w:t>4.6 Tanker is driven safely from site in accordance with site procedures</w:t>
            </w:r>
          </w:p>
        </w:tc>
      </w:tr>
    </w:tbl>
    <w:p w:rsidR="00000000" w:rsidRPr="00CF1264" w:rsidP="00CF1264">
      <w:pPr>
        <w:pStyle w:val="BodyText"/>
      </w:pPr>
    </w:p>
    <w:p w:rsidR="00000000" w:rsidRPr="00CF1264" w:rsidP="00CF1264">
      <w:pPr>
        <w:pStyle w:val="AllowPageBreak"/>
      </w:pPr>
    </w:p>
    <w:p w:rsidR="00000000" w:rsidRPr="00CF1264" w:rsidP="00CF1264">
      <w:pPr>
        <w:pStyle w:val="Heading1"/>
      </w:pPr>
      <w:bookmarkStart w:id="9" w:name="O_357421"/>
      <w:bookmarkEnd w:id="9"/>
      <w:r w:rsidRPr="00CF1264">
        <w:t>Required Skills and Knowledge</w:t>
      </w:r>
    </w:p>
    <w:tbl>
      <w:tblPr>
        <w:tblW w:w="0" w:type="auto"/>
        <w:tblCellMar>
          <w:left w:w="62" w:type="dxa"/>
          <w:right w:w="62" w:type="dxa"/>
        </w:tblCellMar>
        <w:tblLook w:val="0000"/>
      </w:tblPr>
      <w:tblGrid>
        <w:gridCol w:w="9196"/>
      </w:tblGrid>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REQUIRED SKILLS AND KNOWLEDGE</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t xml:space="preserve">This describes the essential skills and knowledge and their level, required for this unit. </w:t>
            </w:r>
          </w:p>
        </w:tc>
      </w:tr>
      <w:tr w:rsidTr="00B27512">
        <w:tblPrEx>
          <w:tblW w:w="0" w:type="auto"/>
          <w:tblCellMar>
            <w:left w:w="62" w:type="dxa"/>
            <w:right w:w="62" w:type="dxa"/>
          </w:tblCellMar>
          <w:tblLook w:val="0000"/>
        </w:tblPrEx>
        <w:trPr>
          <w:trHeight w:val="383"/>
        </w:trPr>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Required knowledge:</w:t>
            </w:r>
          </w:p>
        </w:tc>
      </w:tr>
      <w:tr w:rsidTr="00B27512">
        <w:tblPrEx>
          <w:tblW w:w="0" w:type="auto"/>
          <w:tblCellMar>
            <w:left w:w="62" w:type="dxa"/>
            <w:right w:w="62" w:type="dxa"/>
          </w:tblCellMar>
          <w:tblLook w:val="0000"/>
        </w:tblPrEx>
        <w:trPr>
          <w:trHeight w:val="382"/>
        </w:trPr>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Road rules, regulations, permit and licence requirements of the relevant state a</w:t>
            </w:r>
            <w:r w:rsidRPr="00CF1264">
              <w:t>nd territory roads and traffic authority</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Relevant OH&amp;S and environmental procedures and regulations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Potential hazards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Safe loading procedures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Placarding requirements for parking procedures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Preparation methods for tanker equipment</w:t>
            </w:r>
          </w:p>
        </w:tc>
      </w:tr>
    </w:tbl>
    <w:p w:rsidR="00000000" w:rsidRPr="00CF1264" w:rsidP="00CF1264">
      <w:pPr>
        <w:pStyle w:val="BodyText"/>
      </w:pPr>
    </w:p>
    <w:tbl>
      <w:tblPr>
        <w:tblW w:w="0" w:type="auto"/>
        <w:tblCellMar>
          <w:left w:w="62" w:type="dxa"/>
          <w:right w:w="62" w:type="dxa"/>
        </w:tblCellMar>
        <w:tblLook w:val="0000"/>
      </w:tblPr>
      <w:tblGrid>
        <w:gridCol w:w="9196"/>
      </w:tblGrid>
      <w:tr w:rsidTr="00B27512">
        <w:tblPrEx>
          <w:tblW w:w="0" w:type="auto"/>
          <w:tblCellMar>
            <w:left w:w="62" w:type="dxa"/>
            <w:right w:w="62" w:type="dxa"/>
          </w:tblCellMar>
          <w:tblLook w:val="0000"/>
        </w:tblPrEx>
        <w:trPr>
          <w:trHeight w:val="289"/>
        </w:trPr>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Required skills: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Identify volume of goods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Make accurate estimates in a range of situations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Identify dangerous goods and hazardous materials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Reading complex legislative and regulatory requirements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ListBullet"/>
              <w:rPr>
                <w:lang w:val="en-NZ"/>
              </w:rPr>
            </w:pPr>
            <w:r w:rsidRPr="00CF1264">
              <w:t>Apply de-coupling method for bottom loader tanker</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Identify and prepare tanker equipment</w:t>
            </w:r>
          </w:p>
        </w:tc>
      </w:tr>
    </w:tbl>
    <w:p w:rsidR="00000000" w:rsidRPr="00CF1264" w:rsidP="00CF1264">
      <w:pPr>
        <w:pStyle w:val="BodyText"/>
      </w:pPr>
    </w:p>
    <w:p w:rsidR="00000000" w:rsidRPr="00CF1264" w:rsidP="00CF1264">
      <w:pPr>
        <w:pStyle w:val="AllowPageBreak"/>
      </w:pPr>
    </w:p>
    <w:p w:rsidR="00000000" w:rsidRPr="00CF1264" w:rsidP="00CF1264">
      <w:pPr>
        <w:pStyle w:val="Heading1"/>
      </w:pPr>
      <w:bookmarkStart w:id="10" w:name="O_357422"/>
      <w:bookmarkEnd w:id="10"/>
      <w:r w:rsidRPr="00CF1264">
        <w:t>Evidence Guide</w:t>
      </w:r>
    </w:p>
    <w:tbl>
      <w:tblPr>
        <w:tblW w:w="9499" w:type="dxa"/>
        <w:tblLayout w:type="fixed"/>
        <w:tblCellMar>
          <w:left w:w="62" w:type="dxa"/>
          <w:right w:w="62" w:type="dxa"/>
        </w:tblCellMar>
        <w:tblLook w:val="0000"/>
      </w:tblPr>
      <w:tblGrid>
        <w:gridCol w:w="3508"/>
        <w:gridCol w:w="5991"/>
      </w:tblGrid>
      <w:tr w:rsidTr="00CF126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EVIDENCE GUIDE</w:t>
            </w:r>
          </w:p>
        </w:tc>
      </w:tr>
      <w:tr w:rsidTr="00CF126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t xml:space="preserve">The evidence guide provides advice on assessment and must be read in conjunction with the Performance Criteria, Required Skills and Knowledge, </w:t>
            </w:r>
            <w:r w:rsidRPr="00CF1264">
              <w:t xml:space="preserve">the Range Statement and the Assessment section in Section B of the accreditation submission. </w:t>
            </w:r>
          </w:p>
        </w:tc>
      </w:tr>
      <w:tr w:rsidTr="00CF1264">
        <w:tblPrEx>
          <w:tblW w:w="9499" w:type="dxa"/>
          <w:tblLayout w:type="fixed"/>
          <w:tblCellMar>
            <w:left w:w="62" w:type="dxa"/>
            <w:right w:w="62" w:type="dxa"/>
          </w:tblCellMar>
          <w:tblLook w:val="0000"/>
        </w:tblPrEx>
        <w:trPr>
          <w:trHeight w:val="2123"/>
        </w:trPr>
        <w:tc>
          <w:tcPr>
            <w:tcW w:w="3508" w:type="dxa"/>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Critical aspects for assessment and evidence required to demonstrate competency in this unit</w:t>
            </w:r>
          </w:p>
        </w:tc>
        <w:tc>
          <w:tcPr>
            <w:tcW w:w="5991" w:type="dxa"/>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 xml:space="preserve">The evidence required to demonstrate competency in this unit must </w:t>
            </w:r>
            <w:r w:rsidRPr="00CF1264">
              <w:t>be relevant to and satisfy all of the requirements of the elements and performance criteria of this unit and include demonstration of:</w:t>
            </w:r>
          </w:p>
          <w:p w:rsidR="00000000" w:rsidRPr="00CF1264" w:rsidP="00CF1264">
            <w:pPr>
              <w:pStyle w:val="ListBullet2"/>
            </w:pPr>
            <w:r w:rsidRPr="00CF1264">
              <w:t>knowledge of control operations</w:t>
            </w:r>
          </w:p>
          <w:p w:rsidR="00000000" w:rsidRPr="00CF1264" w:rsidP="00CF1264">
            <w:pPr>
              <w:pStyle w:val="ListBullet2"/>
            </w:pPr>
            <w:r w:rsidRPr="00CF1264">
              <w:t>bottom loading a dangerous goods tanker</w:t>
            </w:r>
          </w:p>
          <w:p w:rsidR="00000000" w:rsidP="00CF1264">
            <w:pPr>
              <w:pStyle w:val="ListBullet2"/>
              <w:rPr>
                <w:lang w:val="en-NZ"/>
              </w:rPr>
            </w:pPr>
            <w:r w:rsidRPr="00CF1264">
              <w:t>coupling and de-coupling a dangerous goods tanker</w:t>
            </w:r>
          </w:p>
        </w:tc>
      </w:tr>
      <w:tr w:rsidTr="00CF1264">
        <w:tblPrEx>
          <w:tblW w:w="9499" w:type="dxa"/>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Context of and specific resources for assessment</w:t>
            </w:r>
          </w:p>
        </w:tc>
        <w:tc>
          <w:tcPr>
            <w:tcW w:w="5991" w:type="dxa"/>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Assessment must ensure access to:</w:t>
            </w:r>
          </w:p>
          <w:p w:rsidR="00000000" w:rsidRPr="00CF1264" w:rsidP="00CF1264">
            <w:pPr>
              <w:pStyle w:val="ListBullet2"/>
            </w:pPr>
            <w:r w:rsidRPr="00CF1264">
              <w:t>tools, equipment and personal protective equipment (PPE) currently used in industry</w:t>
            </w:r>
          </w:p>
          <w:p w:rsidR="00000000" w:rsidP="00CF1264">
            <w:pPr>
              <w:pStyle w:val="ListBullet2"/>
              <w:rPr>
                <w:lang w:val="en-NZ"/>
              </w:rPr>
            </w:pPr>
            <w:r w:rsidRPr="00CF1264">
              <w:t>relevant regulatory and equipment documentation that impacts on work activities</w:t>
            </w:r>
          </w:p>
        </w:tc>
      </w:tr>
      <w:tr w:rsidTr="00CF1264">
        <w:tblPrEx>
          <w:tblW w:w="9499" w:type="dxa"/>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Method of assessment</w:t>
            </w:r>
          </w:p>
        </w:tc>
        <w:tc>
          <w:tcPr>
            <w:tcW w:w="5991" w:type="dxa"/>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Holistic assessment with other units relevant to the industry sector, workplace and job role is recommended</w:t>
            </w:r>
          </w:p>
          <w:p w:rsidR="00000000" w:rsidRPr="00CF1264" w:rsidP="00CF1264">
            <w:pPr>
              <w:pStyle w:val="ListBullet"/>
            </w:pPr>
            <w:r w:rsidRPr="00CF1264">
              <w:t>In all cases where practical assessment is us</w:t>
            </w:r>
            <w:r w:rsidRPr="00CF1264">
              <w:t>ed it will be combined with targeted questioning to assess required knowledge</w:t>
            </w:r>
          </w:p>
          <w:p w:rsidR="00000000" w:rsidRPr="00CF1264" w:rsidP="00CF1264">
            <w:pPr>
              <w:pStyle w:val="ListBullet"/>
            </w:pPr>
            <w:r w:rsidRPr="00CF1264">
              <w:t>Assessment processes and techniques must be appropriate to the language and literacy capacity of the candidate and the work being performed</w:t>
            </w:r>
          </w:p>
          <w:p w:rsidR="00000000" w:rsidRPr="00CF1264" w:rsidP="00CF1264">
            <w:pPr>
              <w:pStyle w:val="ListBullet"/>
            </w:pPr>
            <w:r w:rsidRPr="00CF1264">
              <w:t xml:space="preserve">Online assessment is not suitable for </w:t>
            </w:r>
            <w:r w:rsidRPr="00CF1264">
              <w:t>final assessment of this unit of competency</w:t>
            </w:r>
          </w:p>
        </w:tc>
      </w:tr>
    </w:tbl>
    <w:p w:rsidR="00000000" w:rsidRPr="00CF1264" w:rsidP="00CF1264">
      <w:pPr>
        <w:pStyle w:val="BodyText"/>
      </w:pPr>
    </w:p>
    <w:p w:rsidR="00000000" w:rsidRPr="00CF1264" w:rsidP="00CF1264">
      <w:pPr>
        <w:pStyle w:val="AllowPageBreak"/>
      </w:pPr>
    </w:p>
    <w:p w:rsidR="00000000" w:rsidRPr="00CF1264" w:rsidP="00CF1264">
      <w:pPr>
        <w:pStyle w:val="Heading1"/>
      </w:pPr>
      <w:bookmarkStart w:id="11" w:name="O_357423"/>
      <w:bookmarkEnd w:id="11"/>
      <w:r w:rsidRPr="00CF1264">
        <w:t>Range Statement</w:t>
      </w:r>
    </w:p>
    <w:tbl>
      <w:tblPr>
        <w:tblW w:w="0" w:type="auto"/>
        <w:tblCellMar>
          <w:left w:w="62" w:type="dxa"/>
          <w:right w:w="62" w:type="dxa"/>
        </w:tblCellMar>
        <w:tblLook w:val="0000"/>
      </w:tblPr>
      <w:tblGrid>
        <w:gridCol w:w="3147"/>
        <w:gridCol w:w="6049"/>
      </w:tblGrid>
      <w:tr w:rsidTr="00B275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 xml:space="preserve">RANGE STATEMENT </w:t>
            </w:r>
          </w:p>
        </w:tc>
      </w:tr>
      <w:tr w:rsidTr="00B275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t xml:space="preserve">The Range Statement relates to the unit of competency as a whole. It allows for different work environments and situations that may affect </w:t>
            </w:r>
            <w:r w:rsidRPr="00CF1264">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CF1264">
              <w:t xml:space="preserve">and local industry and regional contexts. </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Integrity of dangerous goods involves checking:</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valves</w:t>
            </w:r>
          </w:p>
          <w:p w:rsidR="00000000" w:rsidRPr="00CF1264" w:rsidP="00CF1264">
            <w:pPr>
              <w:pStyle w:val="ListBullet"/>
            </w:pPr>
            <w:r w:rsidRPr="00CF1264">
              <w:t>caps</w:t>
            </w:r>
          </w:p>
          <w:p w:rsidR="00000000" w:rsidP="00CF1264">
            <w:pPr>
              <w:pStyle w:val="ListBullet"/>
              <w:rPr>
                <w:lang w:val="en-NZ"/>
              </w:rPr>
            </w:pPr>
            <w:r w:rsidRPr="00CF1264">
              <w:t>hatches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Gross weight limitation of a tanker complies with:</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National Heavy Vehicle Accreditation Scheme (NHVAS)</w:t>
            </w:r>
          </w:p>
          <w:p w:rsidR="00000000" w:rsidP="00CF1264">
            <w:pPr>
              <w:pStyle w:val="ListBullet"/>
              <w:rPr>
                <w:lang w:val="en-NZ"/>
              </w:rPr>
            </w:pPr>
            <w:r w:rsidRPr="00CF1264">
              <w:t>manufacturer’s safe load limit</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Product transfer equipment includes:</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delivery hoses</w:t>
            </w:r>
          </w:p>
          <w:p w:rsidR="00000000" w:rsidRPr="00CF1264" w:rsidP="00CF1264">
            <w:pPr>
              <w:pStyle w:val="ListBullet"/>
            </w:pPr>
            <w:r w:rsidRPr="00CF1264">
              <w:t>scully systems</w:t>
            </w:r>
          </w:p>
          <w:p w:rsidR="00000000" w:rsidRPr="00CF1264" w:rsidP="00CF1264">
            <w:pPr>
              <w:pStyle w:val="ListBullet"/>
            </w:pPr>
            <w:r w:rsidRPr="00CF1264">
              <w:t>external piping and fittings</w:t>
            </w:r>
          </w:p>
          <w:p w:rsidR="00000000" w:rsidRPr="00CF1264" w:rsidP="00CF1264">
            <w:pPr>
              <w:pStyle w:val="ListBullet"/>
            </w:pPr>
            <w:r w:rsidRPr="00CF1264">
              <w:t>bonding devices</w:t>
            </w:r>
          </w:p>
          <w:p w:rsidR="00000000" w:rsidRPr="00CF1264" w:rsidP="00CF1264">
            <w:pPr>
              <w:pStyle w:val="ListBullet"/>
            </w:pPr>
            <w:r w:rsidRPr="00CF1264">
              <w:t>pressure vessels</w:t>
            </w:r>
          </w:p>
          <w:p w:rsidR="00000000" w:rsidRPr="00CF1264" w:rsidP="00CF1264">
            <w:pPr>
              <w:pStyle w:val="ListBullet"/>
            </w:pPr>
            <w:r w:rsidRPr="00CF1264">
              <w:t>master switch</w:t>
            </w:r>
          </w:p>
          <w:p w:rsidR="00000000" w:rsidRPr="00CF1264" w:rsidP="00CF1264">
            <w:pPr>
              <w:pStyle w:val="ListBullet"/>
            </w:pPr>
            <w:r w:rsidRPr="00CF1264">
              <w:t>valves</w:t>
            </w:r>
          </w:p>
          <w:p w:rsidR="00000000" w:rsidRPr="00CF1264" w:rsidP="00CF1264">
            <w:pPr>
              <w:pStyle w:val="ListBullet"/>
            </w:pPr>
            <w:r w:rsidRPr="00CF1264">
              <w:t>warning devices</w:t>
            </w:r>
          </w:p>
          <w:p w:rsidR="00000000" w:rsidRPr="00CF1264" w:rsidP="00CF1264">
            <w:pPr>
              <w:pStyle w:val="ListBullet"/>
            </w:pPr>
            <w:r w:rsidRPr="00CF1264">
              <w:t>brake interlock</w:t>
            </w:r>
          </w:p>
          <w:p w:rsidR="00000000" w:rsidP="00CF1264">
            <w:pPr>
              <w:pStyle w:val="ListBullet"/>
              <w:rPr>
                <w:lang w:val="en-NZ"/>
              </w:rPr>
            </w:pPr>
            <w:r w:rsidRPr="00CF1264">
              <w:t>pressure and ullage gauges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Tanker classes include:</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B-Double</w:t>
            </w:r>
          </w:p>
          <w:p w:rsidR="00000000" w:rsidRPr="00CF1264" w:rsidP="00CF1264">
            <w:pPr>
              <w:pStyle w:val="ListBullet"/>
            </w:pPr>
            <w:r w:rsidRPr="00CF1264">
              <w:t>B-Triple</w:t>
            </w:r>
          </w:p>
          <w:p w:rsidR="00000000" w:rsidP="00CF1264">
            <w:pPr>
              <w:pStyle w:val="ListBullet"/>
              <w:rPr>
                <w:lang w:val="en-NZ"/>
              </w:rPr>
            </w:pPr>
            <w:r w:rsidRPr="00CF1264">
              <w:t>AB-Quad</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Personal safety measures include:</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gloves</w:t>
            </w:r>
          </w:p>
          <w:p w:rsidR="00000000" w:rsidRPr="00CF1264" w:rsidP="00CF1264">
            <w:pPr>
              <w:pStyle w:val="ListBullet"/>
            </w:pPr>
            <w:r w:rsidRPr="00CF1264">
              <w:t>safety headwear and footwear</w:t>
            </w:r>
          </w:p>
          <w:p w:rsidR="00000000" w:rsidRPr="00CF1264" w:rsidP="00CF1264">
            <w:pPr>
              <w:pStyle w:val="ListBullet"/>
            </w:pPr>
            <w:r w:rsidRPr="00CF1264">
              <w:t>safety glasses</w:t>
            </w:r>
          </w:p>
          <w:p w:rsidR="00000000" w:rsidRPr="00CF1264" w:rsidP="00CF1264">
            <w:pPr>
              <w:pStyle w:val="ListBullet"/>
            </w:pPr>
            <w:r w:rsidRPr="00CF1264">
              <w:t>two-way radios</w:t>
            </w:r>
          </w:p>
          <w:p w:rsidR="00000000" w:rsidRPr="00CF1264" w:rsidP="00CF1264">
            <w:pPr>
              <w:pStyle w:val="ListBullet"/>
            </w:pPr>
            <w:r w:rsidRPr="00CF1264">
              <w:t>protective clothing</w:t>
            </w:r>
          </w:p>
          <w:p w:rsidR="00000000" w:rsidRPr="00CF1264" w:rsidP="00CF1264">
            <w:pPr>
              <w:pStyle w:val="ListBullet"/>
            </w:pPr>
            <w:r w:rsidRPr="00CF1264">
              <w:t>high visibility clothing</w:t>
            </w:r>
          </w:p>
          <w:p w:rsidR="00000000" w:rsidP="00CF1264">
            <w:pPr>
              <w:pStyle w:val="ListBullet"/>
              <w:rPr>
                <w:lang w:val="en-NZ"/>
              </w:rPr>
            </w:pPr>
            <w:r w:rsidRPr="00CF1264">
              <w:t>eye wash kit</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Emergency equipment includes:</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emergency shutdown controls</w:t>
            </w:r>
          </w:p>
          <w:p w:rsidR="00000000" w:rsidP="00CF1264">
            <w:pPr>
              <w:pStyle w:val="ListBullet"/>
              <w:rPr>
                <w:lang w:val="en-NZ"/>
              </w:rPr>
            </w:pPr>
            <w:r w:rsidRPr="00CF1264">
              <w:t>evacuation controls</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Documentation and records include:</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transport regulations as they apply to the enterprise, including local authority regulations and procedures</w:t>
            </w:r>
          </w:p>
          <w:p w:rsidR="00000000" w:rsidRPr="00CF1264" w:rsidP="00CF1264">
            <w:pPr>
              <w:pStyle w:val="ListBullet"/>
            </w:pPr>
            <w:r w:rsidRPr="00CF1264">
              <w:t>workplace policies and procedures</w:t>
            </w:r>
          </w:p>
          <w:p w:rsidR="00000000" w:rsidRPr="00CF1264" w:rsidP="00CF1264">
            <w:pPr>
              <w:pStyle w:val="ListBullet"/>
            </w:pPr>
            <w:r w:rsidRPr="00CF1264">
              <w:t>relevant Australian standards and certification requirements</w:t>
            </w:r>
          </w:p>
          <w:p w:rsidR="00000000" w:rsidRPr="00CF1264" w:rsidP="00CF1264">
            <w:pPr>
              <w:pStyle w:val="ListBullet"/>
            </w:pPr>
            <w:r w:rsidRPr="00CF1264">
              <w:t>relevant internal</w:t>
            </w:r>
            <w:r w:rsidRPr="00CF1264">
              <w:t xml:space="preserve"> data entry books, including log books, data sheets and load sheets</w:t>
            </w:r>
          </w:p>
          <w:p w:rsidR="00000000" w:rsidP="00CF1264">
            <w:pPr>
              <w:pStyle w:val="ListBullet"/>
              <w:rPr>
                <w:lang w:val="en-NZ"/>
              </w:rPr>
            </w:pPr>
            <w:r w:rsidRPr="00CF1264">
              <w:t>transport emergency response plan (TERP)</w:t>
            </w:r>
          </w:p>
        </w:tc>
      </w:tr>
      <w:tr w:rsidTr="00B27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264">
            <w:pPr>
              <w:pStyle w:val="BodyText"/>
              <w:rPr>
                <w:lang w:val="en-NZ"/>
              </w:rPr>
            </w:pPr>
            <w:r w:rsidRPr="00CF1264">
              <w:rPr>
                <w:rStyle w:val="SpecialBold"/>
              </w:rPr>
              <w:t>Applicable legislative procedures and codes include:</w:t>
            </w:r>
          </w:p>
        </w:tc>
        <w:tc>
          <w:tcPr>
            <w:tcW w:w="0" w:type="auto"/>
            <w:tcBorders>
              <w:top w:val="nil"/>
              <w:left w:val="nil"/>
              <w:bottom w:val="nil"/>
              <w:right w:val="nil"/>
            </w:tcBorders>
            <w:tcMar>
              <w:top w:w="0" w:type="dxa"/>
              <w:left w:w="62" w:type="dxa"/>
              <w:bottom w:w="0" w:type="dxa"/>
              <w:right w:w="62" w:type="dxa"/>
            </w:tcMar>
          </w:tcPr>
          <w:p w:rsidR="00000000" w:rsidRPr="00CF1264" w:rsidP="00CF1264">
            <w:pPr>
              <w:pStyle w:val="ListBullet"/>
            </w:pPr>
            <w:r w:rsidRPr="00CF1264">
              <w:t>Australian code for the transport of dangerous goods by road or rail: the current Australian</w:t>
            </w:r>
            <w:r w:rsidRPr="00CF1264">
              <w:t xml:space="preserve"> Dangerous Goods (ADG) Code</w:t>
            </w:r>
          </w:p>
          <w:p w:rsidR="00000000" w:rsidRPr="00CF1264" w:rsidP="00CF1264">
            <w:pPr>
              <w:pStyle w:val="ListBullet"/>
            </w:pPr>
            <w:r w:rsidRPr="00CF1264">
              <w:t>relevant state and territory:</w:t>
            </w:r>
          </w:p>
          <w:p w:rsidR="00000000" w:rsidRPr="00CF1264" w:rsidP="00CF1264">
            <w:pPr>
              <w:pStyle w:val="ListBullet2"/>
            </w:pPr>
            <w:r w:rsidRPr="00CF1264">
              <w:t xml:space="preserve">roads and traffic authority driving regulations and licence or permit requirements pertaining to operating heavy vehicles on unsealed roads </w:t>
            </w:r>
          </w:p>
          <w:p w:rsidR="00000000" w:rsidRPr="00CF1264" w:rsidP="00CF1264">
            <w:pPr>
              <w:pStyle w:val="ListBullet2"/>
            </w:pPr>
            <w:r w:rsidRPr="00CF1264">
              <w:t>road rules</w:t>
            </w:r>
          </w:p>
          <w:p w:rsidR="00000000" w:rsidRPr="00CF1264" w:rsidP="00CF1264">
            <w:pPr>
              <w:pStyle w:val="ListBullet2"/>
            </w:pPr>
            <w:r w:rsidRPr="00CF1264">
              <w:t xml:space="preserve">OH&amp;S legislation </w:t>
            </w:r>
          </w:p>
          <w:p w:rsidR="00000000" w:rsidRPr="00CF1264" w:rsidP="00CF1264">
            <w:pPr>
              <w:pStyle w:val="ListBullet2"/>
            </w:pPr>
            <w:r w:rsidRPr="00CF1264">
              <w:t xml:space="preserve">fatigue management regulations </w:t>
            </w:r>
          </w:p>
          <w:p w:rsidR="00000000" w:rsidRPr="00CF1264" w:rsidP="00CF1264">
            <w:pPr>
              <w:pStyle w:val="ListBullet2"/>
            </w:pPr>
            <w:r w:rsidRPr="00CF1264">
              <w:t>environmental protection legislation and regulations</w:t>
            </w:r>
          </w:p>
        </w:tc>
      </w:tr>
    </w:tbl>
    <w:p w:rsidR="00000000" w:rsidRPr="00CF1264" w:rsidP="00CF1264">
      <w:pPr>
        <w:pStyle w:val="BodyText"/>
      </w:pPr>
    </w:p>
    <w:p w:rsidR="00000000" w:rsidRPr="00CF1264" w:rsidP="00CF1264">
      <w:pPr>
        <w:pStyle w:val="AllowPageBreak"/>
      </w:pPr>
    </w:p>
    <w:p w:rsidR="00000000" w:rsidRPr="00CF1264" w:rsidP="00CF1264">
      <w:pPr>
        <w:pStyle w:val="Heading1"/>
      </w:pPr>
      <w:bookmarkStart w:id="12" w:name="O_357424"/>
      <w:bookmarkEnd w:id="12"/>
      <w:r w:rsidRPr="00CF1264">
        <w:t>Unit Sector(s)</w:t>
      </w:r>
    </w:p>
    <w:p w:rsidR="00000000" w:rsidRPr="00CF1264" w:rsidP="00CF1264">
      <w:pPr>
        <w:pStyle w:val="BodyText"/>
      </w:pPr>
      <w:r w:rsidRPr="00CF1264">
        <w:t>Not applicable.</w:t>
      </w:r>
    </w:p>
    <w:p w:rsidR="00000000" w:rsidRPr="00CF1264" w:rsidP="00CF1264">
      <w:pPr>
        <w:pStyle w:val="AllowPageBreak"/>
      </w:pPr>
    </w:p>
    <w:p w:rsidR="00000000" w:rsidRPr="00CF1264" w:rsidP="00CF1264">
      <w:pPr>
        <w:pStyle w:val="Heading1"/>
      </w:pPr>
      <w:bookmarkStart w:id="13" w:name="O_357425"/>
      <w:bookmarkEnd w:id="13"/>
      <w:r w:rsidRPr="00CF1264">
        <w:t>Competency Field</w:t>
      </w:r>
    </w:p>
    <w:p w:rsidR="00000000" w:rsidRPr="00CF1264" w:rsidP="00CF1264">
      <w:pPr>
        <w:pStyle w:val="BodyText"/>
      </w:pPr>
      <w:r w:rsidRPr="00CF1264">
        <w:t>D – Load Handling</w:t>
      </w:r>
    </w:p>
    <w:p w:rsidR="00000000" w:rsidRPr="00CF1264" w:rsidP="00CF1264"/>
    <w:sectPr w:rsidSect="00CF12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512" w:rsidP="00B27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12" w:rsidP="00CF1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7512" w:rsidP="00CF12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27512" w:rsidP="00CF12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512" w:rsidP="00B275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12" w:rsidP="00CF1264">
    <w:pPr>
      <w:pStyle w:val="Header"/>
      <w:framePr w:wrap="around"/>
    </w:pPr>
    <w:r>
      <w:fldChar w:fldCharType="begin"/>
    </w:r>
    <w:r>
      <w:instrText xml:space="preserve"> TITLE   \* MERGEFORMAT </w:instrText>
    </w:r>
    <w:r>
      <w:fldChar w:fldCharType="separate"/>
    </w:r>
    <w:r>
      <w:t>TLID4049A Bottom load a dangerous goods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7512" w:rsidP="00CF12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029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005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827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2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264"/>
    <w:pPr>
      <w:spacing w:before="360" w:after="60"/>
      <w:outlineLvl w:val="0"/>
    </w:pPr>
    <w:rPr>
      <w:sz w:val="32"/>
    </w:rPr>
  </w:style>
  <w:style w:type="paragraph" w:styleId="Heading2">
    <w:name w:val="heading 2"/>
    <w:basedOn w:val="HeadingBase"/>
    <w:next w:val="BodyText"/>
    <w:link w:val="Heading2Char"/>
    <w:qFormat/>
    <w:rsid w:val="00CF1264"/>
    <w:pPr>
      <w:keepLines/>
      <w:spacing w:before="240" w:after="120"/>
      <w:outlineLvl w:val="1"/>
    </w:pPr>
    <w:rPr>
      <w:sz w:val="28"/>
      <w:szCs w:val="40"/>
    </w:rPr>
  </w:style>
  <w:style w:type="paragraph" w:styleId="Heading3">
    <w:name w:val="heading 3"/>
    <w:basedOn w:val="HeadingBase"/>
    <w:next w:val="BodyText"/>
    <w:link w:val="Heading3Char"/>
    <w:qFormat/>
    <w:rsid w:val="00CF1264"/>
    <w:pPr>
      <w:spacing w:before="180" w:after="120"/>
      <w:outlineLvl w:val="2"/>
    </w:pPr>
    <w:rPr>
      <w:spacing w:val="-10"/>
      <w:kern w:val="32"/>
    </w:rPr>
  </w:style>
  <w:style w:type="paragraph" w:styleId="Heading4">
    <w:name w:val="heading 4"/>
    <w:basedOn w:val="HeadingBase"/>
    <w:next w:val="BodyText"/>
    <w:link w:val="Heading4Char"/>
    <w:qFormat/>
    <w:rsid w:val="00CF1264"/>
    <w:pPr>
      <w:spacing w:before="160" w:after="120"/>
      <w:outlineLvl w:val="3"/>
    </w:pPr>
    <w:rPr>
      <w:sz w:val="22"/>
    </w:rPr>
  </w:style>
  <w:style w:type="paragraph" w:styleId="Heading5">
    <w:name w:val="heading 5"/>
    <w:basedOn w:val="HeadingBase"/>
    <w:next w:val="Normal"/>
    <w:link w:val="Heading5Char"/>
    <w:qFormat/>
    <w:rsid w:val="00CF1264"/>
    <w:pPr>
      <w:spacing w:before="80"/>
      <w:outlineLvl w:val="4"/>
    </w:pPr>
    <w:rPr>
      <w:color w:val="918585"/>
      <w:sz w:val="20"/>
    </w:rPr>
  </w:style>
  <w:style w:type="paragraph" w:styleId="Heading6">
    <w:name w:val="heading 6"/>
    <w:basedOn w:val="HeadingBase"/>
    <w:next w:val="Normal"/>
    <w:link w:val="Heading6Char"/>
    <w:qFormat/>
    <w:rsid w:val="00CF1264"/>
    <w:pPr>
      <w:spacing w:before="60"/>
      <w:outlineLvl w:val="5"/>
    </w:pPr>
    <w:rPr>
      <w:color w:val="918585"/>
      <w:sz w:val="20"/>
    </w:rPr>
  </w:style>
  <w:style w:type="paragraph" w:styleId="Heading7">
    <w:name w:val="heading 7"/>
    <w:basedOn w:val="Normal"/>
    <w:next w:val="Normal"/>
    <w:link w:val="Heading7Char"/>
    <w:qFormat/>
    <w:rsid w:val="00CF1264"/>
    <w:pPr>
      <w:ind w:left="720"/>
      <w:outlineLvl w:val="6"/>
    </w:pPr>
    <w:rPr>
      <w:i/>
    </w:rPr>
  </w:style>
  <w:style w:type="paragraph" w:styleId="Heading8">
    <w:name w:val="heading 8"/>
    <w:basedOn w:val="Normal"/>
    <w:next w:val="Normal"/>
    <w:link w:val="Heading8Char"/>
    <w:qFormat/>
    <w:rsid w:val="00CF1264"/>
    <w:pPr>
      <w:ind w:left="720"/>
      <w:outlineLvl w:val="7"/>
    </w:pPr>
    <w:rPr>
      <w:i/>
    </w:rPr>
  </w:style>
  <w:style w:type="paragraph" w:styleId="Heading9">
    <w:name w:val="heading 9"/>
    <w:basedOn w:val="Normal"/>
    <w:next w:val="Normal"/>
    <w:link w:val="Heading9Char"/>
    <w:qFormat/>
    <w:rsid w:val="00CF1264"/>
    <w:pPr>
      <w:ind w:left="720"/>
      <w:outlineLvl w:val="8"/>
    </w:pPr>
    <w:rPr>
      <w:i/>
    </w:rPr>
  </w:style>
  <w:style w:type="character" w:default="1" w:styleId="DefaultParagraphFont">
    <w:name w:val="Default Paragraph Font"/>
    <w:uiPriority w:val="1"/>
    <w:unhideWhenUsed/>
    <w:rsid w:val="00CF1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264"/>
  </w:style>
  <w:style w:type="character" w:customStyle="1" w:styleId="Heading1Char">
    <w:name w:val="Heading 1 Char"/>
    <w:basedOn w:val="DefaultParagraphFont"/>
    <w:link w:val="Heading1"/>
    <w:rsid w:val="00CF1264"/>
    <w:rPr>
      <w:rFonts w:ascii="Times New Roman" w:eastAsia="Times New Roman" w:hAnsi="Times New Roman" w:cs="Times New Roman"/>
      <w:b/>
      <w:sz w:val="32"/>
      <w:szCs w:val="20"/>
      <w:lang w:eastAsia="en-US"/>
    </w:rPr>
  </w:style>
  <w:style w:type="paragraph" w:styleId="BodyText">
    <w:name w:val="Body Text"/>
    <w:basedOn w:val="Normal"/>
    <w:link w:val="BodyTextChar"/>
    <w:rsid w:val="00CF12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264"/>
    <w:rPr>
      <w:rFonts w:ascii="Times New Roman" w:eastAsia="Times New Roman" w:hAnsi="Times New Roman" w:cs="Times New Roman"/>
      <w:sz w:val="24"/>
      <w:lang w:val="en-US" w:eastAsia="en-US"/>
    </w:rPr>
  </w:style>
  <w:style w:type="paragraph" w:styleId="Footer">
    <w:name w:val="footer"/>
    <w:basedOn w:val="Normal"/>
    <w:link w:val="FooterChar"/>
    <w:rsid w:val="00CF1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264"/>
    <w:rPr>
      <w:rFonts w:ascii="Times New Roman" w:eastAsia="Times New Roman" w:hAnsi="Times New Roman" w:cs="Times New Roman"/>
      <w:sz w:val="16"/>
      <w:lang w:val="en-US" w:eastAsia="en-US"/>
    </w:rPr>
  </w:style>
  <w:style w:type="paragraph" w:styleId="ListBullet">
    <w:name w:val="List Bullet"/>
    <w:basedOn w:val="List"/>
    <w:rsid w:val="00CF1264"/>
    <w:pPr>
      <w:numPr>
        <w:numId w:val="13"/>
      </w:numPr>
      <w:tabs>
        <w:tab w:val="clear" w:pos="340"/>
      </w:tabs>
      <w:spacing w:before="40" w:after="40"/>
    </w:pPr>
  </w:style>
  <w:style w:type="character" w:customStyle="1" w:styleId="SpecialBold">
    <w:name w:val="Special Bold"/>
    <w:basedOn w:val="DefaultParagraphFont"/>
    <w:rsid w:val="00CF1264"/>
    <w:rPr>
      <w:b/>
      <w:spacing w:val="0"/>
    </w:rPr>
  </w:style>
  <w:style w:type="paragraph" w:styleId="ListBullet2">
    <w:name w:val="List Bullet 2"/>
    <w:basedOn w:val="List2"/>
    <w:rsid w:val="00CF1264"/>
    <w:pPr>
      <w:numPr>
        <w:numId w:val="14"/>
      </w:numPr>
      <w:tabs>
        <w:tab w:val="clear" w:pos="680"/>
      </w:tabs>
    </w:pPr>
  </w:style>
  <w:style w:type="paragraph" w:styleId="Header">
    <w:name w:val="header"/>
    <w:basedOn w:val="Normal"/>
    <w:link w:val="HeaderChar"/>
    <w:rsid w:val="00CF1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2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1264"/>
    <w:pPr>
      <w:spacing w:before="240" w:after="120"/>
      <w:outlineLvl w:val="0"/>
    </w:pPr>
    <w:rPr>
      <w:rFonts w:ascii="Times New Roman" w:hAnsi="Times New Roman"/>
      <w:b/>
      <w:sz w:val="28"/>
    </w:rPr>
  </w:style>
  <w:style w:type="paragraph" w:customStyle="1" w:styleId="AllowPageBreak">
    <w:name w:val="AllowPageBreak"/>
    <w:rsid w:val="00CF12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2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2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264"/>
    <w:rPr>
      <w:rFonts w:ascii="Courier New" w:eastAsia="Times New Roman" w:hAnsi="Courier New" w:cs="Times New Roman"/>
      <w:i/>
      <w:szCs w:val="20"/>
      <w:lang w:val="en-US" w:eastAsia="en-US"/>
    </w:rPr>
  </w:style>
  <w:style w:type="paragraph" w:customStyle="1" w:styleId="HeadingBase">
    <w:name w:val="Heading Base"/>
    <w:rsid w:val="00CF1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264"/>
    <w:pPr>
      <w:tabs>
        <w:tab w:val="right" w:leader="dot" w:pos="9072"/>
      </w:tabs>
      <w:ind w:left="567"/>
    </w:pPr>
    <w:rPr>
      <w:szCs w:val="22"/>
    </w:rPr>
  </w:style>
  <w:style w:type="paragraph" w:customStyle="1" w:styleId="TOCBase">
    <w:name w:val="TOC Base"/>
    <w:rsid w:val="00CF1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264"/>
    <w:pPr>
      <w:tabs>
        <w:tab w:val="right" w:leader="dot" w:pos="9072"/>
      </w:tabs>
      <w:spacing w:before="40" w:after="40"/>
      <w:ind w:left="284"/>
    </w:pPr>
    <w:rPr>
      <w:rFonts w:ascii="Times New Roman" w:hAnsi="Times New Roman"/>
    </w:rPr>
  </w:style>
  <w:style w:type="paragraph" w:styleId="TOC1">
    <w:name w:val="toc 1"/>
    <w:basedOn w:val="TOCBase"/>
    <w:next w:val="Normal"/>
    <w:rsid w:val="00CF12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264"/>
    <w:pPr>
      <w:spacing w:before="5040"/>
      <w:jc w:val="center"/>
    </w:pPr>
    <w:rPr>
      <w:sz w:val="48"/>
      <w:szCs w:val="72"/>
      <w:lang w:val="en-US"/>
    </w:rPr>
  </w:style>
  <w:style w:type="character" w:customStyle="1" w:styleId="TitleChar">
    <w:name w:val="Title Char"/>
    <w:basedOn w:val="DefaultParagraphFont"/>
    <w:link w:val="Title"/>
    <w:rsid w:val="00CF1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264"/>
    <w:pPr>
      <w:tabs>
        <w:tab w:val="left" w:pos="3600"/>
        <w:tab w:val="left" w:pos="3958"/>
      </w:tabs>
    </w:pPr>
  </w:style>
  <w:style w:type="paragraph" w:styleId="List">
    <w:name w:val="List"/>
    <w:basedOn w:val="BodyText"/>
    <w:next w:val="BodyText"/>
    <w:rsid w:val="00CF1264"/>
    <w:pPr>
      <w:tabs>
        <w:tab w:val="left" w:pos="340"/>
      </w:tabs>
      <w:spacing w:before="60" w:after="60"/>
      <w:ind w:left="340" w:hanging="340"/>
    </w:pPr>
  </w:style>
  <w:style w:type="paragraph" w:customStyle="1" w:styleId="Note">
    <w:name w:val="Note"/>
    <w:basedOn w:val="BodyText"/>
    <w:rsid w:val="00CF1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264"/>
    <w:pPr>
      <w:framePr w:wrap="auto" w:hAnchor="text" w:y="6049"/>
    </w:pPr>
    <w:rPr>
      <w:color w:val="000000"/>
      <w:sz w:val="40"/>
    </w:rPr>
  </w:style>
  <w:style w:type="paragraph" w:customStyle="1" w:styleId="TOCTitle">
    <w:name w:val="TOCTitle"/>
    <w:basedOn w:val="Heading1"/>
    <w:rsid w:val="00CF1264"/>
    <w:pPr>
      <w:spacing w:after="240"/>
      <w:jc w:val="center"/>
      <w:outlineLvl w:val="9"/>
    </w:pPr>
    <w:rPr>
      <w:caps/>
    </w:rPr>
  </w:style>
  <w:style w:type="paragraph" w:customStyle="1" w:styleId="Version">
    <w:name w:val="Version"/>
    <w:rsid w:val="00CF12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264"/>
    <w:pPr>
      <w:keepNext w:val="0"/>
      <w:tabs>
        <w:tab w:val="right" w:pos="4176"/>
      </w:tabs>
      <w:ind w:left="198" w:hanging="198"/>
    </w:pPr>
    <w:rPr>
      <w:rFonts w:ascii="Garamond" w:hAnsi="Garamond"/>
    </w:rPr>
  </w:style>
  <w:style w:type="paragraph" w:styleId="IndexHeading">
    <w:name w:val="index heading"/>
    <w:basedOn w:val="Normal"/>
    <w:next w:val="Index1"/>
    <w:semiHidden/>
    <w:rsid w:val="00CF1264"/>
    <w:pPr>
      <w:spacing w:before="120" w:after="120"/>
    </w:pPr>
    <w:rPr>
      <w:rFonts w:ascii="Arial" w:hAnsi="Arial"/>
      <w:b/>
      <w:color w:val="918585"/>
      <w:sz w:val="24"/>
    </w:rPr>
  </w:style>
  <w:style w:type="paragraph" w:customStyle="1" w:styleId="Chapter">
    <w:name w:val="Chapter"/>
    <w:basedOn w:val="Normal"/>
    <w:rsid w:val="00CF1264"/>
    <w:pPr>
      <w:spacing w:before="240"/>
    </w:pPr>
    <w:rPr>
      <w:rFonts w:ascii="Times New Roman" w:hAnsi="Times New Roman"/>
      <w:smallCaps/>
      <w:spacing w:val="80"/>
      <w:sz w:val="28"/>
    </w:rPr>
  </w:style>
  <w:style w:type="paragraph" w:customStyle="1" w:styleId="InChapter">
    <w:name w:val="InChapter"/>
    <w:basedOn w:val="Heading3"/>
    <w:rsid w:val="00CF1264"/>
    <w:pPr>
      <w:spacing w:after="240"/>
      <w:outlineLvl w:val="9"/>
    </w:pPr>
    <w:rPr>
      <w:noProof/>
    </w:rPr>
  </w:style>
  <w:style w:type="paragraph" w:styleId="Index2">
    <w:name w:val="index 2"/>
    <w:basedOn w:val="Normal"/>
    <w:next w:val="Normal"/>
    <w:semiHidden/>
    <w:rsid w:val="00CF1264"/>
    <w:pPr>
      <w:tabs>
        <w:tab w:val="right" w:pos="4176"/>
      </w:tabs>
      <w:ind w:left="568" w:hanging="284"/>
    </w:pPr>
    <w:rPr>
      <w:rFonts w:ascii="Garamond" w:hAnsi="Garamond"/>
    </w:rPr>
  </w:style>
  <w:style w:type="paragraph" w:customStyle="1" w:styleId="Byline">
    <w:name w:val="Byline"/>
    <w:rsid w:val="00CF1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264"/>
    <w:pPr>
      <w:tabs>
        <w:tab w:val="clear" w:pos="3600"/>
        <w:tab w:val="clear" w:pos="3958"/>
      </w:tabs>
      <w:jc w:val="right"/>
    </w:pPr>
  </w:style>
  <w:style w:type="character" w:styleId="Emphasis">
    <w:name w:val="Emphasis"/>
    <w:basedOn w:val="DefaultParagraphFont"/>
    <w:qFormat/>
    <w:rsid w:val="00CF1264"/>
    <w:rPr>
      <w:i/>
    </w:rPr>
  </w:style>
  <w:style w:type="paragraph" w:styleId="Caption">
    <w:name w:val="caption"/>
    <w:basedOn w:val="BodyText"/>
    <w:next w:val="Normal"/>
    <w:qFormat/>
    <w:rsid w:val="00CF1264"/>
    <w:pPr>
      <w:framePr w:w="2268" w:hSpace="181" w:vSpace="181" w:wrap="around" w:vAnchor="text" w:hAnchor="page" w:x="1135" w:y="285" w:anchorLock="1"/>
    </w:pPr>
    <w:rPr>
      <w:i/>
    </w:rPr>
  </w:style>
  <w:style w:type="paragraph" w:customStyle="1" w:styleId="MiniTOCTitle">
    <w:name w:val="MiniTOCTitle"/>
    <w:basedOn w:val="Heading4"/>
    <w:rsid w:val="00CF1264"/>
    <w:pPr>
      <w:spacing w:before="240"/>
      <w:outlineLvl w:val="9"/>
    </w:pPr>
    <w:rPr>
      <w:noProof/>
      <w:sz w:val="24"/>
    </w:rPr>
  </w:style>
  <w:style w:type="paragraph" w:customStyle="1" w:styleId="MiniTOCItem">
    <w:name w:val="MiniTOCItem"/>
    <w:basedOn w:val="ListBullet"/>
    <w:rsid w:val="00CF1264"/>
    <w:pPr>
      <w:numPr>
        <w:numId w:val="0"/>
      </w:numPr>
      <w:tabs>
        <w:tab w:val="right" w:leader="dot" w:pos="6521"/>
      </w:tabs>
      <w:spacing w:before="0" w:after="0"/>
    </w:pPr>
  </w:style>
  <w:style w:type="paragraph" w:customStyle="1" w:styleId="TOFTitle">
    <w:name w:val="TOFTitle"/>
    <w:basedOn w:val="TOCTitle"/>
    <w:rsid w:val="00CF1264"/>
  </w:style>
  <w:style w:type="paragraph" w:styleId="TableofFigures">
    <w:name w:val="table of figures"/>
    <w:basedOn w:val="Normal"/>
    <w:next w:val="Normal"/>
    <w:semiHidden/>
    <w:rsid w:val="00CF1264"/>
    <w:pPr>
      <w:tabs>
        <w:tab w:val="right" w:leader="dot" w:pos="9072"/>
      </w:tabs>
      <w:ind w:left="970" w:hanging="403"/>
    </w:pPr>
    <w:rPr>
      <w:rFonts w:ascii="Times New Roman" w:hAnsi="Times New Roman"/>
      <w:b/>
    </w:rPr>
  </w:style>
  <w:style w:type="paragraph" w:styleId="ListNumber">
    <w:name w:val="List Number"/>
    <w:basedOn w:val="List"/>
    <w:rsid w:val="00CF1264"/>
    <w:pPr>
      <w:numPr>
        <w:numId w:val="11"/>
      </w:numPr>
    </w:pPr>
  </w:style>
  <w:style w:type="character" w:customStyle="1" w:styleId="WingdingSymbols">
    <w:name w:val="Wingding Symbols"/>
    <w:rsid w:val="00CF1264"/>
    <w:rPr>
      <w:rFonts w:ascii="Wingdings" w:hAnsi="Wingdings"/>
    </w:rPr>
  </w:style>
  <w:style w:type="paragraph" w:customStyle="1" w:styleId="TableHeading">
    <w:name w:val="Table Heading"/>
    <w:basedOn w:val="HeadingBase"/>
    <w:rsid w:val="00CF1264"/>
    <w:pPr>
      <w:keepLines/>
      <w:pBdr>
        <w:bottom w:val="single" w:sz="6" w:space="1" w:color="918585"/>
      </w:pBdr>
      <w:spacing w:before="240"/>
    </w:pPr>
  </w:style>
  <w:style w:type="character" w:customStyle="1" w:styleId="HotSpot">
    <w:name w:val="HotSpot"/>
    <w:rsid w:val="00CF1264"/>
    <w:rPr>
      <w:color w:val="0033CC"/>
      <w:u w:val="none"/>
    </w:rPr>
  </w:style>
  <w:style w:type="paragraph" w:customStyle="1" w:styleId="BodyTextRight">
    <w:name w:val="Body Text Right"/>
    <w:basedOn w:val="BodyText"/>
    <w:rsid w:val="00CF1264"/>
    <w:pPr>
      <w:spacing w:before="0" w:after="0"/>
      <w:jc w:val="right"/>
    </w:pPr>
  </w:style>
  <w:style w:type="paragraph" w:styleId="Index3">
    <w:name w:val="index 3"/>
    <w:basedOn w:val="ListNumber2"/>
    <w:next w:val="Normal"/>
    <w:semiHidden/>
    <w:rsid w:val="00CF1264"/>
    <w:pPr>
      <w:numPr>
        <w:numId w:val="0"/>
      </w:numPr>
      <w:tabs>
        <w:tab w:val="right" w:leader="dot" w:pos="4176"/>
      </w:tabs>
    </w:pPr>
  </w:style>
  <w:style w:type="paragraph" w:styleId="ListNumber2">
    <w:name w:val="List Number 2"/>
    <w:basedOn w:val="List2"/>
    <w:rsid w:val="00CF1264"/>
    <w:pPr>
      <w:numPr>
        <w:numId w:val="10"/>
      </w:numPr>
      <w:tabs>
        <w:tab w:val="clear" w:pos="1060"/>
      </w:tabs>
    </w:pPr>
  </w:style>
  <w:style w:type="paragraph" w:customStyle="1" w:styleId="MarginNote">
    <w:name w:val="Margin Note"/>
    <w:basedOn w:val="BodyText"/>
    <w:rsid w:val="00CF1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2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264"/>
    <w:rPr>
      <w:sz w:val="32"/>
    </w:rPr>
  </w:style>
  <w:style w:type="paragraph" w:customStyle="1" w:styleId="HeadingProcedure">
    <w:name w:val="Heading Procedure"/>
    <w:basedOn w:val="HeadingBase"/>
    <w:next w:val="Normal"/>
    <w:rsid w:val="00CF1264"/>
    <w:pPr>
      <w:tabs>
        <w:tab w:val="left" w:pos="0"/>
      </w:tabs>
      <w:spacing w:before="120" w:after="60"/>
    </w:pPr>
    <w:rPr>
      <w:i/>
      <w:color w:val="918585"/>
      <w:sz w:val="22"/>
    </w:rPr>
  </w:style>
  <w:style w:type="paragraph" w:customStyle="1" w:styleId="TableBodyText">
    <w:name w:val="Table Body Text"/>
    <w:basedOn w:val="BodyText"/>
    <w:rsid w:val="00CF1264"/>
    <w:pPr>
      <w:spacing w:before="60" w:after="60"/>
    </w:pPr>
  </w:style>
  <w:style w:type="paragraph" w:styleId="ListContinue">
    <w:name w:val="List Continue"/>
    <w:basedOn w:val="List"/>
    <w:rsid w:val="00CF1264"/>
    <w:pPr>
      <w:ind w:firstLine="0"/>
    </w:pPr>
  </w:style>
  <w:style w:type="paragraph" w:customStyle="1" w:styleId="ListNote">
    <w:name w:val="List Note"/>
    <w:basedOn w:val="List"/>
    <w:rsid w:val="00CF1264"/>
    <w:pPr>
      <w:pBdr>
        <w:top w:val="single" w:sz="6" w:space="2" w:color="918585"/>
        <w:bottom w:val="single" w:sz="6" w:space="2" w:color="918585"/>
      </w:pBdr>
      <w:tabs>
        <w:tab w:val="left" w:pos="1021"/>
      </w:tabs>
      <w:ind w:firstLine="0"/>
    </w:pPr>
  </w:style>
  <w:style w:type="paragraph" w:customStyle="1" w:styleId="Warning">
    <w:name w:val="Warning"/>
    <w:basedOn w:val="BodyText"/>
    <w:rsid w:val="00CF1264"/>
    <w:pPr>
      <w:shd w:val="clear" w:color="auto" w:fill="D9D9D9"/>
      <w:tabs>
        <w:tab w:val="left" w:pos="992"/>
      </w:tabs>
      <w:ind w:left="119" w:right="119"/>
    </w:pPr>
    <w:rPr>
      <w:sz w:val="20"/>
    </w:rPr>
  </w:style>
  <w:style w:type="paragraph" w:customStyle="1" w:styleId="MarginIcons">
    <w:name w:val="Margin Icons"/>
    <w:basedOn w:val="BodyText"/>
    <w:rsid w:val="00CF1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264"/>
    <w:rPr>
      <w:rFonts w:ascii="Courier New" w:hAnsi="Courier New"/>
    </w:rPr>
  </w:style>
  <w:style w:type="paragraph" w:customStyle="1" w:styleId="NoteBullet">
    <w:name w:val="Note Bullet"/>
    <w:basedOn w:val="Note"/>
    <w:rsid w:val="00CF1264"/>
    <w:pPr>
      <w:tabs>
        <w:tab w:val="clear" w:pos="680"/>
      </w:tabs>
      <w:spacing w:before="60" w:after="60"/>
    </w:pPr>
  </w:style>
  <w:style w:type="paragraph" w:customStyle="1" w:styleId="SubHeading2">
    <w:name w:val="SubHeading2"/>
    <w:basedOn w:val="HeadingBase"/>
    <w:rsid w:val="00CF1264"/>
    <w:pPr>
      <w:spacing w:before="240" w:after="60"/>
    </w:pPr>
    <w:rPr>
      <w:sz w:val="20"/>
    </w:rPr>
  </w:style>
  <w:style w:type="paragraph" w:customStyle="1" w:styleId="SubHeading1">
    <w:name w:val="SubHeading1"/>
    <w:basedOn w:val="HeadingBase"/>
    <w:rsid w:val="00CF1264"/>
    <w:pPr>
      <w:spacing w:before="240" w:after="60"/>
    </w:pPr>
    <w:rPr>
      <w:color w:val="918585"/>
      <w:sz w:val="22"/>
    </w:rPr>
  </w:style>
  <w:style w:type="paragraph" w:customStyle="1" w:styleId="SideHeading">
    <w:name w:val="Side Heading"/>
    <w:basedOn w:val="HeadingBase"/>
    <w:rsid w:val="00CF1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264"/>
    <w:pPr>
      <w:numPr>
        <w:numId w:val="12"/>
      </w:numPr>
    </w:pPr>
  </w:style>
  <w:style w:type="paragraph" w:styleId="PlainText">
    <w:name w:val="Plain Text"/>
    <w:basedOn w:val="Normal"/>
    <w:link w:val="PlainTextChar"/>
    <w:rsid w:val="00CF1264"/>
    <w:rPr>
      <w:sz w:val="20"/>
    </w:rPr>
  </w:style>
  <w:style w:type="character" w:customStyle="1" w:styleId="PlainTextChar">
    <w:name w:val="Plain Text Char"/>
    <w:basedOn w:val="DefaultParagraphFont"/>
    <w:link w:val="PlainText"/>
    <w:rsid w:val="00CF12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1264"/>
    <w:rPr>
      <w:b/>
      <w:smallCaps/>
    </w:rPr>
  </w:style>
  <w:style w:type="paragraph" w:customStyle="1" w:styleId="TableListNumber">
    <w:name w:val="Table List Number"/>
    <w:basedOn w:val="ListNumber"/>
    <w:rsid w:val="00CF1264"/>
    <w:pPr>
      <w:numPr>
        <w:numId w:val="0"/>
      </w:numPr>
    </w:pPr>
  </w:style>
  <w:style w:type="paragraph" w:styleId="TOC4">
    <w:name w:val="toc 4"/>
    <w:basedOn w:val="TOCBase"/>
    <w:next w:val="Normal"/>
    <w:semiHidden/>
    <w:rsid w:val="00CF1264"/>
    <w:pPr>
      <w:tabs>
        <w:tab w:val="right" w:leader="dot" w:pos="9071"/>
      </w:tabs>
      <w:ind w:left="1701"/>
    </w:pPr>
  </w:style>
  <w:style w:type="paragraph" w:customStyle="1" w:styleId="ListAlpha">
    <w:name w:val="List Alpha"/>
    <w:basedOn w:val="List"/>
    <w:rsid w:val="00CF1264"/>
    <w:pPr>
      <w:numPr>
        <w:numId w:val="9"/>
      </w:numPr>
    </w:pPr>
  </w:style>
  <w:style w:type="paragraph" w:customStyle="1" w:styleId="ListAlpha2">
    <w:name w:val="List Alpha 2"/>
    <w:basedOn w:val="List2"/>
    <w:rsid w:val="00CF1264"/>
    <w:pPr>
      <w:numPr>
        <w:numId w:val="8"/>
      </w:numPr>
    </w:pPr>
  </w:style>
  <w:style w:type="paragraph" w:styleId="List2">
    <w:name w:val="List 2"/>
    <w:basedOn w:val="BodyText"/>
    <w:rsid w:val="00CF1264"/>
    <w:pPr>
      <w:tabs>
        <w:tab w:val="left" w:pos="680"/>
      </w:tabs>
      <w:spacing w:before="60" w:after="60"/>
      <w:ind w:left="680" w:hanging="340"/>
    </w:pPr>
  </w:style>
  <w:style w:type="paragraph" w:styleId="List3">
    <w:name w:val="List 3"/>
    <w:basedOn w:val="BodyText"/>
    <w:rsid w:val="00CF1264"/>
    <w:pPr>
      <w:tabs>
        <w:tab w:val="left" w:pos="1021"/>
      </w:tabs>
      <w:spacing w:before="60" w:after="60"/>
      <w:ind w:left="1020" w:hanging="340"/>
    </w:pPr>
  </w:style>
  <w:style w:type="paragraph" w:styleId="List4">
    <w:name w:val="List 4"/>
    <w:basedOn w:val="BodyText"/>
    <w:rsid w:val="00CF1264"/>
    <w:pPr>
      <w:tabs>
        <w:tab w:val="left" w:pos="1361"/>
      </w:tabs>
      <w:spacing w:before="60" w:after="60"/>
      <w:ind w:left="1361" w:hanging="340"/>
    </w:pPr>
  </w:style>
  <w:style w:type="paragraph" w:styleId="List5">
    <w:name w:val="List 5"/>
    <w:basedOn w:val="BodyText"/>
    <w:rsid w:val="00CF1264"/>
    <w:pPr>
      <w:tabs>
        <w:tab w:val="left" w:pos="1701"/>
      </w:tabs>
      <w:spacing w:before="60" w:after="60"/>
      <w:ind w:left="1701" w:hanging="340"/>
    </w:pPr>
  </w:style>
  <w:style w:type="paragraph" w:styleId="ListBullet3">
    <w:name w:val="List Bullet 3"/>
    <w:basedOn w:val="List3"/>
    <w:rsid w:val="00CF1264"/>
    <w:pPr>
      <w:numPr>
        <w:numId w:val="15"/>
      </w:numPr>
      <w:tabs>
        <w:tab w:val="clear" w:pos="1021"/>
      </w:tabs>
      <w:ind w:left="1037" w:hanging="357"/>
    </w:pPr>
  </w:style>
  <w:style w:type="paragraph" w:styleId="ListBullet4">
    <w:name w:val="List Bullet 4"/>
    <w:basedOn w:val="List4"/>
    <w:rsid w:val="00CF1264"/>
    <w:pPr>
      <w:numPr>
        <w:numId w:val="3"/>
      </w:numPr>
    </w:pPr>
  </w:style>
  <w:style w:type="paragraph" w:styleId="ListBullet5">
    <w:name w:val="List Bullet 5"/>
    <w:basedOn w:val="List5"/>
    <w:rsid w:val="00CF1264"/>
    <w:pPr>
      <w:numPr>
        <w:numId w:val="4"/>
      </w:numPr>
    </w:pPr>
  </w:style>
  <w:style w:type="paragraph" w:styleId="ListContinue2">
    <w:name w:val="List Continue 2"/>
    <w:basedOn w:val="List2"/>
    <w:rsid w:val="00CF1264"/>
    <w:pPr>
      <w:ind w:firstLine="0"/>
    </w:pPr>
  </w:style>
  <w:style w:type="paragraph" w:styleId="ListContinue3">
    <w:name w:val="List Continue 3"/>
    <w:basedOn w:val="List3"/>
    <w:rsid w:val="00CF1264"/>
    <w:pPr>
      <w:ind w:left="1021" w:firstLine="0"/>
    </w:pPr>
  </w:style>
  <w:style w:type="paragraph" w:styleId="ListContinue4">
    <w:name w:val="List Continue 4"/>
    <w:basedOn w:val="List4"/>
    <w:rsid w:val="00CF1264"/>
    <w:pPr>
      <w:ind w:firstLine="0"/>
    </w:pPr>
  </w:style>
  <w:style w:type="paragraph" w:styleId="ListContinue5">
    <w:name w:val="List Continue 5"/>
    <w:basedOn w:val="List5"/>
    <w:rsid w:val="00CF1264"/>
    <w:pPr>
      <w:ind w:firstLine="0"/>
    </w:pPr>
  </w:style>
  <w:style w:type="paragraph" w:styleId="ListNumber3">
    <w:name w:val="List Number 3"/>
    <w:basedOn w:val="List3"/>
    <w:rsid w:val="00CF1264"/>
    <w:pPr>
      <w:numPr>
        <w:numId w:val="5"/>
      </w:numPr>
    </w:pPr>
  </w:style>
  <w:style w:type="paragraph" w:styleId="ListNumber4">
    <w:name w:val="List Number 4"/>
    <w:basedOn w:val="List4"/>
    <w:rsid w:val="00CF1264"/>
    <w:pPr>
      <w:numPr>
        <w:numId w:val="6"/>
      </w:numPr>
    </w:pPr>
  </w:style>
  <w:style w:type="paragraph" w:styleId="ListNumber5">
    <w:name w:val="List Number 5"/>
    <w:basedOn w:val="List5"/>
    <w:rsid w:val="00CF1264"/>
    <w:pPr>
      <w:numPr>
        <w:numId w:val="7"/>
      </w:numPr>
    </w:pPr>
  </w:style>
  <w:style w:type="paragraph" w:styleId="BlockText">
    <w:name w:val="Block Text"/>
    <w:basedOn w:val="Normal"/>
    <w:rsid w:val="00CF1264"/>
    <w:pPr>
      <w:spacing w:after="120"/>
      <w:ind w:left="1440" w:right="1440"/>
    </w:pPr>
  </w:style>
  <w:style w:type="character" w:customStyle="1" w:styleId="Subscript">
    <w:name w:val="Subscript"/>
    <w:basedOn w:val="DefaultParagraphFont"/>
    <w:rsid w:val="00CF1264"/>
    <w:rPr>
      <w:sz w:val="16"/>
      <w:vertAlign w:val="subscript"/>
    </w:rPr>
  </w:style>
  <w:style w:type="character" w:customStyle="1" w:styleId="Superscript">
    <w:name w:val="Superscript"/>
    <w:basedOn w:val="DefaultParagraphFont"/>
    <w:rsid w:val="00CF1264"/>
    <w:rPr>
      <w:sz w:val="16"/>
      <w:vertAlign w:val="superscript"/>
    </w:rPr>
  </w:style>
  <w:style w:type="character" w:customStyle="1" w:styleId="Symbols">
    <w:name w:val="Symbols"/>
    <w:basedOn w:val="DefaultParagraphFont"/>
    <w:rsid w:val="00CF1264"/>
    <w:rPr>
      <w:rFonts w:ascii="Symbol" w:hAnsi="Symbol"/>
    </w:rPr>
  </w:style>
  <w:style w:type="character" w:customStyle="1" w:styleId="MenuOptions">
    <w:name w:val="Menu Options"/>
    <w:basedOn w:val="DefaultParagraphFont"/>
    <w:rsid w:val="00CF1264"/>
    <w:rPr>
      <w:rFonts w:ascii="Arial Narrow" w:hAnsi="Arial Narrow"/>
      <w:smallCaps/>
    </w:rPr>
  </w:style>
  <w:style w:type="character" w:customStyle="1" w:styleId="Buttons">
    <w:name w:val="Buttons"/>
    <w:basedOn w:val="DefaultParagraphFont"/>
    <w:rsid w:val="00CF1264"/>
    <w:rPr>
      <w:b/>
    </w:rPr>
  </w:style>
  <w:style w:type="character" w:customStyle="1" w:styleId="Underlined">
    <w:name w:val="Underlined"/>
    <w:basedOn w:val="DefaultParagraphFont"/>
    <w:rsid w:val="00CF1264"/>
    <w:rPr>
      <w:u w:val="single"/>
    </w:rPr>
  </w:style>
  <w:style w:type="paragraph" w:customStyle="1" w:styleId="TableBodyTextRight">
    <w:name w:val="Table Body Text Right"/>
    <w:basedOn w:val="TableBodyText"/>
    <w:rsid w:val="00CF1264"/>
    <w:pPr>
      <w:widowControl w:val="0"/>
      <w:autoSpaceDE w:val="0"/>
      <w:autoSpaceDN w:val="0"/>
      <w:adjustRightInd w:val="0"/>
      <w:jc w:val="right"/>
    </w:pPr>
    <w:rPr>
      <w:rFonts w:cs="Arial"/>
      <w:szCs w:val="18"/>
    </w:rPr>
  </w:style>
  <w:style w:type="paragraph" w:customStyle="1" w:styleId="CopyrightText">
    <w:name w:val="Copyright Text"/>
    <w:basedOn w:val="BodyText"/>
    <w:rsid w:val="00CF1264"/>
    <w:rPr>
      <w:sz w:val="18"/>
    </w:rPr>
  </w:style>
  <w:style w:type="paragraph" w:customStyle="1" w:styleId="BodySmallRight">
    <w:name w:val="Body Small Right"/>
    <w:basedOn w:val="BodyTextRight"/>
    <w:rsid w:val="00CF1264"/>
    <w:rPr>
      <w:sz w:val="18"/>
      <w:szCs w:val="18"/>
    </w:rPr>
  </w:style>
  <w:style w:type="paragraph" w:customStyle="1" w:styleId="MarginEdition">
    <w:name w:val="Margin Edition"/>
    <w:basedOn w:val="MarginNote"/>
    <w:rsid w:val="00CF1264"/>
    <w:pPr>
      <w:spacing w:before="0" w:after="0"/>
    </w:pPr>
    <w:rPr>
      <w:rFonts w:ascii="Times New Roman" w:hAnsi="Times New Roman"/>
      <w:color w:val="999999"/>
    </w:rPr>
  </w:style>
  <w:style w:type="paragraph" w:customStyle="1" w:styleId="Spacer">
    <w:name w:val="Spacer"/>
    <w:basedOn w:val="Normal"/>
    <w:rsid w:val="00CF1264"/>
    <w:rPr>
      <w:sz w:val="2"/>
      <w:szCs w:val="2"/>
    </w:rPr>
  </w:style>
  <w:style w:type="character" w:customStyle="1" w:styleId="Small">
    <w:name w:val="Small"/>
    <w:basedOn w:val="DefaultParagraphFont"/>
    <w:rsid w:val="00CF1264"/>
    <w:rPr>
      <w:sz w:val="16"/>
    </w:rPr>
  </w:style>
  <w:style w:type="paragraph" w:customStyle="1" w:styleId="WideTable">
    <w:name w:val="Wide Table"/>
    <w:basedOn w:val="Normal"/>
    <w:rsid w:val="00CF1264"/>
    <w:pPr>
      <w:ind w:left="-1418"/>
    </w:pPr>
    <w:rPr>
      <w:sz w:val="2"/>
      <w:szCs w:val="2"/>
    </w:rPr>
  </w:style>
  <w:style w:type="character" w:styleId="PageNumber">
    <w:name w:val="page number"/>
    <w:basedOn w:val="DefaultParagraphFont"/>
    <w:rsid w:val="00CF1264"/>
  </w:style>
  <w:style w:type="paragraph" w:styleId="Quote">
    <w:name w:val="Quote"/>
    <w:basedOn w:val="Heading1"/>
    <w:link w:val="QuoteChar"/>
    <w:qFormat/>
    <w:rsid w:val="00CF1264"/>
    <w:rPr>
      <w:b w:val="0"/>
      <w:sz w:val="72"/>
      <w:szCs w:val="72"/>
      <w:lang w:val="en-NZ"/>
    </w:rPr>
  </w:style>
  <w:style w:type="character" w:customStyle="1" w:styleId="QuoteChar">
    <w:name w:val="Quote Char"/>
    <w:basedOn w:val="DefaultParagraphFont"/>
    <w:link w:val="Quote"/>
    <w:rsid w:val="00CF1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264"/>
    <w:pPr>
      <w:pageBreakBefore/>
    </w:pPr>
  </w:style>
  <w:style w:type="paragraph" w:customStyle="1" w:styleId="Border">
    <w:name w:val="Border"/>
    <w:basedOn w:val="Normal"/>
    <w:qFormat/>
    <w:rsid w:val="00CF1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264"/>
    <w:rPr>
      <w:b/>
      <w:bCs/>
      <w:i/>
      <w:iCs/>
      <w:color w:val="auto"/>
    </w:rPr>
  </w:style>
  <w:style w:type="paragraph" w:styleId="IntenseQuote">
    <w:name w:val="Intense Quote"/>
    <w:basedOn w:val="Normal"/>
    <w:next w:val="Normal"/>
    <w:link w:val="IntenseQuoteChar"/>
    <w:uiPriority w:val="30"/>
    <w:qFormat/>
    <w:rsid w:val="00CF1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2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1264"/>
    <w:rPr>
      <w:smallCaps/>
      <w:color w:val="auto"/>
      <w:u w:val="single"/>
    </w:rPr>
  </w:style>
  <w:style w:type="character" w:styleId="IntenseReference">
    <w:name w:val="Intense Reference"/>
    <w:basedOn w:val="DefaultParagraphFont"/>
    <w:uiPriority w:val="32"/>
    <w:qFormat/>
    <w:rsid w:val="00CF1264"/>
    <w:rPr>
      <w:b/>
      <w:bCs/>
      <w:smallCaps/>
      <w:color w:val="auto"/>
      <w:spacing w:val="5"/>
      <w:u w:val="single"/>
    </w:rPr>
  </w:style>
  <w:style w:type="paragraph" w:customStyle="1" w:styleId="2ColumnHeading">
    <w:name w:val="2Column Heading"/>
    <w:basedOn w:val="BodyText"/>
    <w:qFormat/>
    <w:rsid w:val="00CF1264"/>
    <w:pPr>
      <w:spacing w:after="60"/>
      <w:ind w:left="-2268"/>
    </w:pPr>
    <w:rPr>
      <w:b/>
    </w:rPr>
  </w:style>
  <w:style w:type="paragraph" w:customStyle="1" w:styleId="Heading1TOC">
    <w:name w:val="Heading1 TOC"/>
    <w:basedOn w:val="Normal"/>
    <w:qFormat/>
    <w:rsid w:val="00CF1264"/>
    <w:pPr>
      <w:spacing w:before="240" w:after="120"/>
    </w:pPr>
    <w:rPr>
      <w:rFonts w:ascii="Times New Roman" w:hAnsi="Times New Roman"/>
      <w:b/>
      <w:sz w:val="32"/>
    </w:rPr>
  </w:style>
  <w:style w:type="paragraph" w:customStyle="1" w:styleId="Heading2TOC">
    <w:name w:val="Heading2 TOC"/>
    <w:basedOn w:val="Normal"/>
    <w:qFormat/>
    <w:rsid w:val="00CF1264"/>
    <w:pPr>
      <w:spacing w:before="240" w:after="60"/>
    </w:pPr>
    <w:rPr>
      <w:rFonts w:ascii="Times New Roman" w:hAnsi="Times New Roman"/>
      <w:b/>
      <w:sz w:val="28"/>
    </w:rPr>
  </w:style>
  <w:style w:type="character" w:customStyle="1" w:styleId="Underline">
    <w:name w:val="Underline"/>
    <w:basedOn w:val="DefaultParagraphFont"/>
    <w:qFormat/>
    <w:rsid w:val="00CF1264"/>
    <w:rPr>
      <w:u w:val="single"/>
    </w:rPr>
  </w:style>
  <w:style w:type="character" w:customStyle="1" w:styleId="BoldandItalics">
    <w:name w:val="Bold and Italics"/>
    <w:qFormat/>
    <w:rsid w:val="00CF1264"/>
    <w:rPr>
      <w:b/>
      <w:i/>
      <w:u w:val="none"/>
    </w:rPr>
  </w:style>
  <w:style w:type="paragraph" w:styleId="BalloonText">
    <w:name w:val="Balloon Text"/>
    <w:basedOn w:val="Normal"/>
    <w:link w:val="BalloonTextChar"/>
    <w:rsid w:val="00CF1264"/>
    <w:rPr>
      <w:rFonts w:ascii="Tahoma" w:hAnsi="Tahoma" w:cs="Tahoma"/>
      <w:sz w:val="16"/>
      <w:szCs w:val="16"/>
    </w:rPr>
  </w:style>
  <w:style w:type="character" w:customStyle="1" w:styleId="BalloonTextChar">
    <w:name w:val="Balloon Text Char"/>
    <w:basedOn w:val="DefaultParagraphFont"/>
    <w:link w:val="BalloonText"/>
    <w:rsid w:val="00CF12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2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2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6741</Characters>
  <Application>Microsoft Office Word</Application>
  <DocSecurity>0</DocSecurity>
  <Lines>228</Lines>
  <Paragraphs>138</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TLID4049A Bottom load a dangerous goods tanker</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2012-05-27T03:42:00Z</dcterms:created>
  <dcterms:modified xsi:type="dcterms:W3CDTF">2012-05-27T03:42:00Z</dcterms:modified>
</cp:coreProperties>
</file>