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9B5" w:rsidP="00A659B5">
      <w:pPr>
        <w:pStyle w:val="Title"/>
      </w:pPr>
      <w:r>
        <w:fldChar w:fldCharType="begin"/>
      </w:r>
      <w:r>
        <w:instrText xml:space="preserve"> TITLE   \* MERGEFORMAT </w:instrText>
      </w:r>
      <w:r>
        <w:fldChar w:fldCharType="separate"/>
      </w:r>
      <w:r>
        <w:t>TLID3031A Rig load</w:t>
      </w:r>
      <w:r>
        <w:fldChar w:fldCharType="end"/>
      </w:r>
    </w:p>
    <w:p w:rsidR="00A659B5" w:rsidP="00A659B5">
      <w:pPr>
        <w:pStyle w:val="Version"/>
        <w:sectPr w:rsidSect="00F16A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A11" w:rsidP="00F16A11">
      <w:pPr>
        <w:pStyle w:val="SuperHeading"/>
      </w:pPr>
      <w:r w:rsidRPr="00F16A11">
        <w:t>TLID3031A Rig load</w:t>
      </w:r>
    </w:p>
    <w:p w:rsidR="00000000" w:rsidRPr="00F16A11" w:rsidP="00F16A11">
      <w:pPr>
        <w:pStyle w:val="Heading1"/>
      </w:pPr>
      <w:bookmarkStart w:id="1" w:name="O_274065"/>
      <w:bookmarkEnd w:id="1"/>
      <w:r w:rsidRPr="00F16A11">
        <w:t>Modification History</w:t>
      </w:r>
    </w:p>
    <w:p w:rsidR="00000000" w:rsidRPr="00F16A11" w:rsidP="00F16A11">
      <w:pPr>
        <w:pStyle w:val="BodyText"/>
      </w:pPr>
      <w:r w:rsidRPr="00F16A11">
        <w:t>Not Applicable</w:t>
      </w:r>
    </w:p>
    <w:p w:rsidR="00000000" w:rsidRPr="00F16A11" w:rsidP="00F16A11">
      <w:pPr>
        <w:pStyle w:val="AllowPageBreak"/>
      </w:pPr>
    </w:p>
    <w:p w:rsidR="00000000" w:rsidRPr="00F16A11" w:rsidP="00F16A11">
      <w:pPr>
        <w:pStyle w:val="Heading1"/>
      </w:pPr>
      <w:bookmarkStart w:id="2" w:name="O_223334"/>
      <w:bookmarkEnd w:id="2"/>
      <w:r w:rsidRPr="00F16A11">
        <w:t>Unit Descriptor</w:t>
      </w:r>
    </w:p>
    <w:tbl>
      <w:tblPr>
        <w:tblW w:w="9640" w:type="dxa"/>
        <w:tblLayout w:type="fixed"/>
        <w:tblCellMar>
          <w:left w:w="62" w:type="dxa"/>
          <w:right w:w="62" w:type="dxa"/>
        </w:tblCellMar>
        <w:tblLook w:val="0000"/>
      </w:tblPr>
      <w:tblGrid>
        <w:gridCol w:w="2978"/>
        <w:gridCol w:w="6662"/>
      </w:tblGrid>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BodyText"/>
            </w:pPr>
            <w:r w:rsidRPr="00F16A11">
              <w:t>This unit involves the skills and knowledge required to prepare and rig all types of loads in preparation for lifting by a crane, in</w:t>
            </w:r>
            <w:r w:rsidRPr="00F16A11">
              <w:t>cluding preparing for the transfer of a load, assessing lifting requirements, securing a load, and detaching a load. Licensing, legislative, regulatory or certification requirements are applicable to this unit.</w:t>
            </w:r>
          </w:p>
        </w:tc>
      </w:tr>
    </w:tbl>
    <w:p w:rsidR="00A659B5" w:rsidP="00F16A11">
      <w:pPr>
        <w:pStyle w:val="BodyText"/>
      </w:pPr>
    </w:p>
    <w:p w:rsidR="00A659B5" w:rsidP="00F16A11">
      <w:pPr>
        <w:pStyle w:val="BodyText"/>
      </w:pPr>
    </w:p>
    <w:p w:rsidR="00000000" w:rsidRPr="00F16A11" w:rsidP="00F16A11">
      <w:pPr>
        <w:pStyle w:val="Heading1"/>
      </w:pPr>
      <w:bookmarkStart w:id="3" w:name="O_223336"/>
      <w:bookmarkEnd w:id="3"/>
      <w:r w:rsidRPr="00F16A11">
        <w:t>Application of the Unit</w:t>
      </w:r>
    </w:p>
    <w:tbl>
      <w:tblPr>
        <w:tblW w:w="9640" w:type="dxa"/>
        <w:tblLayout w:type="fixed"/>
        <w:tblCellMar>
          <w:left w:w="62" w:type="dxa"/>
          <w:right w:w="62" w:type="dxa"/>
        </w:tblCellMar>
        <w:tblLook w:val="0000"/>
      </w:tblPr>
      <w:tblGrid>
        <w:gridCol w:w="2978"/>
        <w:gridCol w:w="6662"/>
      </w:tblGrid>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BodyText"/>
            </w:pPr>
            <w:r w:rsidRPr="00F16A11">
              <w:t>Work must be carried out in compliance with the licence/permit requirements and regulations of the relevant state/territory authorities pertaining to the rigging of loads during mobile crane operations.</w:t>
            </w:r>
          </w:p>
          <w:p w:rsidR="00000000" w:rsidRPr="00F16A11" w:rsidP="00F16A11">
            <w:pPr>
              <w:pStyle w:val="BodyText"/>
            </w:pPr>
            <w:r w:rsidRPr="00F16A11">
              <w:t>Work is performed with genera</w:t>
            </w:r>
            <w:r w:rsidRPr="00F16A11">
              <w:t xml:space="preserve">l supervision, with limited accountability and responsibility for self and others in achieving the prescribed outcomes. It involves the application of routine principles and procedures to the rigging of loads during mobile crane operations in a variety of </w:t>
            </w:r>
            <w:r w:rsidRPr="00F16A11">
              <w:t>operational contexts.</w:t>
            </w:r>
          </w:p>
        </w:tc>
      </w:tr>
    </w:tbl>
    <w:p w:rsidR="00A659B5" w:rsidP="00F16A11">
      <w:pPr>
        <w:pStyle w:val="BodyText"/>
      </w:pPr>
    </w:p>
    <w:p w:rsidR="00A659B5" w:rsidP="00F16A11">
      <w:pPr>
        <w:pStyle w:val="BodyText"/>
      </w:pPr>
    </w:p>
    <w:p w:rsidR="00000000" w:rsidRPr="00F16A11" w:rsidP="00F16A11">
      <w:pPr>
        <w:pStyle w:val="Heading1"/>
      </w:pPr>
      <w:bookmarkStart w:id="4" w:name="O_282325"/>
      <w:bookmarkEnd w:id="4"/>
      <w:r w:rsidRPr="00F16A11">
        <w:t>Licensing/Regulatory Information</w:t>
      </w:r>
    </w:p>
    <w:p w:rsidR="00000000" w:rsidRPr="00F16A11" w:rsidP="00F16A11">
      <w:pPr>
        <w:pStyle w:val="BodyText"/>
      </w:pPr>
      <w:r w:rsidRPr="00F16A11">
        <w:t>Refer to Unit Descriptor</w:t>
      </w:r>
    </w:p>
    <w:p w:rsidR="00000000" w:rsidRPr="00F16A11" w:rsidP="00F16A11">
      <w:pPr>
        <w:pStyle w:val="AllowPageBreak"/>
      </w:pPr>
    </w:p>
    <w:p w:rsidR="00000000" w:rsidRPr="00F16A11" w:rsidP="00F16A11">
      <w:pPr>
        <w:pStyle w:val="Heading1"/>
      </w:pPr>
      <w:bookmarkStart w:id="5" w:name="O_284775"/>
      <w:bookmarkEnd w:id="5"/>
      <w:r w:rsidRPr="00F16A11">
        <w:t>Pre-Requisites</w:t>
      </w:r>
    </w:p>
    <w:p w:rsidR="00000000" w:rsidRPr="00F16A11" w:rsidP="00F16A11">
      <w:pPr>
        <w:pStyle w:val="BodyText"/>
      </w:pPr>
      <w:r w:rsidRPr="00F16A11">
        <w:t>Not Applicable</w:t>
      </w:r>
    </w:p>
    <w:p w:rsidR="00000000" w:rsidRPr="00F16A11" w:rsidP="00F16A11">
      <w:pPr>
        <w:pStyle w:val="AllowPageBreak"/>
      </w:pPr>
    </w:p>
    <w:p w:rsidR="00000000" w:rsidRPr="00F16A11" w:rsidP="00F16A11">
      <w:pPr>
        <w:pStyle w:val="Heading1"/>
      </w:pPr>
      <w:bookmarkStart w:id="6" w:name="O_223335"/>
      <w:bookmarkEnd w:id="6"/>
      <w:r w:rsidRPr="00F16A11">
        <w:t>Employability Skills Information</w:t>
      </w:r>
    </w:p>
    <w:tbl>
      <w:tblPr>
        <w:tblW w:w="9640" w:type="dxa"/>
        <w:tblLayout w:type="fixed"/>
        <w:tblCellMar>
          <w:left w:w="62" w:type="dxa"/>
          <w:right w:w="62" w:type="dxa"/>
        </w:tblCellMar>
        <w:tblLook w:val="0000"/>
      </w:tblPr>
      <w:tblGrid>
        <w:gridCol w:w="2978"/>
        <w:gridCol w:w="6662"/>
      </w:tblGrid>
      <w:tr w:rsidTr="00A659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BodyText"/>
            </w:pPr>
            <w:r w:rsidRPr="00F16A11">
              <w:t>This unit contains employability skills.</w:t>
            </w:r>
          </w:p>
        </w:tc>
      </w:tr>
    </w:tbl>
    <w:p w:rsidR="00A659B5" w:rsidP="00F16A11">
      <w:pPr>
        <w:pStyle w:val="BodyText"/>
      </w:pPr>
    </w:p>
    <w:p w:rsidR="00A659B5" w:rsidP="00F16A11">
      <w:pPr>
        <w:pStyle w:val="BodyText"/>
      </w:pPr>
    </w:p>
    <w:p w:rsidR="00000000" w:rsidRPr="00F16A11" w:rsidP="00F16A11">
      <w:pPr>
        <w:pStyle w:val="Heading1"/>
      </w:pPr>
      <w:bookmarkStart w:id="7" w:name="O_292111"/>
      <w:bookmarkEnd w:id="7"/>
      <w:r w:rsidRPr="00F16A11">
        <w:t>Elements and Performance Criteria Pre-Content</w:t>
      </w:r>
    </w:p>
    <w:tbl>
      <w:tblPr>
        <w:tblW w:w="9640" w:type="dxa"/>
        <w:tblLayout w:type="fixed"/>
        <w:tblCellMar>
          <w:left w:w="62" w:type="dxa"/>
          <w:right w:w="62" w:type="dxa"/>
        </w:tblCellMar>
        <w:tblLook w:val="0000"/>
      </w:tblPr>
      <w:tblGrid>
        <w:gridCol w:w="2978"/>
        <w:gridCol w:w="6662"/>
      </w:tblGrid>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BodyText"/>
            </w:pPr>
            <w:r w:rsidRPr="00F16A11">
              <w:t>Performance criteria describe the required performance needed to demonstrate achievement of the element. Assessment of performance is to be consistent with the evidence guide.</w:t>
            </w:r>
          </w:p>
        </w:tc>
      </w:tr>
    </w:tbl>
    <w:p w:rsidR="00000000" w:rsidRPr="00F16A11" w:rsidP="00F16A11">
      <w:pPr>
        <w:pStyle w:val="BodyText"/>
      </w:pPr>
    </w:p>
    <w:p w:rsidR="00000000" w:rsidRPr="00F16A11" w:rsidP="00F16A11">
      <w:pPr>
        <w:pStyle w:val="AllowPageBreak"/>
      </w:pPr>
    </w:p>
    <w:p w:rsidR="00000000" w:rsidRPr="00F16A11" w:rsidP="00F16A11">
      <w:pPr>
        <w:pStyle w:val="Heading1"/>
      </w:pPr>
      <w:bookmarkStart w:id="8" w:name="O_238779"/>
      <w:bookmarkEnd w:id="8"/>
      <w:r w:rsidRPr="00F16A11">
        <w:t>Elements and Performance Criteria</w:t>
      </w:r>
    </w:p>
    <w:tbl>
      <w:tblPr>
        <w:tblW w:w="9640" w:type="dxa"/>
        <w:tblLayout w:type="fixed"/>
        <w:tblCellMar>
          <w:left w:w="62" w:type="dxa"/>
          <w:right w:w="62" w:type="dxa"/>
        </w:tblCellMar>
        <w:tblLook w:val="0000"/>
      </w:tblPr>
      <w:tblGrid>
        <w:gridCol w:w="2978"/>
        <w:gridCol w:w="6662"/>
      </w:tblGrid>
      <w:tr w:rsidTr="00A659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16A11" w:rsidP="00F16A11">
            <w:pPr>
              <w:pStyle w:val="List"/>
            </w:pPr>
            <w:r w:rsidRPr="00F16A1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16A11">
            <w:pPr>
              <w:pStyle w:val="List"/>
              <w:rPr>
                <w:lang w:val="en-NZ"/>
              </w:rPr>
            </w:pPr>
            <w:r w:rsidRPr="00F16A11">
              <w:rPr>
                <w:rStyle w:val="SpecialBold"/>
              </w:rPr>
              <w:t>PERFORMANCE CRITERI</w:t>
            </w:r>
            <w:r w:rsidRPr="00F16A11">
              <w:rPr>
                <w:rStyle w:val="SpecialBold"/>
              </w:rPr>
              <w:t>A</w:t>
            </w:r>
          </w:p>
        </w:tc>
      </w:tr>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List"/>
              <w:rPr>
                <w:lang w:val="en-NZ"/>
              </w:rPr>
            </w:pPr>
            <w:r w:rsidRPr="00F16A11">
              <w:rPr>
                <w:rStyle w:val="SpecialBold"/>
              </w:rPr>
              <w:t>1</w:t>
            </w:r>
            <w:r w:rsidRPr="00F16A11">
              <w:tab/>
            </w:r>
            <w:r w:rsidRPr="00F16A11">
              <w:rPr>
                <w:rStyle w:val="SpecialBold"/>
              </w:rPr>
              <w:t>Prepare for transfer of load</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List"/>
            </w:pPr>
            <w:r w:rsidRPr="00F16A11">
              <w:t>1.1</w:t>
            </w:r>
            <w:r w:rsidRPr="00F16A11">
              <w:tab/>
              <w:t>Working area is prepared and maintained in accordance with national standards and safety codes and workplace operating procedures</w:t>
            </w:r>
          </w:p>
          <w:p w:rsidR="00000000" w:rsidRPr="00F16A11" w:rsidP="00F16A11">
            <w:pPr>
              <w:pStyle w:val="List"/>
            </w:pPr>
            <w:r w:rsidRPr="00F16A11">
              <w:t>1.2</w:t>
            </w:r>
            <w:r w:rsidRPr="00F16A11">
              <w:tab/>
            </w:r>
            <w:r w:rsidRPr="00F16A11">
              <w:t>Unsafe work practices and/or faulty equipment are reported in accordance with workplace procedures</w:t>
            </w:r>
          </w:p>
          <w:p w:rsidR="00000000" w:rsidP="00F16A11">
            <w:pPr>
              <w:pStyle w:val="List"/>
              <w:rPr>
                <w:lang w:val="en-NZ"/>
              </w:rPr>
            </w:pPr>
            <w:r w:rsidRPr="00F16A11">
              <w:t>1.3</w:t>
            </w:r>
            <w:r w:rsidRPr="00F16A11">
              <w:tab/>
              <w:t>Correct personal protective equipment is identified and worn</w:t>
            </w:r>
          </w:p>
        </w:tc>
      </w:tr>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List"/>
              <w:rPr>
                <w:lang w:val="en-NZ"/>
              </w:rPr>
            </w:pPr>
            <w:r w:rsidRPr="00F16A11">
              <w:rPr>
                <w:rStyle w:val="SpecialBold"/>
              </w:rPr>
              <w:t>2</w:t>
            </w:r>
            <w:r w:rsidRPr="00F16A11">
              <w:tab/>
            </w:r>
            <w:r w:rsidRPr="00F16A11">
              <w:rPr>
                <w:rStyle w:val="SpecialBold"/>
              </w:rPr>
              <w:t>Assess lifting requirements</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List"/>
            </w:pPr>
            <w:r w:rsidRPr="00F16A11">
              <w:t>2.1</w:t>
            </w:r>
            <w:r w:rsidRPr="00F16A11">
              <w:tab/>
              <w:t>Work operations plan is examined and requirements for the</w:t>
            </w:r>
            <w:r w:rsidRPr="00F16A11">
              <w:t xml:space="preserve"> lift identified including job method and sequence, control measures and safety procedures</w:t>
            </w:r>
          </w:p>
          <w:p w:rsidR="00000000" w:rsidRPr="00F16A11" w:rsidP="00F16A11">
            <w:pPr>
              <w:pStyle w:val="List"/>
            </w:pPr>
            <w:r w:rsidRPr="00F16A11">
              <w:t>2.2</w:t>
            </w:r>
            <w:r w:rsidRPr="00F16A11">
              <w:tab/>
              <w:t>Coordination requirements with other site personnel are confirmed</w:t>
            </w:r>
          </w:p>
          <w:p w:rsidR="00000000" w:rsidRPr="00F16A11" w:rsidP="00F16A11">
            <w:pPr>
              <w:pStyle w:val="List"/>
            </w:pPr>
            <w:r w:rsidRPr="00F16A11">
              <w:t>2.3</w:t>
            </w:r>
            <w:r w:rsidRPr="00F16A11">
              <w:tab/>
              <w:t>The mass, dimensions and centre of gravity of the load are determined</w:t>
            </w:r>
          </w:p>
          <w:p w:rsidR="00000000" w:rsidRPr="00F16A11" w:rsidP="00F16A11">
            <w:pPr>
              <w:pStyle w:val="List"/>
            </w:pPr>
            <w:r w:rsidRPr="00F16A11">
              <w:t>2.4</w:t>
            </w:r>
            <w:r w:rsidRPr="00F16A11">
              <w:tab/>
              <w:t>Appropriate lifti</w:t>
            </w:r>
            <w:r w:rsidRPr="00F16A11">
              <w:t>ng gear/equipment/packing, including slings, ropes, shackles, eye bolts, spreaders etc. is selected (from safety charts and SWL/WLL tags), assembled and checked for serviceability</w:t>
            </w:r>
          </w:p>
          <w:p w:rsidR="00000000" w:rsidP="00F16A11">
            <w:pPr>
              <w:pStyle w:val="List"/>
              <w:rPr>
                <w:lang w:val="en-NZ"/>
              </w:rPr>
            </w:pPr>
            <w:r w:rsidRPr="00F16A11">
              <w:t>2.5</w:t>
            </w:r>
            <w:r w:rsidRPr="00F16A11">
              <w:tab/>
              <w:t>Damaged or worn items are tagged, rejected and reported to appropriate p</w:t>
            </w:r>
            <w:r w:rsidRPr="00F16A11">
              <w:t>ersonnel for follow-up action</w:t>
            </w:r>
          </w:p>
        </w:tc>
      </w:tr>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List"/>
              <w:rPr>
                <w:lang w:val="en-NZ"/>
              </w:rPr>
            </w:pPr>
            <w:r w:rsidRPr="00F16A11">
              <w:rPr>
                <w:rStyle w:val="SpecialBold"/>
              </w:rPr>
              <w:t>3</w:t>
            </w:r>
            <w:r w:rsidRPr="00F16A11">
              <w:tab/>
            </w:r>
            <w:r w:rsidRPr="00F16A11">
              <w:rPr>
                <w:rStyle w:val="SpecialBold"/>
              </w:rPr>
              <w:t>Secure load</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List"/>
            </w:pPr>
            <w:r w:rsidRPr="00F16A11">
              <w:t>3.1</w:t>
            </w:r>
            <w:r w:rsidRPr="00F16A11">
              <w:tab/>
              <w:t>Lifting/anchorage points are correctly identified</w:t>
            </w:r>
          </w:p>
          <w:p w:rsidR="00000000" w:rsidRPr="00F16A11" w:rsidP="00F16A11">
            <w:pPr>
              <w:pStyle w:val="List"/>
            </w:pPr>
            <w:r w:rsidRPr="00F16A11">
              <w:t>3.2</w:t>
            </w:r>
            <w:r w:rsidRPr="00F16A11">
              <w:tab/>
              <w:t>Lifting gear/equipment/packing is connected to the load, and load is secured to lifting device in accordance with workplace and manufacturers specificati</w:t>
            </w:r>
            <w:r w:rsidRPr="00F16A11">
              <w:t>ons, guidelines and regulatory requirements</w:t>
            </w:r>
          </w:p>
          <w:p w:rsidR="00000000" w:rsidRPr="00F16A11" w:rsidP="00F16A11">
            <w:pPr>
              <w:pStyle w:val="List"/>
            </w:pPr>
            <w:r w:rsidRPr="00F16A11">
              <w:t>3.3</w:t>
            </w:r>
            <w:r w:rsidRPr="00F16A11">
              <w:tab/>
              <w:t>Load is lifted and suspended off the lifting plane and checked to ensure it is appropriately rigged and secured</w:t>
            </w:r>
          </w:p>
          <w:p w:rsidR="00000000" w:rsidRPr="00F16A11" w:rsidP="00F16A11">
            <w:pPr>
              <w:pStyle w:val="List"/>
            </w:pPr>
            <w:r w:rsidRPr="00F16A11">
              <w:t>3.4</w:t>
            </w:r>
            <w:r w:rsidRPr="00F16A11">
              <w:tab/>
            </w:r>
            <w:r w:rsidRPr="00F16A11">
              <w:t>Corrective action is undertaken where preliminary lift assessment reveals unacceptable operational situation</w:t>
            </w:r>
          </w:p>
          <w:p w:rsidR="00000000" w:rsidP="00F16A11">
            <w:pPr>
              <w:pStyle w:val="List"/>
              <w:rPr>
                <w:lang w:val="en-NZ"/>
              </w:rPr>
            </w:pPr>
            <w:r w:rsidRPr="00F16A11">
              <w:t>3.5</w:t>
            </w:r>
            <w:r w:rsidRPr="00F16A11">
              <w:tab/>
              <w:t>Tag lines are fixed to load in accordance with work operation plan and/or, in consultation with other personnel, where required due to wind con</w:t>
            </w:r>
            <w:r w:rsidRPr="00F16A11">
              <w:t>ditions and site hazards/obstacles</w:t>
            </w:r>
          </w:p>
        </w:tc>
      </w:tr>
      <w:tr w:rsidTr="00A659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16A11">
            <w:pPr>
              <w:pStyle w:val="List"/>
              <w:rPr>
                <w:lang w:val="en-NZ"/>
              </w:rPr>
            </w:pPr>
            <w:r w:rsidRPr="00F16A11">
              <w:rPr>
                <w:rStyle w:val="SpecialBold"/>
              </w:rPr>
              <w:t>4</w:t>
            </w:r>
            <w:r w:rsidRPr="00F16A11">
              <w:tab/>
            </w:r>
            <w:r w:rsidRPr="00F16A11">
              <w:rPr>
                <w:rStyle w:val="SpecialBold"/>
              </w:rPr>
              <w:t>Detach load</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List"/>
            </w:pPr>
            <w:r w:rsidRPr="00F16A11">
              <w:t>4.1</w:t>
            </w:r>
            <w:r w:rsidRPr="00F16A11">
              <w:tab/>
              <w:t>Slinging attachments are released from load ensuring no injury to personnel or damage to workplace operating procedures</w:t>
            </w:r>
          </w:p>
          <w:p w:rsidR="00000000" w:rsidRPr="00F16A11" w:rsidP="00F16A11">
            <w:pPr>
              <w:pStyle w:val="List"/>
            </w:pPr>
            <w:r w:rsidRPr="00F16A11">
              <w:t>4.2</w:t>
            </w:r>
            <w:r w:rsidRPr="00F16A11">
              <w:tab/>
              <w:t>Damage to load/site is identified and reported in accordance with workplace pr</w:t>
            </w:r>
            <w:r w:rsidRPr="00F16A11">
              <w:t>ocedures</w:t>
            </w:r>
          </w:p>
          <w:p w:rsidR="00000000" w:rsidRPr="00F16A11" w:rsidP="00F16A11">
            <w:pPr>
              <w:pStyle w:val="List"/>
            </w:pPr>
            <w:r w:rsidRPr="00F16A11">
              <w:t>4.3</w:t>
            </w:r>
            <w:r w:rsidRPr="00F16A11">
              <w:tab/>
              <w:t>Lifting gear/equipment/packing is maintained and stored in accordance with workplace and manufacturers specifications, guidelines and regulatory requirements</w:t>
            </w:r>
          </w:p>
        </w:tc>
      </w:tr>
    </w:tbl>
    <w:p w:rsidR="00A659B5" w:rsidP="00F16A11">
      <w:pPr>
        <w:pStyle w:val="BodyText"/>
      </w:pPr>
    </w:p>
    <w:p w:rsidR="00A659B5" w:rsidP="00F16A11">
      <w:pPr>
        <w:pStyle w:val="BodyText"/>
      </w:pPr>
    </w:p>
    <w:p w:rsidR="00000000" w:rsidRPr="00F16A11" w:rsidP="00F16A11">
      <w:pPr>
        <w:pStyle w:val="Heading1"/>
      </w:pPr>
      <w:bookmarkStart w:id="9" w:name="O_262570"/>
      <w:bookmarkEnd w:id="9"/>
      <w:r w:rsidRPr="00F16A11">
        <w:t>Required Skills and Knowledge</w:t>
      </w:r>
    </w:p>
    <w:tbl>
      <w:tblPr>
        <w:tblW w:w="9640" w:type="dxa"/>
        <w:tblLayout w:type="fixed"/>
        <w:tblCellMar>
          <w:left w:w="62" w:type="dxa"/>
          <w:right w:w="62" w:type="dxa"/>
        </w:tblCellMar>
        <w:tblLook w:val="0000"/>
      </w:tblPr>
      <w:tblGrid>
        <w:gridCol w:w="9640"/>
      </w:tblGrid>
      <w:tr w:rsidTr="00A659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REQUIRED KNOWLEDGE AND SKILLS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This describes the essential knowledge and skills and their level required for this unit.</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Required knowledge</w:t>
            </w:r>
            <w:r w:rsidRPr="00F16A11">
              <w:t>:</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Relevant road rules, regulations, permit and licence requirements pertaining to rigging of loads during mobile crane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Relevant OH&amp;S</w:t>
            </w:r>
            <w:r w:rsidRPr="00F16A11">
              <w:t xml:space="preserve"> and environmental procedures and regulations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Mobile crane applications, capacities, configurations, safety hazards and control mechanisms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Operational procedures for crane crews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Requirements for Safe Working Load (SWL) or Working Load Limit (WLL)</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Prioritising and multi-tasking work</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Workplace procedures concerning the rigging of loads during mobile crane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Problems that may arise when rigging a load during mobile crane operations and actions that should be taken to prevent or solve them</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Focus of operation of work systems and equipment</w:t>
            </w:r>
          </w:p>
        </w:tc>
      </w:tr>
    </w:tbl>
    <w:p w:rsidR="00000000" w:rsidRPr="00F16A11" w:rsidP="00F16A11">
      <w:pPr>
        <w:pStyle w:val="BodyText"/>
      </w:pPr>
    </w:p>
    <w:tbl>
      <w:tblPr>
        <w:tblW w:w="9640" w:type="dxa"/>
        <w:tblLayout w:type="fixed"/>
        <w:tblCellMar>
          <w:left w:w="62" w:type="dxa"/>
          <w:right w:w="62" w:type="dxa"/>
        </w:tblCellMar>
        <w:tblLook w:val="0000"/>
      </w:tblPr>
      <w:tblGrid>
        <w:gridCol w:w="9640"/>
      </w:tblGrid>
      <w:tr w:rsidTr="00A659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Required skills</w:t>
            </w:r>
            <w:r w:rsidRPr="00F16A11">
              <w:t>:</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Communicate effectively with others when rigging a load during mobile crane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 xml:space="preserve">Read and interpret instructions, procedures, information and signs relevant to the </w:t>
            </w:r>
            <w:r w:rsidRPr="00F16A11">
              <w:t>rigging of a load during mobile crane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Interpret and follow operational instructions and prioritise work</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Operate electronic communication equipment to required protocol</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Work collaboratively with others when rigging a load during mobile cran</w:t>
            </w:r>
            <w:r w:rsidRPr="00F16A11">
              <w:t>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Adapt appropriately to cultural differences in the workplace, including modes of behaviour and interactions with others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 xml:space="preserve">Promptly report and/or rectify any identified problems, faults or malfunctions that </w:t>
            </w:r>
            <w:r w:rsidRPr="00F16A11">
              <w:t>may occur when rigging a load during mobile crane operations in accordance with regulatory requirements and workplace procedures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Implement contingency plans for unexpected situations that may arise when rigging a load during mobile crane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App</w:t>
            </w:r>
            <w:r w:rsidRPr="00F16A11">
              <w:t>ly precautions and required action to minimise, control or eliminate hazards that may exist during the rigging of a load as part of mobile crane operations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Monitor work activities in terms of planned schedule</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Modify activities depending on differing op</w:t>
            </w:r>
            <w:r w:rsidRPr="00F16A11">
              <w:t>erational contingencies, risk situations and environments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Apply fatigue management knowledge and techniques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Work systematically with required attention to detail without injury to self or others, or damage to goods or equipment</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Identify and correctly use equipment, processes and procedures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Operate and adapt to differences in equipment in accordance with standard operating procedures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Select and use required personal protective equipment conforming to industry and OH&amp;S standard</w:t>
            </w:r>
            <w:r w:rsidRPr="00F16A11">
              <w:t>s</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Monitor condition and performance of gear and equipment and take appropriate action where required</w:t>
            </w:r>
          </w:p>
        </w:tc>
      </w:tr>
      <w:tr w:rsidTr="00A659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Service gear and equipment in terms of maintenance schedule and standard operating procedures</w:t>
            </w:r>
          </w:p>
        </w:tc>
      </w:tr>
    </w:tbl>
    <w:p w:rsidR="00A659B5" w:rsidP="00F16A11">
      <w:pPr>
        <w:pStyle w:val="BodyText"/>
      </w:pPr>
    </w:p>
    <w:p w:rsidR="00A659B5" w:rsidP="00F16A11">
      <w:pPr>
        <w:pStyle w:val="BodyText"/>
      </w:pPr>
    </w:p>
    <w:p w:rsidR="00000000" w:rsidRPr="00F16A11" w:rsidP="00F16A11">
      <w:pPr>
        <w:pStyle w:val="Heading1"/>
      </w:pPr>
      <w:bookmarkStart w:id="10" w:name="O_246763"/>
      <w:bookmarkEnd w:id="10"/>
      <w:r w:rsidRPr="00F16A11">
        <w:t>Evidence Guide</w:t>
      </w:r>
    </w:p>
    <w:tbl>
      <w:tblPr>
        <w:tblW w:w="9499" w:type="dxa"/>
        <w:tblLayout w:type="fixed"/>
        <w:tblCellMar>
          <w:left w:w="62" w:type="dxa"/>
          <w:right w:w="62" w:type="dxa"/>
        </w:tblCellMar>
        <w:tblLook w:val="0000"/>
      </w:tblPr>
      <w:tblGrid>
        <w:gridCol w:w="3524"/>
        <w:gridCol w:w="5975"/>
      </w:tblGrid>
      <w:tr w:rsidTr="00A659B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EVIDENCE GUIDE</w:t>
            </w:r>
          </w:p>
        </w:tc>
      </w:tr>
      <w:tr w:rsidTr="00A659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The evidence guide provides advice on assessment and must be read in conjunction with the performance criteria, required knowledge and skills, the range statement and the assessment guidelines for this Training Package.</w:t>
            </w:r>
          </w:p>
        </w:tc>
      </w:tr>
      <w:tr w:rsidTr="00A659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Critical aspects for assessment an</w:t>
            </w:r>
            <w:r w:rsidRPr="00F16A1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The evidence required to demonstrate competency in this unit must be relevant to and satisfy all of the requirements of the elements and performance criteria of this unit and include demonstration</w:t>
            </w:r>
            <w:r w:rsidRPr="00F16A11">
              <w:t xml:space="preserve"> of applying:</w:t>
            </w:r>
          </w:p>
          <w:p w:rsidR="00000000" w:rsidRPr="00F16A11" w:rsidP="00F16A11">
            <w:pPr>
              <w:pStyle w:val="ListBullet2"/>
            </w:pPr>
            <w:r w:rsidRPr="00F16A11">
              <w:t>the underpinning knowledge and skills</w:t>
            </w:r>
          </w:p>
          <w:p w:rsidR="00000000" w:rsidRPr="00F16A11" w:rsidP="00F16A11">
            <w:pPr>
              <w:pStyle w:val="ListBullet2"/>
            </w:pPr>
            <w:r w:rsidRPr="00F16A11">
              <w:t>relevant legislation and workplace procedures</w:t>
            </w:r>
          </w:p>
          <w:p w:rsidR="00000000" w:rsidP="00F16A11">
            <w:pPr>
              <w:pStyle w:val="ListBullet2"/>
              <w:rPr>
                <w:lang w:val="en-NZ"/>
              </w:rPr>
            </w:pPr>
            <w:r w:rsidRPr="00F16A11">
              <w:t>other relevant aspects of the range statement</w:t>
            </w:r>
          </w:p>
        </w:tc>
      </w:tr>
      <w:tr w:rsidTr="00A659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Performance is demonstrated consistently over a period of time and in a suitable range of contexts</w:t>
            </w:r>
          </w:p>
          <w:p w:rsidR="00000000" w:rsidRPr="00F16A11" w:rsidP="00F16A11">
            <w:pPr>
              <w:pStyle w:val="ListBullet"/>
            </w:pPr>
            <w:r w:rsidRPr="00F16A11">
              <w:t>Resources for assessment include:</w:t>
            </w:r>
          </w:p>
          <w:p w:rsidR="00000000" w:rsidRPr="00F16A11" w:rsidP="00F16A11">
            <w:pPr>
              <w:pStyle w:val="ListBullet2"/>
            </w:pPr>
            <w:r w:rsidRPr="00F16A11">
              <w:t>a range of relevant exercises, case studies and/or other simulated practical and knowledge assessment, and/or</w:t>
            </w:r>
          </w:p>
          <w:p w:rsidR="00000000" w:rsidRPr="00F16A11" w:rsidP="00F16A11">
            <w:pPr>
              <w:pStyle w:val="ListBullet2"/>
            </w:pPr>
            <w:r w:rsidRPr="00F16A11">
              <w:t>access to an appropriate range of relevant operational situations in the workplace</w:t>
            </w:r>
          </w:p>
          <w:p w:rsidR="00000000" w:rsidRPr="00F16A11" w:rsidP="00F16A11">
            <w:pPr>
              <w:pStyle w:val="ListBullet"/>
            </w:pPr>
            <w:r w:rsidRPr="00F16A11">
              <w:t>In both real and simulated environments, access is required to:</w:t>
            </w:r>
          </w:p>
          <w:p w:rsidR="00000000" w:rsidRPr="00F16A11" w:rsidP="00F16A11">
            <w:pPr>
              <w:pStyle w:val="ListBullet2"/>
            </w:pPr>
            <w:r w:rsidRPr="00F16A11">
              <w:t>relevant and appropriate materials and equipment, and</w:t>
            </w:r>
          </w:p>
          <w:p w:rsidR="00000000" w:rsidP="00F16A11">
            <w:pPr>
              <w:pStyle w:val="ListBullet2"/>
              <w:rPr>
                <w:lang w:val="en-NZ"/>
              </w:rPr>
            </w:pPr>
            <w:r w:rsidRPr="00F16A11">
              <w:t>applicable documentation including workplace procedur</w:t>
            </w:r>
            <w:r w:rsidRPr="00F16A11">
              <w:t>es, regulations, codes of practice and operation manuals</w:t>
            </w:r>
          </w:p>
        </w:tc>
      </w:tr>
      <w:tr w:rsidTr="00A659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Assessment of this unit must be undertaken by a registered training organisation</w:t>
            </w:r>
          </w:p>
          <w:p w:rsidR="00000000" w:rsidRPr="00F16A11" w:rsidP="00F16A11">
            <w:pPr>
              <w:pStyle w:val="ListBullet"/>
            </w:pPr>
            <w:r w:rsidRPr="00F16A11">
              <w:t>As a minimum, assessment of knowledge must be conducted through appropriate written/oral tests</w:t>
            </w:r>
          </w:p>
          <w:p w:rsidR="00000000" w:rsidRPr="00F16A11" w:rsidP="00F16A11">
            <w:pPr>
              <w:pStyle w:val="ListBullet"/>
            </w:pPr>
            <w:r w:rsidRPr="00F16A11">
              <w:t>Practical assessment must occur:</w:t>
            </w:r>
          </w:p>
          <w:p w:rsidR="00000000" w:rsidRPr="00F16A11" w:rsidP="00F16A11">
            <w:pPr>
              <w:pStyle w:val="ListBullet2"/>
            </w:pPr>
            <w:r w:rsidRPr="00F16A11">
              <w:t>through activities in an appropriately simulated environment at the registered training organisation, and/or</w:t>
            </w:r>
          </w:p>
          <w:p w:rsidR="00000000" w:rsidRPr="00F16A11" w:rsidP="00F16A11">
            <w:pPr>
              <w:pStyle w:val="ListBullet2"/>
            </w:pPr>
            <w:r w:rsidRPr="00F16A11">
              <w:t>in an appropriate range of situations in the workplace</w:t>
            </w:r>
          </w:p>
        </w:tc>
      </w:tr>
    </w:tbl>
    <w:p w:rsidR="00A659B5" w:rsidP="00F16A11">
      <w:pPr>
        <w:pStyle w:val="BodyText"/>
      </w:pPr>
    </w:p>
    <w:p w:rsidR="00A659B5" w:rsidP="00F16A11">
      <w:pPr>
        <w:pStyle w:val="BodyText"/>
      </w:pPr>
    </w:p>
    <w:p w:rsidR="00000000" w:rsidRPr="00F16A11" w:rsidP="00F16A11">
      <w:pPr>
        <w:pStyle w:val="Heading1"/>
      </w:pPr>
      <w:bookmarkStart w:id="11" w:name="O_254746"/>
      <w:bookmarkEnd w:id="11"/>
      <w:r w:rsidRPr="00F16A11">
        <w:t>Range Statement</w:t>
      </w:r>
    </w:p>
    <w:tbl>
      <w:tblPr>
        <w:tblW w:w="9640" w:type="dxa"/>
        <w:tblLayout w:type="fixed"/>
        <w:tblCellMar>
          <w:left w:w="62" w:type="dxa"/>
          <w:right w:w="62" w:type="dxa"/>
        </w:tblCellMar>
        <w:tblLook w:val="0000"/>
      </w:tblPr>
      <w:tblGrid>
        <w:gridCol w:w="3486"/>
        <w:gridCol w:w="6154"/>
      </w:tblGrid>
      <w:tr w:rsidTr="00A659B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RANGE STATEMENT</w:t>
            </w:r>
            <w:r w:rsidRPr="00F16A11">
              <w:t xml:space="preserve"> </w:t>
            </w:r>
          </w:p>
        </w:tc>
      </w:tr>
      <w:tr w:rsidTr="00A659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The range statement relates to the unit of competency as a whole. It allows for different work environments and situations that may affect performance.</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day or night</w:t>
            </w:r>
          </w:p>
          <w:p w:rsidR="00000000" w:rsidP="00F16A11">
            <w:pPr>
              <w:pStyle w:val="ListBullet"/>
              <w:rPr>
                <w:lang w:val="en-NZ"/>
              </w:rPr>
            </w:pPr>
            <w:r w:rsidRPr="00F16A11">
              <w:t>in a variety of weather conditions</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equipment</w:t>
            </w:r>
          </w:p>
          <w:p w:rsidR="00000000" w:rsidRPr="00F16A11" w:rsidP="00F16A11">
            <w:pPr>
              <w:pStyle w:val="ListBullet"/>
            </w:pPr>
            <w:r w:rsidRPr="00F16A11">
              <w:t>goods</w:t>
            </w:r>
          </w:p>
          <w:p w:rsidR="00000000" w:rsidRPr="00F16A11" w:rsidP="00F16A11">
            <w:pPr>
              <w:pStyle w:val="ListBullet"/>
            </w:pPr>
            <w:r w:rsidRPr="00F16A11">
              <w:t>materials</w:t>
            </w:r>
          </w:p>
          <w:p w:rsidR="00000000" w:rsidP="00F16A11">
            <w:pPr>
              <w:pStyle w:val="ListBullet"/>
              <w:rPr>
                <w:lang w:val="en-NZ"/>
              </w:rPr>
            </w:pPr>
            <w:r w:rsidRPr="00F16A11">
              <w:t>vehicular traffic</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Customers may be:</w:t>
            </w:r>
          </w:p>
        </w:tc>
        <w:tc>
          <w:tcPr>
            <w:tcW w:w="6154"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internal or external</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Mobile crane may be involved in work in a range of industry sectors including:</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construction and demolition</w:t>
            </w:r>
          </w:p>
          <w:p w:rsidR="00000000" w:rsidRPr="00F16A11" w:rsidP="00F16A11">
            <w:pPr>
              <w:pStyle w:val="ListBullet"/>
            </w:pPr>
            <w:r w:rsidRPr="00F16A11">
              <w:t>manufacturing</w:t>
            </w:r>
          </w:p>
          <w:p w:rsidR="00000000" w:rsidRPr="00F16A11" w:rsidP="00F16A11">
            <w:pPr>
              <w:pStyle w:val="ListBullet"/>
            </w:pPr>
            <w:r w:rsidRPr="00F16A11">
              <w:t>waterfront</w:t>
            </w:r>
          </w:p>
          <w:p w:rsidR="00000000" w:rsidRPr="00F16A11" w:rsidP="00F16A11">
            <w:pPr>
              <w:pStyle w:val="ListBullet"/>
            </w:pPr>
            <w:r w:rsidRPr="00F16A11">
              <w:t>mining</w:t>
            </w:r>
          </w:p>
          <w:p w:rsidR="00000000" w:rsidRPr="00F16A11" w:rsidP="00F16A11">
            <w:pPr>
              <w:pStyle w:val="ListBullet"/>
            </w:pPr>
            <w:r w:rsidRPr="00F16A11">
              <w:t>primary industry</w:t>
            </w:r>
          </w:p>
          <w:p w:rsidR="00000000" w:rsidRPr="00F16A11" w:rsidP="00F16A11">
            <w:pPr>
              <w:pStyle w:val="ListBullet"/>
            </w:pPr>
            <w:r w:rsidRPr="00F16A11">
              <w:t>utilities (electricity, gas, water)</w:t>
            </w:r>
          </w:p>
          <w:p w:rsidR="00000000" w:rsidRPr="00F16A11" w:rsidP="00F16A11">
            <w:pPr>
              <w:pStyle w:val="ListBullet"/>
            </w:pPr>
            <w:r w:rsidRPr="00F16A11">
              <w:t>arboricultural</w:t>
            </w:r>
          </w:p>
          <w:p w:rsidR="00000000" w:rsidRPr="00F16A11" w:rsidP="00F16A11">
            <w:pPr>
              <w:pStyle w:val="ListBullet"/>
            </w:pPr>
            <w:r w:rsidRPr="00F16A11">
              <w:t>swimming pool</w:t>
            </w:r>
          </w:p>
          <w:p w:rsidR="00000000" w:rsidP="00F16A11">
            <w:pPr>
              <w:pStyle w:val="ListBullet"/>
              <w:rPr>
                <w:lang w:val="en-NZ"/>
              </w:rPr>
            </w:pPr>
            <w:r w:rsidRPr="00F16A11">
              <w:t>quarrying</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Hazards may include: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power lines</w:t>
            </w:r>
          </w:p>
          <w:p w:rsidR="00000000" w:rsidRPr="00F16A11" w:rsidP="00F16A11">
            <w:pPr>
              <w:pStyle w:val="ListBullet"/>
            </w:pPr>
            <w:r w:rsidRPr="00F16A11">
              <w:t>noise, light, energy sources</w:t>
            </w:r>
          </w:p>
          <w:p w:rsidR="00000000" w:rsidRPr="00F16A11" w:rsidP="00F16A11">
            <w:pPr>
              <w:pStyle w:val="ListBullet"/>
            </w:pPr>
            <w:r w:rsidRPr="00F16A11">
              <w:t>overhead service lines</w:t>
            </w:r>
          </w:p>
          <w:p w:rsidR="00000000" w:rsidRPr="00F16A11" w:rsidP="00F16A11">
            <w:pPr>
              <w:pStyle w:val="ListBullet"/>
            </w:pPr>
            <w:r w:rsidRPr="00F16A11">
              <w:t>surrounding buildings, structures, facilities</w:t>
            </w:r>
          </w:p>
          <w:p w:rsidR="00000000" w:rsidRPr="00F16A11" w:rsidP="00F16A11">
            <w:pPr>
              <w:pStyle w:val="ListBullet"/>
            </w:pPr>
            <w:r w:rsidRPr="00F16A11">
              <w:t>underground services</w:t>
            </w:r>
          </w:p>
          <w:p w:rsidR="00000000" w:rsidRPr="00F16A11" w:rsidP="00F16A11">
            <w:pPr>
              <w:pStyle w:val="ListBullet"/>
            </w:pPr>
            <w:r w:rsidRPr="00F16A11">
              <w:t>obstructions</w:t>
            </w:r>
          </w:p>
          <w:p w:rsidR="00000000" w:rsidRPr="00F16A11" w:rsidP="00F16A11">
            <w:pPr>
              <w:pStyle w:val="ListBullet"/>
            </w:pPr>
            <w:r w:rsidRPr="00F16A11">
              <w:t>uneven or unstable ground and recently filled trenches</w:t>
            </w:r>
          </w:p>
          <w:p w:rsidR="00000000" w:rsidRPr="00F16A11" w:rsidP="00F16A11">
            <w:pPr>
              <w:pStyle w:val="ListBullet"/>
            </w:pPr>
            <w:r w:rsidRPr="00F16A11">
              <w:t>stationary and moving machinery and equipment</w:t>
            </w:r>
          </w:p>
          <w:p w:rsidR="00000000" w:rsidRPr="00F16A11" w:rsidP="00F16A11">
            <w:pPr>
              <w:pStyle w:val="ListBullet"/>
            </w:pPr>
            <w:r w:rsidRPr="00F16A11">
              <w:t>hazardous or dangerous materials</w:t>
            </w:r>
          </w:p>
          <w:p w:rsidR="00000000" w:rsidP="00F16A11">
            <w:pPr>
              <w:pStyle w:val="ListBullet"/>
              <w:rPr>
                <w:lang w:val="en-NZ"/>
              </w:rPr>
            </w:pPr>
            <w:r w:rsidRPr="00F16A11">
              <w:t>traffic hazards and congestion</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Hazard management is:</w:t>
            </w:r>
          </w:p>
        </w:tc>
        <w:tc>
          <w:tcPr>
            <w:tcW w:w="6154"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 xml:space="preserve">consistent with the principle of hierarchy of control </w:t>
            </w:r>
            <w:r w:rsidRPr="00F16A11">
              <w:t>with elimination, substitution, isolation and engineering control measures being selected before safe working practices and personal protective equipment</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other employees and supervisors</w:t>
            </w:r>
          </w:p>
          <w:p w:rsidR="00000000" w:rsidRPr="00F16A11" w:rsidP="00F16A11">
            <w:pPr>
              <w:pStyle w:val="ListBullet"/>
            </w:pPr>
            <w:r w:rsidRPr="00F16A11">
              <w:t>management</w:t>
            </w:r>
          </w:p>
          <w:p w:rsidR="00000000" w:rsidRPr="00F16A11" w:rsidP="00F16A11">
            <w:pPr>
              <w:pStyle w:val="ListBullet"/>
            </w:pPr>
            <w:r w:rsidRPr="00F16A11">
              <w:t>union representatives</w:t>
            </w:r>
          </w:p>
          <w:p w:rsidR="00000000" w:rsidRPr="00F16A11" w:rsidP="00F16A11">
            <w:pPr>
              <w:pStyle w:val="ListBullet"/>
            </w:pPr>
            <w:r w:rsidRPr="00F16A11">
              <w:t>clients</w:t>
            </w:r>
          </w:p>
          <w:p w:rsidR="00000000" w:rsidRPr="00F16A11" w:rsidP="00F16A11">
            <w:pPr>
              <w:pStyle w:val="ListBullet"/>
            </w:pPr>
            <w:r w:rsidRPr="00F16A11">
              <w:t>industrial relations and OH&amp;S specialists</w:t>
            </w:r>
          </w:p>
          <w:p w:rsidR="00000000" w:rsidP="00F16A11">
            <w:pPr>
              <w:pStyle w:val="ListBullet"/>
              <w:rPr>
                <w:lang w:val="en-NZ"/>
              </w:rPr>
            </w:pPr>
            <w:r w:rsidRPr="00F16A11">
              <w:t>other professional or technical staff</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Loads to be shifted are:</w:t>
            </w:r>
          </w:p>
        </w:tc>
        <w:tc>
          <w:tcPr>
            <w:tcW w:w="6154" w:type="dxa"/>
            <w:tcBorders>
              <w:top w:val="nil"/>
              <w:left w:val="nil"/>
              <w:bottom w:val="nil"/>
              <w:right w:val="nil"/>
            </w:tcBorders>
            <w:tcMar>
              <w:top w:w="0" w:type="dxa"/>
              <w:left w:w="62" w:type="dxa"/>
              <w:bottom w:w="0" w:type="dxa"/>
              <w:right w:w="62" w:type="dxa"/>
            </w:tcMar>
          </w:tcPr>
          <w:p w:rsidR="00000000" w:rsidP="00F16A11">
            <w:pPr>
              <w:pStyle w:val="ListBullet"/>
              <w:rPr>
                <w:lang w:val="en-NZ"/>
              </w:rPr>
            </w:pPr>
            <w:r w:rsidRPr="00F16A11">
              <w:t>rigged and secured in accordance with workplace and regulatory standards/codes of practice</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Requirements for access and/or lift may include: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site restrictions and procedures</w:t>
            </w:r>
          </w:p>
          <w:p w:rsidR="00000000" w:rsidRPr="00F16A11" w:rsidP="00F16A11">
            <w:pPr>
              <w:pStyle w:val="ListBullet"/>
            </w:pPr>
            <w:r w:rsidRPr="00F16A11">
              <w:t>authorities and permits</w:t>
            </w:r>
          </w:p>
          <w:p w:rsidR="00000000" w:rsidRPr="00F16A11" w:rsidP="00F16A11">
            <w:pPr>
              <w:pStyle w:val="ListBullet"/>
            </w:pPr>
            <w:r w:rsidRPr="00F16A11">
              <w:t>hours of operation</w:t>
            </w:r>
          </w:p>
          <w:p w:rsidR="00000000" w:rsidRPr="00F16A11" w:rsidP="00F16A11">
            <w:pPr>
              <w:pStyle w:val="ListBullet"/>
            </w:pPr>
            <w:r w:rsidRPr="00F16A11">
              <w:t>induction</w:t>
            </w:r>
          </w:p>
          <w:p w:rsidR="00000000" w:rsidRPr="00F16A11" w:rsidP="00F16A11">
            <w:pPr>
              <w:pStyle w:val="ListBullet"/>
            </w:pPr>
            <w:r w:rsidRPr="00F16A11">
              <w:t>slings, chains, nets, brackets and other specialised lifting equipment</w:t>
            </w:r>
          </w:p>
          <w:p w:rsidR="00000000" w:rsidRPr="00F16A11" w:rsidP="00F16A11">
            <w:pPr>
              <w:pStyle w:val="ListBullet"/>
            </w:pPr>
            <w:r w:rsidRPr="00F16A11">
              <w:t>noise restrictions</w:t>
            </w:r>
          </w:p>
          <w:p w:rsidR="00000000" w:rsidRPr="00F16A11" w:rsidP="00F16A11">
            <w:pPr>
              <w:pStyle w:val="ListBullet"/>
            </w:pPr>
            <w:r w:rsidRPr="00F16A11">
              <w:t>personal protective equipment</w:t>
            </w:r>
          </w:p>
          <w:p w:rsidR="00000000" w:rsidRPr="00F16A11" w:rsidP="00F16A11">
            <w:pPr>
              <w:pStyle w:val="ListBullet"/>
            </w:pPr>
            <w:r w:rsidRPr="00F16A11">
              <w:t>support trucks</w:t>
            </w:r>
          </w:p>
          <w:p w:rsidR="00000000" w:rsidRPr="00F16A11" w:rsidP="00F16A11">
            <w:pPr>
              <w:pStyle w:val="ListBullet"/>
            </w:pPr>
            <w:r w:rsidRPr="00F16A11">
              <w:t>additional gear and equipment</w:t>
            </w:r>
          </w:p>
          <w:p w:rsidR="00000000" w:rsidP="00F16A11">
            <w:pPr>
              <w:pStyle w:val="ListBullet"/>
              <w:rPr>
                <w:lang w:val="en-NZ"/>
              </w:rPr>
            </w:pPr>
            <w:r w:rsidRPr="00F16A11">
              <w:t>communications equipment</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gloves</w:t>
            </w:r>
          </w:p>
          <w:p w:rsidR="00000000" w:rsidRPr="00F16A11" w:rsidP="00F16A11">
            <w:pPr>
              <w:pStyle w:val="ListBullet"/>
            </w:pPr>
            <w:r w:rsidRPr="00F16A11">
              <w:t>safety headwear and footwear</w:t>
            </w:r>
          </w:p>
          <w:p w:rsidR="00000000" w:rsidRPr="00F16A11" w:rsidP="00F16A11">
            <w:pPr>
              <w:pStyle w:val="ListBullet"/>
            </w:pPr>
            <w:r w:rsidRPr="00F16A11">
              <w:t>sunscreen, sunglasses and safety glasses</w:t>
            </w:r>
          </w:p>
          <w:p w:rsidR="00000000" w:rsidRPr="00F16A11" w:rsidP="00F16A11">
            <w:pPr>
              <w:pStyle w:val="ListBullet"/>
            </w:pPr>
            <w:r w:rsidRPr="00F16A11">
              <w:t>two-way radios</w:t>
            </w:r>
          </w:p>
          <w:p w:rsidR="00000000" w:rsidP="00F16A11">
            <w:pPr>
              <w:pStyle w:val="ListBullet"/>
              <w:rPr>
                <w:lang w:val="en-NZ"/>
              </w:rPr>
            </w:pPr>
            <w:r w:rsidRPr="00F16A11">
              <w:t>high visibility clothing</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company procedures</w:t>
            </w:r>
          </w:p>
          <w:p w:rsidR="00000000" w:rsidRPr="00F16A11" w:rsidP="00F16A11">
            <w:pPr>
              <w:pStyle w:val="ListBullet"/>
            </w:pPr>
            <w:r w:rsidRPr="00F16A11">
              <w:t>enterprise procedures</w:t>
            </w:r>
          </w:p>
          <w:p w:rsidR="00000000" w:rsidRPr="00F16A11" w:rsidP="00F16A11">
            <w:pPr>
              <w:pStyle w:val="ListBullet"/>
            </w:pPr>
            <w:r w:rsidRPr="00F16A11">
              <w:t>organisational procedures</w:t>
            </w:r>
          </w:p>
          <w:p w:rsidR="00000000" w:rsidRPr="00F16A11" w:rsidP="00F16A11">
            <w:pPr>
              <w:pStyle w:val="ListBullet"/>
            </w:pPr>
            <w:r w:rsidRPr="00F16A11">
              <w:t>established procedures</w:t>
            </w:r>
          </w:p>
          <w:p w:rsidR="00000000" w:rsidP="00F16A11">
            <w:pPr>
              <w:pStyle w:val="ListBullet"/>
              <w:rPr>
                <w:lang w:val="en-NZ"/>
              </w:rPr>
            </w:pPr>
            <w:r w:rsidRPr="00F16A11">
              <w:t>site procedures</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operations manuals including load charts and crane and rigging manuals</w:t>
            </w:r>
          </w:p>
          <w:p w:rsidR="00000000" w:rsidRPr="00F16A11" w:rsidP="00F16A11">
            <w:pPr>
              <w:pStyle w:val="ListBullet"/>
            </w:pPr>
            <w:r w:rsidRPr="00F16A11">
              <w:t>Safe Working Load (SWL) and Working Load Limit (WLL)</w:t>
            </w:r>
          </w:p>
          <w:p w:rsidR="00000000" w:rsidRPr="00F16A11" w:rsidP="00F16A11">
            <w:pPr>
              <w:pStyle w:val="ListBullet"/>
            </w:pPr>
            <w:r w:rsidRPr="00F16A11">
              <w:t>lifting gear safety charts</w:t>
            </w:r>
          </w:p>
          <w:p w:rsidR="00000000" w:rsidRPr="00F16A11" w:rsidP="00F16A11">
            <w:pPr>
              <w:pStyle w:val="ListBullet"/>
            </w:pPr>
            <w:r w:rsidRPr="00F16A11">
              <w:t>induction documentation</w:t>
            </w:r>
          </w:p>
          <w:p w:rsidR="00000000" w:rsidRPr="00F16A11" w:rsidP="00F16A11">
            <w:pPr>
              <w:pStyle w:val="ListBullet"/>
            </w:pPr>
            <w:r w:rsidRPr="00F16A11">
              <w:t>competency standards and training materials</w:t>
            </w:r>
          </w:p>
          <w:p w:rsidR="00000000" w:rsidRPr="00F16A11" w:rsidP="00F16A11">
            <w:pPr>
              <w:pStyle w:val="ListBullet"/>
            </w:pPr>
            <w:r w:rsidRPr="00F16A11">
              <w:t>job specifications and procedures</w:t>
            </w:r>
          </w:p>
          <w:p w:rsidR="00000000" w:rsidRPr="00F16A11" w:rsidP="00F16A11">
            <w:pPr>
              <w:pStyle w:val="ListBullet"/>
            </w:pPr>
            <w:r w:rsidRPr="00F16A11">
              <w:t>m</w:t>
            </w:r>
            <w:r w:rsidRPr="00F16A11">
              <w:t>anufacturers specifications</w:t>
            </w:r>
          </w:p>
          <w:p w:rsidR="00000000" w:rsidRPr="00F16A11" w:rsidP="00F16A11">
            <w:pPr>
              <w:pStyle w:val="ListBullet"/>
            </w:pPr>
            <w:r w:rsidRPr="00F16A11">
              <w:t>workplace operating procedures and policies</w:t>
            </w:r>
          </w:p>
          <w:p w:rsidR="00000000" w:rsidRPr="00F16A11" w:rsidP="00F16A11">
            <w:pPr>
              <w:pStyle w:val="ListBullet"/>
            </w:pPr>
            <w:r w:rsidRPr="00F16A11">
              <w:t>supplier and/or client instructions</w:t>
            </w:r>
          </w:p>
          <w:p w:rsidR="00000000" w:rsidRPr="00F16A11" w:rsidP="00F16A11">
            <w:pPr>
              <w:pStyle w:val="ListBullet"/>
            </w:pPr>
            <w:r w:rsidRPr="00F16A11">
              <w:t>communications technology equipment, oral, aural or signed communications</w:t>
            </w:r>
          </w:p>
          <w:p w:rsidR="00000000" w:rsidRPr="00F16A11" w:rsidP="00F16A11">
            <w:pPr>
              <w:pStyle w:val="ListBullet"/>
            </w:pPr>
            <w:r w:rsidRPr="00F16A11">
              <w:t>material safety data sheets</w:t>
            </w:r>
          </w:p>
          <w:p w:rsidR="00000000" w:rsidRPr="00F16A11" w:rsidP="00F16A11">
            <w:pPr>
              <w:pStyle w:val="ListBullet"/>
            </w:pPr>
            <w:r w:rsidRPr="00F16A11">
              <w:t>conditions of service, legislation and industrial agreements including:</w:t>
            </w:r>
          </w:p>
          <w:p w:rsidR="00000000" w:rsidRPr="00F16A11" w:rsidP="00F16A11">
            <w:pPr>
              <w:pStyle w:val="ListBullet2"/>
            </w:pPr>
            <w:r w:rsidRPr="00F16A11">
              <w:t>workplace agreements and awards</w:t>
            </w:r>
          </w:p>
          <w:p w:rsidR="00000000" w:rsidRPr="00F16A11" w:rsidP="00F16A11">
            <w:pPr>
              <w:pStyle w:val="ListBullet2"/>
            </w:pPr>
            <w:r w:rsidRPr="00F16A11">
              <w:t>occupational health and safety procedures</w:t>
            </w:r>
          </w:p>
          <w:p w:rsidR="00000000" w:rsidRPr="00F16A11" w:rsidP="00F16A11">
            <w:pPr>
              <w:pStyle w:val="ListBullet2"/>
            </w:pPr>
            <w:r w:rsidRPr="00F16A11">
              <w:t>standards and certification requirements</w:t>
            </w:r>
          </w:p>
          <w:p w:rsidR="00000000" w:rsidRPr="00F16A11" w:rsidP="00F16A11">
            <w:pPr>
              <w:pStyle w:val="ListBullet2"/>
            </w:pPr>
            <w:r w:rsidRPr="00F16A11">
              <w:t>quality assurance procedures</w:t>
            </w:r>
          </w:p>
          <w:p w:rsidR="00000000" w:rsidP="00F16A11">
            <w:pPr>
              <w:pStyle w:val="ListBullet2"/>
              <w:rPr>
                <w:lang w:val="en-NZ"/>
              </w:rPr>
            </w:pPr>
            <w:r w:rsidRPr="00F16A11">
              <w:t>emergency procedures</w:t>
            </w:r>
          </w:p>
        </w:tc>
      </w:tr>
      <w:tr w:rsidTr="00A659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F16A11" w:rsidP="00F16A11">
            <w:pPr>
              <w:pStyle w:val="ListBullet"/>
            </w:pPr>
            <w:r w:rsidRPr="00F16A11">
              <w:t>relevant state/territory regulations and licence/permit requirements pertaining to mobile cranes</w:t>
            </w:r>
          </w:p>
          <w:p w:rsidR="00000000" w:rsidRPr="00F16A11" w:rsidP="00F16A11">
            <w:pPr>
              <w:pStyle w:val="ListBullet"/>
            </w:pPr>
            <w:r w:rsidRPr="00F16A11">
              <w:t>relevant state/territory road rules</w:t>
            </w:r>
          </w:p>
          <w:p w:rsidR="00000000" w:rsidRPr="00F16A11" w:rsidP="00F16A11">
            <w:pPr>
              <w:pStyle w:val="ListBullet"/>
            </w:pPr>
            <w:r w:rsidRPr="00F16A11">
              <w:t>relevant state/territory OH&amp;S legislation</w:t>
            </w:r>
          </w:p>
          <w:p w:rsidR="00000000" w:rsidRPr="00F16A11" w:rsidP="00F16A11">
            <w:pPr>
              <w:pStyle w:val="ListBullet"/>
            </w:pPr>
            <w:r w:rsidRPr="00F16A11">
              <w:t>relevant state/territory fatigue ma</w:t>
            </w:r>
            <w:r w:rsidRPr="00F16A11">
              <w:t>nagement regulations</w:t>
            </w:r>
          </w:p>
          <w:p w:rsidR="00000000" w:rsidRPr="00F16A11" w:rsidP="00F16A11">
            <w:pPr>
              <w:pStyle w:val="ListBullet"/>
            </w:pPr>
            <w:r w:rsidRPr="00F16A11">
              <w:t>relevant state/territory environmental protection legislation</w:t>
            </w:r>
          </w:p>
        </w:tc>
      </w:tr>
    </w:tbl>
    <w:p w:rsidR="00A659B5" w:rsidP="00F16A11">
      <w:pPr>
        <w:pStyle w:val="BodyText"/>
      </w:pPr>
    </w:p>
    <w:p w:rsidR="00A659B5" w:rsidP="00F16A11">
      <w:pPr>
        <w:pStyle w:val="BodyText"/>
      </w:pPr>
    </w:p>
    <w:p w:rsidR="00000000" w:rsidRPr="00F16A11" w:rsidP="00F16A11">
      <w:pPr>
        <w:pStyle w:val="Heading1"/>
      </w:pPr>
      <w:bookmarkStart w:id="12" w:name="O_295759"/>
      <w:bookmarkEnd w:id="12"/>
      <w:r w:rsidRPr="00F16A11">
        <w:t>Unit Sector(s)</w:t>
      </w:r>
    </w:p>
    <w:p w:rsidR="00000000" w:rsidRPr="00F16A11" w:rsidP="00F16A11">
      <w:pPr>
        <w:pStyle w:val="BodyText"/>
      </w:pPr>
      <w:r w:rsidRPr="00F16A11">
        <w:t>Not Applicable</w:t>
      </w:r>
    </w:p>
    <w:p w:rsidR="00000000" w:rsidRPr="00F16A11" w:rsidP="00F16A11">
      <w:pPr>
        <w:pStyle w:val="AllowPageBreak"/>
      </w:pPr>
    </w:p>
    <w:p w:rsidR="00000000" w:rsidRPr="00F16A11" w:rsidP="00F16A11">
      <w:pPr>
        <w:pStyle w:val="Heading1"/>
      </w:pPr>
      <w:bookmarkStart w:id="13" w:name="O_223337"/>
      <w:bookmarkEnd w:id="13"/>
      <w:r w:rsidRPr="00F16A11">
        <w:t>Competency Field</w:t>
      </w:r>
    </w:p>
    <w:tbl>
      <w:tblPr>
        <w:tblW w:w="9640" w:type="dxa"/>
        <w:tblLayout w:type="fixed"/>
        <w:tblCellMar>
          <w:left w:w="62" w:type="dxa"/>
          <w:right w:w="62" w:type="dxa"/>
        </w:tblCellMar>
        <w:tblLook w:val="0000"/>
      </w:tblPr>
      <w:tblGrid>
        <w:gridCol w:w="2978"/>
        <w:gridCol w:w="6662"/>
      </w:tblGrid>
      <w:tr w:rsidTr="00A659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16A11">
            <w:pPr>
              <w:pStyle w:val="BodyText"/>
              <w:rPr>
                <w:lang w:val="en-NZ"/>
              </w:rPr>
            </w:pPr>
            <w:r w:rsidRPr="00F16A11">
              <w:rPr>
                <w:rStyle w:val="SpecialBold"/>
              </w:rPr>
              <w:t>Competency Field</w:t>
            </w:r>
            <w:r w:rsidRPr="00F16A11">
              <w:t xml:space="preserve"> </w:t>
            </w:r>
          </w:p>
        </w:tc>
        <w:tc>
          <w:tcPr>
            <w:tcW w:w="6662" w:type="dxa"/>
            <w:tcBorders>
              <w:top w:val="nil"/>
              <w:left w:val="nil"/>
              <w:bottom w:val="nil"/>
              <w:right w:val="nil"/>
            </w:tcBorders>
            <w:tcMar>
              <w:top w:w="0" w:type="dxa"/>
              <w:left w:w="62" w:type="dxa"/>
              <w:bottom w:w="0" w:type="dxa"/>
              <w:right w:w="62" w:type="dxa"/>
            </w:tcMar>
          </w:tcPr>
          <w:p w:rsidR="00000000" w:rsidRPr="00F16A11" w:rsidP="00F16A11">
            <w:pPr>
              <w:pStyle w:val="BodyText"/>
            </w:pPr>
            <w:r w:rsidRPr="00F16A11">
              <w:t>D - Load Handling</w:t>
            </w:r>
          </w:p>
        </w:tc>
      </w:tr>
    </w:tbl>
    <w:p w:rsidR="00A659B5" w:rsidP="00F16A11">
      <w:pPr>
        <w:pStyle w:val="BodyText"/>
      </w:pPr>
    </w:p>
    <w:p w:rsidR="00A659B5" w:rsidP="00F16A11">
      <w:pPr>
        <w:pStyle w:val="BodyText"/>
      </w:pPr>
    </w:p>
    <w:p w:rsidR="00000000" w:rsidRPr="00F16A11" w:rsidP="00F16A11"/>
    <w:sectPr w:rsidSect="00F16A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9B5" w:rsidP="00A65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B5" w:rsidP="00F16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59B5" w:rsidP="00F16A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659B5" w:rsidP="00F16A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9B5" w:rsidP="00A659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9B5" w:rsidP="00F16A11">
    <w:pPr>
      <w:pStyle w:val="Header"/>
      <w:framePr w:wrap="around"/>
    </w:pPr>
    <w:r>
      <w:fldChar w:fldCharType="begin"/>
    </w:r>
    <w:r>
      <w:instrText xml:space="preserve"> TITLE   \* MERGEFORMAT </w:instrText>
    </w:r>
    <w:r>
      <w:fldChar w:fldCharType="separate"/>
    </w:r>
    <w:r>
      <w:t>TLID3031A Rig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9B5" w:rsidP="00F16A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AE3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E9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DA4F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A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6A11"/>
    <w:pPr>
      <w:spacing w:before="360" w:after="60"/>
      <w:outlineLvl w:val="0"/>
    </w:pPr>
    <w:rPr>
      <w:sz w:val="32"/>
    </w:rPr>
  </w:style>
  <w:style w:type="paragraph" w:styleId="Heading2">
    <w:name w:val="heading 2"/>
    <w:basedOn w:val="HeadingBase"/>
    <w:next w:val="BodyText"/>
    <w:link w:val="Heading2Char"/>
    <w:qFormat/>
    <w:rsid w:val="00F16A11"/>
    <w:pPr>
      <w:keepLines/>
      <w:spacing w:before="240" w:after="120"/>
      <w:outlineLvl w:val="1"/>
    </w:pPr>
    <w:rPr>
      <w:sz w:val="28"/>
      <w:szCs w:val="40"/>
    </w:rPr>
  </w:style>
  <w:style w:type="paragraph" w:styleId="Heading3">
    <w:name w:val="heading 3"/>
    <w:basedOn w:val="HeadingBase"/>
    <w:next w:val="BodyText"/>
    <w:link w:val="Heading3Char"/>
    <w:qFormat/>
    <w:rsid w:val="00F16A11"/>
    <w:pPr>
      <w:spacing w:before="180" w:after="120"/>
      <w:outlineLvl w:val="2"/>
    </w:pPr>
    <w:rPr>
      <w:spacing w:val="-10"/>
      <w:kern w:val="32"/>
    </w:rPr>
  </w:style>
  <w:style w:type="paragraph" w:styleId="Heading4">
    <w:name w:val="heading 4"/>
    <w:basedOn w:val="HeadingBase"/>
    <w:next w:val="BodyText"/>
    <w:link w:val="Heading4Char"/>
    <w:qFormat/>
    <w:rsid w:val="00F16A11"/>
    <w:pPr>
      <w:spacing w:before="160" w:after="120"/>
      <w:outlineLvl w:val="3"/>
    </w:pPr>
    <w:rPr>
      <w:sz w:val="22"/>
    </w:rPr>
  </w:style>
  <w:style w:type="paragraph" w:styleId="Heading5">
    <w:name w:val="heading 5"/>
    <w:basedOn w:val="HeadingBase"/>
    <w:next w:val="Normal"/>
    <w:link w:val="Heading5Char"/>
    <w:qFormat/>
    <w:rsid w:val="00F16A11"/>
    <w:pPr>
      <w:spacing w:before="80"/>
      <w:outlineLvl w:val="4"/>
    </w:pPr>
    <w:rPr>
      <w:color w:val="918585"/>
      <w:sz w:val="20"/>
    </w:rPr>
  </w:style>
  <w:style w:type="paragraph" w:styleId="Heading6">
    <w:name w:val="heading 6"/>
    <w:basedOn w:val="HeadingBase"/>
    <w:next w:val="Normal"/>
    <w:link w:val="Heading6Char"/>
    <w:qFormat/>
    <w:rsid w:val="00F16A11"/>
    <w:pPr>
      <w:spacing w:before="60"/>
      <w:outlineLvl w:val="5"/>
    </w:pPr>
    <w:rPr>
      <w:color w:val="918585"/>
      <w:sz w:val="20"/>
    </w:rPr>
  </w:style>
  <w:style w:type="paragraph" w:styleId="Heading7">
    <w:name w:val="heading 7"/>
    <w:basedOn w:val="Normal"/>
    <w:next w:val="Normal"/>
    <w:link w:val="Heading7Char"/>
    <w:qFormat/>
    <w:rsid w:val="00F16A11"/>
    <w:pPr>
      <w:ind w:left="720"/>
      <w:outlineLvl w:val="6"/>
    </w:pPr>
    <w:rPr>
      <w:i/>
    </w:rPr>
  </w:style>
  <w:style w:type="paragraph" w:styleId="Heading8">
    <w:name w:val="heading 8"/>
    <w:basedOn w:val="Normal"/>
    <w:next w:val="Normal"/>
    <w:link w:val="Heading8Char"/>
    <w:qFormat/>
    <w:rsid w:val="00F16A11"/>
    <w:pPr>
      <w:ind w:left="720"/>
      <w:outlineLvl w:val="7"/>
    </w:pPr>
    <w:rPr>
      <w:i/>
    </w:rPr>
  </w:style>
  <w:style w:type="paragraph" w:styleId="Heading9">
    <w:name w:val="heading 9"/>
    <w:basedOn w:val="Normal"/>
    <w:next w:val="Normal"/>
    <w:link w:val="Heading9Char"/>
    <w:qFormat/>
    <w:rsid w:val="00F16A11"/>
    <w:pPr>
      <w:ind w:left="720"/>
      <w:outlineLvl w:val="8"/>
    </w:pPr>
    <w:rPr>
      <w:i/>
    </w:rPr>
  </w:style>
  <w:style w:type="character" w:default="1" w:styleId="DefaultParagraphFont">
    <w:name w:val="Default Paragraph Font"/>
    <w:uiPriority w:val="1"/>
    <w:unhideWhenUsed/>
    <w:rsid w:val="00F16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A11"/>
  </w:style>
  <w:style w:type="character" w:customStyle="1" w:styleId="Heading1Char">
    <w:name w:val="Heading 1 Char"/>
    <w:basedOn w:val="DefaultParagraphFont"/>
    <w:link w:val="Heading1"/>
    <w:rsid w:val="00F16A11"/>
    <w:rPr>
      <w:rFonts w:ascii="Times New Roman" w:eastAsia="Times New Roman" w:hAnsi="Times New Roman" w:cs="Times New Roman"/>
      <w:b/>
      <w:sz w:val="32"/>
      <w:szCs w:val="20"/>
      <w:lang w:eastAsia="en-US"/>
    </w:rPr>
  </w:style>
  <w:style w:type="paragraph" w:styleId="BodyText">
    <w:name w:val="Body Text"/>
    <w:basedOn w:val="Normal"/>
    <w:link w:val="BodyTextChar"/>
    <w:rsid w:val="00F16A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6A11"/>
    <w:rPr>
      <w:rFonts w:ascii="Times New Roman" w:eastAsia="Times New Roman" w:hAnsi="Times New Roman" w:cs="Times New Roman"/>
      <w:sz w:val="24"/>
      <w:lang w:val="en-US" w:eastAsia="en-US"/>
    </w:rPr>
  </w:style>
  <w:style w:type="paragraph" w:styleId="Footer">
    <w:name w:val="footer"/>
    <w:basedOn w:val="Normal"/>
    <w:link w:val="FooterChar"/>
    <w:rsid w:val="00F16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A11"/>
    <w:rPr>
      <w:rFonts w:ascii="Times New Roman" w:eastAsia="Times New Roman" w:hAnsi="Times New Roman" w:cs="Times New Roman"/>
      <w:sz w:val="16"/>
      <w:lang w:val="en-US" w:eastAsia="en-US"/>
    </w:rPr>
  </w:style>
  <w:style w:type="paragraph" w:styleId="List">
    <w:name w:val="List"/>
    <w:basedOn w:val="BodyText"/>
    <w:next w:val="BodyText"/>
    <w:rsid w:val="00F16A11"/>
    <w:pPr>
      <w:tabs>
        <w:tab w:val="left" w:pos="340"/>
      </w:tabs>
      <w:spacing w:before="60" w:after="60"/>
      <w:ind w:left="340" w:hanging="340"/>
    </w:pPr>
  </w:style>
  <w:style w:type="paragraph" w:styleId="ListBullet">
    <w:name w:val="List Bullet"/>
    <w:basedOn w:val="List"/>
    <w:rsid w:val="00F16A11"/>
    <w:pPr>
      <w:numPr>
        <w:numId w:val="13"/>
      </w:numPr>
      <w:tabs>
        <w:tab w:val="clear" w:pos="340"/>
      </w:tabs>
      <w:spacing w:before="40" w:after="40"/>
    </w:pPr>
  </w:style>
  <w:style w:type="character" w:customStyle="1" w:styleId="SpecialBold">
    <w:name w:val="Special Bold"/>
    <w:basedOn w:val="DefaultParagraphFont"/>
    <w:rsid w:val="00F16A11"/>
    <w:rPr>
      <w:b/>
      <w:spacing w:val="0"/>
    </w:rPr>
  </w:style>
  <w:style w:type="paragraph" w:styleId="ListBullet2">
    <w:name w:val="List Bullet 2"/>
    <w:basedOn w:val="List2"/>
    <w:rsid w:val="00F16A11"/>
    <w:pPr>
      <w:numPr>
        <w:numId w:val="14"/>
      </w:numPr>
      <w:tabs>
        <w:tab w:val="clear" w:pos="680"/>
      </w:tabs>
    </w:pPr>
  </w:style>
  <w:style w:type="paragraph" w:styleId="Header">
    <w:name w:val="header"/>
    <w:basedOn w:val="Normal"/>
    <w:link w:val="HeaderChar"/>
    <w:rsid w:val="00F16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A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6A11"/>
    <w:pPr>
      <w:spacing w:before="240" w:after="120"/>
      <w:outlineLvl w:val="0"/>
    </w:pPr>
    <w:rPr>
      <w:rFonts w:ascii="Times New Roman" w:hAnsi="Times New Roman"/>
      <w:b/>
      <w:sz w:val="28"/>
    </w:rPr>
  </w:style>
  <w:style w:type="paragraph" w:customStyle="1" w:styleId="AllowPageBreak">
    <w:name w:val="AllowPageBreak"/>
    <w:rsid w:val="00F16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A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6A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6A11"/>
    <w:rPr>
      <w:rFonts w:ascii="Courier New" w:eastAsia="Times New Roman" w:hAnsi="Courier New" w:cs="Times New Roman"/>
      <w:i/>
      <w:szCs w:val="20"/>
      <w:lang w:val="en-US" w:eastAsia="en-US"/>
    </w:rPr>
  </w:style>
  <w:style w:type="paragraph" w:customStyle="1" w:styleId="HeadingBase">
    <w:name w:val="Heading Base"/>
    <w:rsid w:val="00F16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A11"/>
    <w:pPr>
      <w:tabs>
        <w:tab w:val="right" w:leader="dot" w:pos="9072"/>
      </w:tabs>
      <w:ind w:left="567"/>
    </w:pPr>
    <w:rPr>
      <w:szCs w:val="22"/>
    </w:rPr>
  </w:style>
  <w:style w:type="paragraph" w:customStyle="1" w:styleId="TOCBase">
    <w:name w:val="TOC Base"/>
    <w:rsid w:val="00F16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A11"/>
    <w:pPr>
      <w:tabs>
        <w:tab w:val="right" w:leader="dot" w:pos="9072"/>
      </w:tabs>
      <w:spacing w:before="40" w:after="40"/>
      <w:ind w:left="284"/>
    </w:pPr>
    <w:rPr>
      <w:rFonts w:ascii="Times New Roman" w:hAnsi="Times New Roman"/>
    </w:rPr>
  </w:style>
  <w:style w:type="paragraph" w:styleId="TOC1">
    <w:name w:val="toc 1"/>
    <w:basedOn w:val="TOCBase"/>
    <w:next w:val="Normal"/>
    <w:rsid w:val="00F16A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6A11"/>
    <w:pPr>
      <w:spacing w:before="5040"/>
      <w:jc w:val="center"/>
    </w:pPr>
    <w:rPr>
      <w:sz w:val="48"/>
      <w:szCs w:val="72"/>
      <w:lang w:val="en-US"/>
    </w:rPr>
  </w:style>
  <w:style w:type="character" w:customStyle="1" w:styleId="TitleChar">
    <w:name w:val="Title Char"/>
    <w:basedOn w:val="DefaultParagraphFont"/>
    <w:link w:val="Title"/>
    <w:rsid w:val="00F16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A11"/>
    <w:pPr>
      <w:tabs>
        <w:tab w:val="left" w:pos="3600"/>
        <w:tab w:val="left" w:pos="3958"/>
      </w:tabs>
    </w:pPr>
  </w:style>
  <w:style w:type="paragraph" w:customStyle="1" w:styleId="Note">
    <w:name w:val="Note"/>
    <w:basedOn w:val="BodyText"/>
    <w:rsid w:val="00F16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A11"/>
    <w:pPr>
      <w:framePr w:wrap="auto" w:hAnchor="text" w:y="6049"/>
    </w:pPr>
    <w:rPr>
      <w:color w:val="000000"/>
      <w:sz w:val="40"/>
    </w:rPr>
  </w:style>
  <w:style w:type="paragraph" w:customStyle="1" w:styleId="TOCTitle">
    <w:name w:val="TOCTitle"/>
    <w:basedOn w:val="Heading1"/>
    <w:rsid w:val="00F16A11"/>
    <w:pPr>
      <w:spacing w:after="240"/>
      <w:jc w:val="center"/>
      <w:outlineLvl w:val="9"/>
    </w:pPr>
    <w:rPr>
      <w:caps/>
    </w:rPr>
  </w:style>
  <w:style w:type="paragraph" w:customStyle="1" w:styleId="Version">
    <w:name w:val="Version"/>
    <w:rsid w:val="00F16A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A11"/>
    <w:pPr>
      <w:keepNext w:val="0"/>
      <w:tabs>
        <w:tab w:val="right" w:pos="4176"/>
      </w:tabs>
      <w:ind w:left="198" w:hanging="198"/>
    </w:pPr>
    <w:rPr>
      <w:rFonts w:ascii="Garamond" w:hAnsi="Garamond"/>
    </w:rPr>
  </w:style>
  <w:style w:type="paragraph" w:styleId="IndexHeading">
    <w:name w:val="index heading"/>
    <w:basedOn w:val="Normal"/>
    <w:next w:val="Index1"/>
    <w:semiHidden/>
    <w:rsid w:val="00F16A11"/>
    <w:pPr>
      <w:spacing w:before="120" w:after="120"/>
    </w:pPr>
    <w:rPr>
      <w:rFonts w:ascii="Arial" w:hAnsi="Arial"/>
      <w:b/>
      <w:color w:val="918585"/>
      <w:sz w:val="24"/>
    </w:rPr>
  </w:style>
  <w:style w:type="paragraph" w:customStyle="1" w:styleId="Chapter">
    <w:name w:val="Chapter"/>
    <w:basedOn w:val="Normal"/>
    <w:rsid w:val="00F16A11"/>
    <w:pPr>
      <w:spacing w:before="240"/>
    </w:pPr>
    <w:rPr>
      <w:rFonts w:ascii="Times New Roman" w:hAnsi="Times New Roman"/>
      <w:smallCaps/>
      <w:spacing w:val="80"/>
      <w:sz w:val="28"/>
    </w:rPr>
  </w:style>
  <w:style w:type="paragraph" w:customStyle="1" w:styleId="InChapter">
    <w:name w:val="InChapter"/>
    <w:basedOn w:val="Heading3"/>
    <w:rsid w:val="00F16A11"/>
    <w:pPr>
      <w:spacing w:after="240"/>
      <w:outlineLvl w:val="9"/>
    </w:pPr>
    <w:rPr>
      <w:noProof/>
    </w:rPr>
  </w:style>
  <w:style w:type="paragraph" w:styleId="Index2">
    <w:name w:val="index 2"/>
    <w:basedOn w:val="Normal"/>
    <w:next w:val="Normal"/>
    <w:semiHidden/>
    <w:rsid w:val="00F16A11"/>
    <w:pPr>
      <w:tabs>
        <w:tab w:val="right" w:pos="4176"/>
      </w:tabs>
      <w:ind w:left="568" w:hanging="284"/>
    </w:pPr>
    <w:rPr>
      <w:rFonts w:ascii="Garamond" w:hAnsi="Garamond"/>
    </w:rPr>
  </w:style>
  <w:style w:type="paragraph" w:customStyle="1" w:styleId="Byline">
    <w:name w:val="Byline"/>
    <w:rsid w:val="00F16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A11"/>
    <w:pPr>
      <w:tabs>
        <w:tab w:val="clear" w:pos="3600"/>
        <w:tab w:val="clear" w:pos="3958"/>
      </w:tabs>
      <w:jc w:val="right"/>
    </w:pPr>
  </w:style>
  <w:style w:type="character" w:styleId="Emphasis">
    <w:name w:val="Emphasis"/>
    <w:basedOn w:val="DefaultParagraphFont"/>
    <w:qFormat/>
    <w:rsid w:val="00F16A11"/>
    <w:rPr>
      <w:i/>
    </w:rPr>
  </w:style>
  <w:style w:type="paragraph" w:styleId="Caption">
    <w:name w:val="caption"/>
    <w:basedOn w:val="BodyText"/>
    <w:next w:val="Normal"/>
    <w:qFormat/>
    <w:rsid w:val="00F16A11"/>
    <w:pPr>
      <w:framePr w:w="2268" w:hSpace="181" w:vSpace="181" w:wrap="around" w:vAnchor="text" w:hAnchor="page" w:x="1135" w:y="285" w:anchorLock="1"/>
    </w:pPr>
    <w:rPr>
      <w:i/>
    </w:rPr>
  </w:style>
  <w:style w:type="paragraph" w:customStyle="1" w:styleId="MiniTOCTitle">
    <w:name w:val="MiniTOCTitle"/>
    <w:basedOn w:val="Heading4"/>
    <w:rsid w:val="00F16A11"/>
    <w:pPr>
      <w:spacing w:before="240"/>
      <w:outlineLvl w:val="9"/>
    </w:pPr>
    <w:rPr>
      <w:noProof/>
      <w:sz w:val="24"/>
    </w:rPr>
  </w:style>
  <w:style w:type="paragraph" w:customStyle="1" w:styleId="MiniTOCItem">
    <w:name w:val="MiniTOCItem"/>
    <w:basedOn w:val="ListBullet"/>
    <w:rsid w:val="00F16A11"/>
    <w:pPr>
      <w:numPr>
        <w:numId w:val="0"/>
      </w:numPr>
      <w:tabs>
        <w:tab w:val="right" w:leader="dot" w:pos="6521"/>
      </w:tabs>
      <w:spacing w:before="0" w:after="0"/>
    </w:pPr>
  </w:style>
  <w:style w:type="paragraph" w:customStyle="1" w:styleId="TOFTitle">
    <w:name w:val="TOFTitle"/>
    <w:basedOn w:val="TOCTitle"/>
    <w:rsid w:val="00F16A11"/>
  </w:style>
  <w:style w:type="paragraph" w:styleId="TableofFigures">
    <w:name w:val="table of figures"/>
    <w:basedOn w:val="Normal"/>
    <w:next w:val="Normal"/>
    <w:semiHidden/>
    <w:rsid w:val="00F16A11"/>
    <w:pPr>
      <w:tabs>
        <w:tab w:val="right" w:leader="dot" w:pos="9072"/>
      </w:tabs>
      <w:ind w:left="970" w:hanging="403"/>
    </w:pPr>
    <w:rPr>
      <w:rFonts w:ascii="Times New Roman" w:hAnsi="Times New Roman"/>
      <w:b/>
    </w:rPr>
  </w:style>
  <w:style w:type="paragraph" w:styleId="ListNumber">
    <w:name w:val="List Number"/>
    <w:basedOn w:val="List"/>
    <w:rsid w:val="00F16A11"/>
    <w:pPr>
      <w:numPr>
        <w:numId w:val="11"/>
      </w:numPr>
    </w:pPr>
  </w:style>
  <w:style w:type="character" w:customStyle="1" w:styleId="WingdingSymbols">
    <w:name w:val="Wingding Symbols"/>
    <w:rsid w:val="00F16A11"/>
    <w:rPr>
      <w:rFonts w:ascii="Wingdings" w:hAnsi="Wingdings"/>
    </w:rPr>
  </w:style>
  <w:style w:type="paragraph" w:customStyle="1" w:styleId="TableHeading">
    <w:name w:val="Table Heading"/>
    <w:basedOn w:val="HeadingBase"/>
    <w:rsid w:val="00F16A11"/>
    <w:pPr>
      <w:keepLines/>
      <w:pBdr>
        <w:bottom w:val="single" w:sz="6" w:space="1" w:color="918585"/>
      </w:pBdr>
      <w:spacing w:before="240"/>
    </w:pPr>
  </w:style>
  <w:style w:type="character" w:customStyle="1" w:styleId="HotSpot">
    <w:name w:val="HotSpot"/>
    <w:rsid w:val="00F16A11"/>
    <w:rPr>
      <w:color w:val="0033CC"/>
      <w:u w:val="none"/>
    </w:rPr>
  </w:style>
  <w:style w:type="paragraph" w:customStyle="1" w:styleId="BodyTextRight">
    <w:name w:val="Body Text Right"/>
    <w:basedOn w:val="BodyText"/>
    <w:rsid w:val="00F16A11"/>
    <w:pPr>
      <w:spacing w:before="0" w:after="0"/>
      <w:jc w:val="right"/>
    </w:pPr>
  </w:style>
  <w:style w:type="paragraph" w:styleId="Index3">
    <w:name w:val="index 3"/>
    <w:basedOn w:val="ListNumber2"/>
    <w:next w:val="Normal"/>
    <w:semiHidden/>
    <w:rsid w:val="00F16A11"/>
    <w:pPr>
      <w:numPr>
        <w:numId w:val="0"/>
      </w:numPr>
      <w:tabs>
        <w:tab w:val="right" w:leader="dot" w:pos="4176"/>
      </w:tabs>
    </w:pPr>
  </w:style>
  <w:style w:type="paragraph" w:styleId="ListNumber2">
    <w:name w:val="List Number 2"/>
    <w:basedOn w:val="List2"/>
    <w:rsid w:val="00F16A11"/>
    <w:pPr>
      <w:numPr>
        <w:numId w:val="10"/>
      </w:numPr>
      <w:tabs>
        <w:tab w:val="clear" w:pos="1060"/>
      </w:tabs>
    </w:pPr>
  </w:style>
  <w:style w:type="paragraph" w:customStyle="1" w:styleId="MarginNote">
    <w:name w:val="Margin Note"/>
    <w:basedOn w:val="BodyText"/>
    <w:rsid w:val="00F16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A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6A11"/>
    <w:rPr>
      <w:sz w:val="32"/>
    </w:rPr>
  </w:style>
  <w:style w:type="paragraph" w:customStyle="1" w:styleId="HeadingProcedure">
    <w:name w:val="Heading Procedure"/>
    <w:basedOn w:val="HeadingBase"/>
    <w:next w:val="Normal"/>
    <w:rsid w:val="00F16A11"/>
    <w:pPr>
      <w:tabs>
        <w:tab w:val="left" w:pos="0"/>
      </w:tabs>
      <w:spacing w:before="120" w:after="60"/>
    </w:pPr>
    <w:rPr>
      <w:i/>
      <w:color w:val="918585"/>
      <w:sz w:val="22"/>
    </w:rPr>
  </w:style>
  <w:style w:type="paragraph" w:customStyle="1" w:styleId="TableBodyText">
    <w:name w:val="Table Body Text"/>
    <w:basedOn w:val="BodyText"/>
    <w:rsid w:val="00F16A11"/>
    <w:pPr>
      <w:spacing w:before="60" w:after="60"/>
    </w:pPr>
  </w:style>
  <w:style w:type="paragraph" w:styleId="ListContinue">
    <w:name w:val="List Continue"/>
    <w:basedOn w:val="List"/>
    <w:rsid w:val="00F16A11"/>
    <w:pPr>
      <w:ind w:firstLine="0"/>
    </w:pPr>
  </w:style>
  <w:style w:type="paragraph" w:customStyle="1" w:styleId="ListNote">
    <w:name w:val="List Note"/>
    <w:basedOn w:val="List"/>
    <w:rsid w:val="00F16A11"/>
    <w:pPr>
      <w:pBdr>
        <w:top w:val="single" w:sz="6" w:space="2" w:color="918585"/>
        <w:bottom w:val="single" w:sz="6" w:space="2" w:color="918585"/>
      </w:pBdr>
      <w:tabs>
        <w:tab w:val="left" w:pos="1021"/>
      </w:tabs>
      <w:ind w:firstLine="0"/>
    </w:pPr>
  </w:style>
  <w:style w:type="paragraph" w:customStyle="1" w:styleId="Warning">
    <w:name w:val="Warning"/>
    <w:basedOn w:val="BodyText"/>
    <w:rsid w:val="00F16A11"/>
    <w:pPr>
      <w:shd w:val="clear" w:color="auto" w:fill="D9D9D9"/>
      <w:tabs>
        <w:tab w:val="left" w:pos="992"/>
      </w:tabs>
      <w:ind w:left="119" w:right="119"/>
    </w:pPr>
    <w:rPr>
      <w:sz w:val="20"/>
    </w:rPr>
  </w:style>
  <w:style w:type="paragraph" w:customStyle="1" w:styleId="MarginIcons">
    <w:name w:val="Margin Icons"/>
    <w:basedOn w:val="BodyText"/>
    <w:rsid w:val="00F16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A11"/>
    <w:rPr>
      <w:rFonts w:ascii="Courier New" w:hAnsi="Courier New"/>
    </w:rPr>
  </w:style>
  <w:style w:type="paragraph" w:customStyle="1" w:styleId="NoteBullet">
    <w:name w:val="Note Bullet"/>
    <w:basedOn w:val="Note"/>
    <w:rsid w:val="00F16A11"/>
    <w:pPr>
      <w:tabs>
        <w:tab w:val="clear" w:pos="680"/>
      </w:tabs>
      <w:spacing w:before="60" w:after="60"/>
    </w:pPr>
  </w:style>
  <w:style w:type="paragraph" w:customStyle="1" w:styleId="SubHeading2">
    <w:name w:val="SubHeading2"/>
    <w:basedOn w:val="HeadingBase"/>
    <w:rsid w:val="00F16A11"/>
    <w:pPr>
      <w:spacing w:before="240" w:after="60"/>
    </w:pPr>
    <w:rPr>
      <w:sz w:val="20"/>
    </w:rPr>
  </w:style>
  <w:style w:type="paragraph" w:customStyle="1" w:styleId="SubHeading1">
    <w:name w:val="SubHeading1"/>
    <w:basedOn w:val="HeadingBase"/>
    <w:rsid w:val="00F16A11"/>
    <w:pPr>
      <w:spacing w:before="240" w:after="60"/>
    </w:pPr>
    <w:rPr>
      <w:color w:val="918585"/>
      <w:sz w:val="22"/>
    </w:rPr>
  </w:style>
  <w:style w:type="paragraph" w:customStyle="1" w:styleId="SideHeading">
    <w:name w:val="Side Heading"/>
    <w:basedOn w:val="HeadingBase"/>
    <w:rsid w:val="00F16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A11"/>
    <w:pPr>
      <w:numPr>
        <w:numId w:val="12"/>
      </w:numPr>
    </w:pPr>
  </w:style>
  <w:style w:type="paragraph" w:styleId="PlainText">
    <w:name w:val="Plain Text"/>
    <w:basedOn w:val="Normal"/>
    <w:link w:val="PlainTextChar"/>
    <w:rsid w:val="00F16A11"/>
    <w:rPr>
      <w:sz w:val="20"/>
    </w:rPr>
  </w:style>
  <w:style w:type="character" w:customStyle="1" w:styleId="PlainTextChar">
    <w:name w:val="Plain Text Char"/>
    <w:basedOn w:val="DefaultParagraphFont"/>
    <w:link w:val="PlainText"/>
    <w:rsid w:val="00F16A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6A11"/>
    <w:rPr>
      <w:b/>
      <w:smallCaps/>
    </w:rPr>
  </w:style>
  <w:style w:type="paragraph" w:customStyle="1" w:styleId="TableListNumber">
    <w:name w:val="Table List Number"/>
    <w:basedOn w:val="ListNumber"/>
    <w:rsid w:val="00F16A11"/>
    <w:pPr>
      <w:numPr>
        <w:numId w:val="0"/>
      </w:numPr>
    </w:pPr>
  </w:style>
  <w:style w:type="paragraph" w:styleId="TOC4">
    <w:name w:val="toc 4"/>
    <w:basedOn w:val="TOCBase"/>
    <w:next w:val="Normal"/>
    <w:semiHidden/>
    <w:rsid w:val="00F16A11"/>
    <w:pPr>
      <w:tabs>
        <w:tab w:val="right" w:leader="dot" w:pos="9071"/>
      </w:tabs>
      <w:ind w:left="1701"/>
    </w:pPr>
  </w:style>
  <w:style w:type="paragraph" w:customStyle="1" w:styleId="ListAlpha">
    <w:name w:val="List Alpha"/>
    <w:basedOn w:val="List"/>
    <w:rsid w:val="00F16A11"/>
    <w:pPr>
      <w:numPr>
        <w:numId w:val="9"/>
      </w:numPr>
    </w:pPr>
  </w:style>
  <w:style w:type="paragraph" w:customStyle="1" w:styleId="ListAlpha2">
    <w:name w:val="List Alpha 2"/>
    <w:basedOn w:val="List2"/>
    <w:rsid w:val="00F16A11"/>
    <w:pPr>
      <w:numPr>
        <w:numId w:val="8"/>
      </w:numPr>
    </w:pPr>
  </w:style>
  <w:style w:type="paragraph" w:styleId="List2">
    <w:name w:val="List 2"/>
    <w:basedOn w:val="BodyText"/>
    <w:rsid w:val="00F16A11"/>
    <w:pPr>
      <w:tabs>
        <w:tab w:val="left" w:pos="680"/>
      </w:tabs>
      <w:spacing w:before="60" w:after="60"/>
      <w:ind w:left="680" w:hanging="340"/>
    </w:pPr>
  </w:style>
  <w:style w:type="paragraph" w:styleId="List3">
    <w:name w:val="List 3"/>
    <w:basedOn w:val="BodyText"/>
    <w:rsid w:val="00F16A11"/>
    <w:pPr>
      <w:tabs>
        <w:tab w:val="left" w:pos="1021"/>
      </w:tabs>
      <w:spacing w:before="60" w:after="60"/>
      <w:ind w:left="1020" w:hanging="340"/>
    </w:pPr>
  </w:style>
  <w:style w:type="paragraph" w:styleId="List4">
    <w:name w:val="List 4"/>
    <w:basedOn w:val="BodyText"/>
    <w:rsid w:val="00F16A11"/>
    <w:pPr>
      <w:tabs>
        <w:tab w:val="left" w:pos="1361"/>
      </w:tabs>
      <w:spacing w:before="60" w:after="60"/>
      <w:ind w:left="1361" w:hanging="340"/>
    </w:pPr>
  </w:style>
  <w:style w:type="paragraph" w:styleId="List5">
    <w:name w:val="List 5"/>
    <w:basedOn w:val="BodyText"/>
    <w:rsid w:val="00F16A11"/>
    <w:pPr>
      <w:tabs>
        <w:tab w:val="left" w:pos="1701"/>
      </w:tabs>
      <w:spacing w:before="60" w:after="60"/>
      <w:ind w:left="1701" w:hanging="340"/>
    </w:pPr>
  </w:style>
  <w:style w:type="paragraph" w:styleId="ListBullet3">
    <w:name w:val="List Bullet 3"/>
    <w:basedOn w:val="List3"/>
    <w:rsid w:val="00F16A11"/>
    <w:pPr>
      <w:numPr>
        <w:numId w:val="15"/>
      </w:numPr>
      <w:tabs>
        <w:tab w:val="clear" w:pos="1021"/>
      </w:tabs>
      <w:ind w:left="1037" w:hanging="357"/>
    </w:pPr>
  </w:style>
  <w:style w:type="paragraph" w:styleId="ListBullet4">
    <w:name w:val="List Bullet 4"/>
    <w:basedOn w:val="List4"/>
    <w:rsid w:val="00F16A11"/>
    <w:pPr>
      <w:numPr>
        <w:numId w:val="3"/>
      </w:numPr>
    </w:pPr>
  </w:style>
  <w:style w:type="paragraph" w:styleId="ListBullet5">
    <w:name w:val="List Bullet 5"/>
    <w:basedOn w:val="List5"/>
    <w:rsid w:val="00F16A11"/>
    <w:pPr>
      <w:numPr>
        <w:numId w:val="4"/>
      </w:numPr>
    </w:pPr>
  </w:style>
  <w:style w:type="paragraph" w:styleId="ListContinue2">
    <w:name w:val="List Continue 2"/>
    <w:basedOn w:val="List2"/>
    <w:rsid w:val="00F16A11"/>
    <w:pPr>
      <w:ind w:firstLine="0"/>
    </w:pPr>
  </w:style>
  <w:style w:type="paragraph" w:styleId="ListContinue3">
    <w:name w:val="List Continue 3"/>
    <w:basedOn w:val="List3"/>
    <w:rsid w:val="00F16A11"/>
    <w:pPr>
      <w:ind w:left="1021" w:firstLine="0"/>
    </w:pPr>
  </w:style>
  <w:style w:type="paragraph" w:styleId="ListContinue4">
    <w:name w:val="List Continue 4"/>
    <w:basedOn w:val="List4"/>
    <w:rsid w:val="00F16A11"/>
    <w:pPr>
      <w:ind w:firstLine="0"/>
    </w:pPr>
  </w:style>
  <w:style w:type="paragraph" w:styleId="ListContinue5">
    <w:name w:val="List Continue 5"/>
    <w:basedOn w:val="List5"/>
    <w:rsid w:val="00F16A11"/>
    <w:pPr>
      <w:ind w:firstLine="0"/>
    </w:pPr>
  </w:style>
  <w:style w:type="paragraph" w:styleId="ListNumber3">
    <w:name w:val="List Number 3"/>
    <w:basedOn w:val="List3"/>
    <w:rsid w:val="00F16A11"/>
    <w:pPr>
      <w:numPr>
        <w:numId w:val="5"/>
      </w:numPr>
    </w:pPr>
  </w:style>
  <w:style w:type="paragraph" w:styleId="ListNumber4">
    <w:name w:val="List Number 4"/>
    <w:basedOn w:val="List4"/>
    <w:rsid w:val="00F16A11"/>
    <w:pPr>
      <w:numPr>
        <w:numId w:val="6"/>
      </w:numPr>
    </w:pPr>
  </w:style>
  <w:style w:type="paragraph" w:styleId="ListNumber5">
    <w:name w:val="List Number 5"/>
    <w:basedOn w:val="List5"/>
    <w:rsid w:val="00F16A11"/>
    <w:pPr>
      <w:numPr>
        <w:numId w:val="7"/>
      </w:numPr>
    </w:pPr>
  </w:style>
  <w:style w:type="paragraph" w:styleId="BlockText">
    <w:name w:val="Block Text"/>
    <w:basedOn w:val="Normal"/>
    <w:rsid w:val="00F16A11"/>
    <w:pPr>
      <w:spacing w:after="120"/>
      <w:ind w:left="1440" w:right="1440"/>
    </w:pPr>
  </w:style>
  <w:style w:type="character" w:customStyle="1" w:styleId="Subscript">
    <w:name w:val="Subscript"/>
    <w:basedOn w:val="DefaultParagraphFont"/>
    <w:rsid w:val="00F16A11"/>
    <w:rPr>
      <w:sz w:val="16"/>
      <w:vertAlign w:val="subscript"/>
    </w:rPr>
  </w:style>
  <w:style w:type="character" w:customStyle="1" w:styleId="Superscript">
    <w:name w:val="Superscript"/>
    <w:basedOn w:val="DefaultParagraphFont"/>
    <w:rsid w:val="00F16A11"/>
    <w:rPr>
      <w:sz w:val="16"/>
      <w:vertAlign w:val="superscript"/>
    </w:rPr>
  </w:style>
  <w:style w:type="character" w:customStyle="1" w:styleId="Symbols">
    <w:name w:val="Symbols"/>
    <w:basedOn w:val="DefaultParagraphFont"/>
    <w:rsid w:val="00F16A11"/>
    <w:rPr>
      <w:rFonts w:ascii="Symbol" w:hAnsi="Symbol"/>
    </w:rPr>
  </w:style>
  <w:style w:type="character" w:customStyle="1" w:styleId="MenuOptions">
    <w:name w:val="Menu Options"/>
    <w:basedOn w:val="DefaultParagraphFont"/>
    <w:rsid w:val="00F16A11"/>
    <w:rPr>
      <w:rFonts w:ascii="Arial Narrow" w:hAnsi="Arial Narrow"/>
      <w:smallCaps/>
    </w:rPr>
  </w:style>
  <w:style w:type="character" w:customStyle="1" w:styleId="Buttons">
    <w:name w:val="Buttons"/>
    <w:basedOn w:val="DefaultParagraphFont"/>
    <w:rsid w:val="00F16A11"/>
    <w:rPr>
      <w:b/>
    </w:rPr>
  </w:style>
  <w:style w:type="character" w:customStyle="1" w:styleId="Underlined">
    <w:name w:val="Underlined"/>
    <w:basedOn w:val="DefaultParagraphFont"/>
    <w:rsid w:val="00F16A11"/>
    <w:rPr>
      <w:u w:val="single"/>
    </w:rPr>
  </w:style>
  <w:style w:type="paragraph" w:customStyle="1" w:styleId="TableBodyTextRight">
    <w:name w:val="Table Body Text Right"/>
    <w:basedOn w:val="TableBodyText"/>
    <w:rsid w:val="00F16A11"/>
    <w:pPr>
      <w:widowControl w:val="0"/>
      <w:autoSpaceDE w:val="0"/>
      <w:autoSpaceDN w:val="0"/>
      <w:adjustRightInd w:val="0"/>
      <w:jc w:val="right"/>
    </w:pPr>
    <w:rPr>
      <w:rFonts w:cs="Arial"/>
      <w:szCs w:val="18"/>
    </w:rPr>
  </w:style>
  <w:style w:type="paragraph" w:customStyle="1" w:styleId="CopyrightText">
    <w:name w:val="Copyright Text"/>
    <w:basedOn w:val="BodyText"/>
    <w:rsid w:val="00F16A11"/>
    <w:rPr>
      <w:sz w:val="18"/>
    </w:rPr>
  </w:style>
  <w:style w:type="paragraph" w:customStyle="1" w:styleId="BodySmallRight">
    <w:name w:val="Body Small Right"/>
    <w:basedOn w:val="BodyTextRight"/>
    <w:rsid w:val="00F16A11"/>
    <w:rPr>
      <w:sz w:val="18"/>
      <w:szCs w:val="18"/>
    </w:rPr>
  </w:style>
  <w:style w:type="paragraph" w:customStyle="1" w:styleId="MarginEdition">
    <w:name w:val="Margin Edition"/>
    <w:basedOn w:val="MarginNote"/>
    <w:rsid w:val="00F16A11"/>
    <w:pPr>
      <w:spacing w:before="0" w:after="0"/>
    </w:pPr>
    <w:rPr>
      <w:rFonts w:ascii="Times New Roman" w:hAnsi="Times New Roman"/>
      <w:color w:val="999999"/>
    </w:rPr>
  </w:style>
  <w:style w:type="paragraph" w:customStyle="1" w:styleId="Spacer">
    <w:name w:val="Spacer"/>
    <w:basedOn w:val="Normal"/>
    <w:rsid w:val="00F16A11"/>
    <w:rPr>
      <w:sz w:val="2"/>
      <w:szCs w:val="2"/>
    </w:rPr>
  </w:style>
  <w:style w:type="character" w:customStyle="1" w:styleId="Small">
    <w:name w:val="Small"/>
    <w:basedOn w:val="DefaultParagraphFont"/>
    <w:rsid w:val="00F16A11"/>
    <w:rPr>
      <w:sz w:val="16"/>
    </w:rPr>
  </w:style>
  <w:style w:type="paragraph" w:customStyle="1" w:styleId="WideTable">
    <w:name w:val="Wide Table"/>
    <w:basedOn w:val="Normal"/>
    <w:rsid w:val="00F16A11"/>
    <w:pPr>
      <w:ind w:left="-1418"/>
    </w:pPr>
    <w:rPr>
      <w:sz w:val="2"/>
      <w:szCs w:val="2"/>
    </w:rPr>
  </w:style>
  <w:style w:type="character" w:styleId="PageNumber">
    <w:name w:val="page number"/>
    <w:basedOn w:val="DefaultParagraphFont"/>
    <w:rsid w:val="00F16A11"/>
  </w:style>
  <w:style w:type="paragraph" w:styleId="Quote">
    <w:name w:val="Quote"/>
    <w:basedOn w:val="Heading1"/>
    <w:link w:val="QuoteChar"/>
    <w:qFormat/>
    <w:rsid w:val="00F16A11"/>
    <w:rPr>
      <w:b w:val="0"/>
      <w:sz w:val="72"/>
      <w:szCs w:val="72"/>
      <w:lang w:val="en-NZ"/>
    </w:rPr>
  </w:style>
  <w:style w:type="character" w:customStyle="1" w:styleId="QuoteChar">
    <w:name w:val="Quote Char"/>
    <w:basedOn w:val="DefaultParagraphFont"/>
    <w:link w:val="Quote"/>
    <w:rsid w:val="00F16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A11"/>
    <w:pPr>
      <w:pageBreakBefore/>
    </w:pPr>
  </w:style>
  <w:style w:type="paragraph" w:customStyle="1" w:styleId="Border">
    <w:name w:val="Border"/>
    <w:basedOn w:val="Normal"/>
    <w:qFormat/>
    <w:rsid w:val="00F16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A11"/>
    <w:rPr>
      <w:b/>
      <w:bCs/>
      <w:i/>
      <w:iCs/>
      <w:color w:val="auto"/>
    </w:rPr>
  </w:style>
  <w:style w:type="paragraph" w:styleId="IntenseQuote">
    <w:name w:val="Intense Quote"/>
    <w:basedOn w:val="Normal"/>
    <w:next w:val="Normal"/>
    <w:link w:val="IntenseQuoteChar"/>
    <w:uiPriority w:val="30"/>
    <w:qFormat/>
    <w:rsid w:val="00F16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A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6A11"/>
    <w:rPr>
      <w:smallCaps/>
      <w:color w:val="auto"/>
      <w:u w:val="single"/>
    </w:rPr>
  </w:style>
  <w:style w:type="character" w:styleId="IntenseReference">
    <w:name w:val="Intense Reference"/>
    <w:basedOn w:val="DefaultParagraphFont"/>
    <w:uiPriority w:val="32"/>
    <w:qFormat/>
    <w:rsid w:val="00F16A11"/>
    <w:rPr>
      <w:b/>
      <w:bCs/>
      <w:smallCaps/>
      <w:color w:val="auto"/>
      <w:spacing w:val="5"/>
      <w:u w:val="single"/>
    </w:rPr>
  </w:style>
  <w:style w:type="paragraph" w:customStyle="1" w:styleId="2ColumnHeading">
    <w:name w:val="2Column Heading"/>
    <w:basedOn w:val="BodyText"/>
    <w:qFormat/>
    <w:rsid w:val="00F16A11"/>
    <w:pPr>
      <w:spacing w:after="60"/>
      <w:ind w:left="-2268"/>
    </w:pPr>
    <w:rPr>
      <w:b/>
    </w:rPr>
  </w:style>
  <w:style w:type="paragraph" w:customStyle="1" w:styleId="Heading1TOC">
    <w:name w:val="Heading1 TOC"/>
    <w:basedOn w:val="Normal"/>
    <w:qFormat/>
    <w:rsid w:val="00F16A11"/>
    <w:pPr>
      <w:spacing w:before="240" w:after="120"/>
    </w:pPr>
    <w:rPr>
      <w:rFonts w:ascii="Times New Roman" w:hAnsi="Times New Roman"/>
      <w:b/>
      <w:sz w:val="32"/>
    </w:rPr>
  </w:style>
  <w:style w:type="paragraph" w:customStyle="1" w:styleId="Heading2TOC">
    <w:name w:val="Heading2 TOC"/>
    <w:basedOn w:val="Normal"/>
    <w:qFormat/>
    <w:rsid w:val="00F16A11"/>
    <w:pPr>
      <w:spacing w:before="240" w:after="60"/>
    </w:pPr>
    <w:rPr>
      <w:rFonts w:ascii="Times New Roman" w:hAnsi="Times New Roman"/>
      <w:b/>
      <w:sz w:val="28"/>
    </w:rPr>
  </w:style>
  <w:style w:type="character" w:customStyle="1" w:styleId="Underline">
    <w:name w:val="Underline"/>
    <w:basedOn w:val="DefaultParagraphFont"/>
    <w:qFormat/>
    <w:rsid w:val="00F16A11"/>
    <w:rPr>
      <w:u w:val="single"/>
    </w:rPr>
  </w:style>
  <w:style w:type="character" w:customStyle="1" w:styleId="BoldandItalics">
    <w:name w:val="Bold and Italics"/>
    <w:qFormat/>
    <w:rsid w:val="00F16A11"/>
    <w:rPr>
      <w:b/>
      <w:i/>
      <w:u w:val="none"/>
    </w:rPr>
  </w:style>
  <w:style w:type="paragraph" w:styleId="BalloonText">
    <w:name w:val="Balloon Text"/>
    <w:basedOn w:val="Normal"/>
    <w:link w:val="BalloonTextChar"/>
    <w:rsid w:val="00F16A11"/>
    <w:rPr>
      <w:rFonts w:ascii="Tahoma" w:hAnsi="Tahoma" w:cs="Tahoma"/>
      <w:sz w:val="16"/>
      <w:szCs w:val="16"/>
    </w:rPr>
  </w:style>
  <w:style w:type="character" w:customStyle="1" w:styleId="BalloonTextChar">
    <w:name w:val="Balloon Text Char"/>
    <w:basedOn w:val="DefaultParagraphFont"/>
    <w:link w:val="BalloonText"/>
    <w:rsid w:val="00F16A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6A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6A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9898</Characters>
  <Application>Microsoft Office Word</Application>
  <DocSecurity>0</DocSecurity>
  <Lines>316</Lines>
  <Paragraphs>196</Paragraphs>
  <ScaleCrop>false</ScaleCrop>
  <Company>Author-it Software Corporation Ltd.</Company>
  <LinksUpToDate>false</LinksUpToDate>
  <CharactersWithSpaces>11343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TLID3031A Rig load</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2012-05-27T03:41:00Z</dcterms:created>
  <dcterms:modified xsi:type="dcterms:W3CDTF">2012-05-27T03:41:00Z</dcterms:modified>
</cp:coreProperties>
</file>