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30A1" w:rsidP="00D730A1">
      <w:pPr>
        <w:pStyle w:val="Title"/>
      </w:pPr>
      <w:r>
        <w:fldChar w:fldCharType="begin"/>
      </w:r>
      <w:r>
        <w:instrText xml:space="preserve"> TITLE   \* MERGEFORMAT </w:instrText>
      </w:r>
      <w:r>
        <w:fldChar w:fldCharType="separate"/>
      </w:r>
      <w:r>
        <w:t>TLID3023A Use specialised liquid bulk gas transfer equipment</w:t>
      </w:r>
      <w:r>
        <w:fldChar w:fldCharType="end"/>
      </w:r>
    </w:p>
    <w:p w:rsidR="00D730A1" w:rsidP="00D730A1">
      <w:pPr>
        <w:pStyle w:val="Version"/>
        <w:sectPr w:rsidSect="001C574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C574E" w:rsidP="001C574E">
      <w:pPr>
        <w:pStyle w:val="SuperHeading"/>
      </w:pPr>
      <w:r w:rsidRPr="001C574E">
        <w:t>TLID3023A Use specialised liquid bulk gas transfer equipment</w:t>
      </w:r>
    </w:p>
    <w:p w:rsidR="00000000" w:rsidRPr="001C574E" w:rsidP="001C574E">
      <w:pPr>
        <w:pStyle w:val="Heading1"/>
      </w:pPr>
      <w:bookmarkStart w:id="1" w:name="O_274062"/>
      <w:bookmarkEnd w:id="1"/>
      <w:r w:rsidRPr="001C574E">
        <w:t>Modification History</w:t>
      </w:r>
    </w:p>
    <w:p w:rsidR="00000000" w:rsidRPr="001C574E" w:rsidP="001C574E">
      <w:pPr>
        <w:pStyle w:val="BodyText"/>
      </w:pPr>
      <w:r w:rsidRPr="001C574E">
        <w:t>Not Applicable</w:t>
      </w:r>
    </w:p>
    <w:p w:rsidR="00000000" w:rsidRPr="001C574E" w:rsidP="001C574E">
      <w:pPr>
        <w:pStyle w:val="AllowPageBreak"/>
      </w:pPr>
    </w:p>
    <w:p w:rsidR="00000000" w:rsidRPr="001C574E" w:rsidP="001C574E">
      <w:pPr>
        <w:pStyle w:val="Heading1"/>
      </w:pPr>
      <w:bookmarkStart w:id="2" w:name="O_223322"/>
      <w:bookmarkEnd w:id="2"/>
      <w:r w:rsidRPr="001C574E">
        <w:t>Unit Descriptor</w:t>
      </w:r>
    </w:p>
    <w:tbl>
      <w:tblPr>
        <w:tblW w:w="9640" w:type="dxa"/>
        <w:tblLayout w:type="fixed"/>
        <w:tblCellMar>
          <w:left w:w="62" w:type="dxa"/>
          <w:right w:w="62" w:type="dxa"/>
        </w:tblCellMar>
        <w:tblLook w:val="0000"/>
      </w:tblPr>
      <w:tblGrid>
        <w:gridCol w:w="2978"/>
        <w:gridCol w:w="6662"/>
      </w:tblGrid>
      <w:tr w:rsidTr="00D730A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C574E">
            <w:pPr>
              <w:pStyle w:val="BodyText"/>
              <w:rPr>
                <w:lang w:val="en-NZ"/>
              </w:rPr>
            </w:pPr>
            <w:r w:rsidRPr="001C574E">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1C574E" w:rsidP="001C574E">
            <w:pPr>
              <w:pStyle w:val="BodyText"/>
            </w:pPr>
            <w:r w:rsidRPr="001C574E">
              <w:t xml:space="preserve">This unit involves the skills and knowledge required to use specialised bulk gas transfer </w:t>
            </w:r>
            <w:r w:rsidRPr="001C574E">
              <w:t>equipment including planning the work; transferring the gas according to regulatory and operational requirements; monitoring and operating controls; and completing all operations, as required. Licensing, legislative, regulatory or certification requirement</w:t>
            </w:r>
            <w:r w:rsidRPr="001C574E">
              <w:t>s are applicable to this unit.</w:t>
            </w:r>
          </w:p>
        </w:tc>
      </w:tr>
    </w:tbl>
    <w:p w:rsidR="00D730A1" w:rsidP="001C574E">
      <w:pPr>
        <w:pStyle w:val="BodyText"/>
      </w:pPr>
    </w:p>
    <w:p w:rsidR="00D730A1" w:rsidP="001C574E">
      <w:pPr>
        <w:pStyle w:val="BodyText"/>
      </w:pPr>
    </w:p>
    <w:p w:rsidR="00000000" w:rsidRPr="001C574E" w:rsidP="001C574E">
      <w:pPr>
        <w:pStyle w:val="Heading1"/>
      </w:pPr>
      <w:bookmarkStart w:id="3" w:name="O_223324"/>
      <w:bookmarkEnd w:id="3"/>
      <w:r w:rsidRPr="001C574E">
        <w:t>Application of the Unit</w:t>
      </w:r>
    </w:p>
    <w:tbl>
      <w:tblPr>
        <w:tblW w:w="9640" w:type="dxa"/>
        <w:tblLayout w:type="fixed"/>
        <w:tblCellMar>
          <w:left w:w="62" w:type="dxa"/>
          <w:right w:w="62" w:type="dxa"/>
        </w:tblCellMar>
        <w:tblLook w:val="0000"/>
      </w:tblPr>
      <w:tblGrid>
        <w:gridCol w:w="2978"/>
        <w:gridCol w:w="6662"/>
      </w:tblGrid>
      <w:tr w:rsidTr="00D730A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C574E">
            <w:pPr>
              <w:pStyle w:val="BodyText"/>
              <w:rPr>
                <w:lang w:val="en-NZ"/>
              </w:rPr>
            </w:pPr>
            <w:r w:rsidRPr="001C574E">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1C574E" w:rsidP="001C574E">
            <w:pPr>
              <w:pStyle w:val="BodyText"/>
            </w:pPr>
            <w:r w:rsidRPr="001C574E">
              <w:t xml:space="preserve">Work must be carried out in compliance with the ADG Code and relevant state/territory regulations concerning the use of specialised equipment </w:t>
            </w:r>
            <w:r w:rsidRPr="001C574E">
              <w:t>for the transfer of liquid bulk gas.</w:t>
            </w:r>
          </w:p>
          <w:p w:rsidR="00000000" w:rsidRPr="001C574E" w:rsidP="001C574E">
            <w:pPr>
              <w:pStyle w:val="BodyText"/>
            </w:pPr>
            <w:r w:rsidRPr="001C574E">
              <w:t>Work is performed under general supervision. It involves the application of basic principles, routine procedures and regulatory requirements to the use of specialised bulk transfer equipment to load and unload liquid bu</w:t>
            </w:r>
            <w:r w:rsidRPr="001C574E">
              <w:t>lk gas.</w:t>
            </w:r>
          </w:p>
        </w:tc>
      </w:tr>
    </w:tbl>
    <w:p w:rsidR="00D730A1" w:rsidP="001C574E">
      <w:pPr>
        <w:pStyle w:val="BodyText"/>
      </w:pPr>
    </w:p>
    <w:p w:rsidR="00D730A1" w:rsidP="001C574E">
      <w:pPr>
        <w:pStyle w:val="BodyText"/>
      </w:pPr>
    </w:p>
    <w:p w:rsidR="00000000" w:rsidRPr="001C574E" w:rsidP="001C574E">
      <w:pPr>
        <w:pStyle w:val="Heading1"/>
      </w:pPr>
      <w:bookmarkStart w:id="4" w:name="O_282322"/>
      <w:bookmarkEnd w:id="4"/>
      <w:r w:rsidRPr="001C574E">
        <w:t>Licensing/Regulatory Information</w:t>
      </w:r>
    </w:p>
    <w:p w:rsidR="00000000" w:rsidRPr="001C574E" w:rsidP="001C574E">
      <w:pPr>
        <w:pStyle w:val="BodyText"/>
      </w:pPr>
      <w:r w:rsidRPr="001C574E">
        <w:t>Refer to Unit Descriptor</w:t>
      </w:r>
    </w:p>
    <w:p w:rsidR="00000000" w:rsidRPr="001C574E" w:rsidP="001C574E">
      <w:pPr>
        <w:pStyle w:val="AllowPageBreak"/>
      </w:pPr>
    </w:p>
    <w:p w:rsidR="00000000" w:rsidRPr="001C574E" w:rsidP="001C574E">
      <w:pPr>
        <w:pStyle w:val="Heading1"/>
      </w:pPr>
      <w:bookmarkStart w:id="5" w:name="O_284772"/>
      <w:bookmarkEnd w:id="5"/>
      <w:r w:rsidRPr="001C574E">
        <w:t>Pre-Requisites</w:t>
      </w:r>
    </w:p>
    <w:p w:rsidR="00000000" w:rsidRPr="001C574E" w:rsidP="001C574E">
      <w:pPr>
        <w:pStyle w:val="BodyText"/>
      </w:pPr>
      <w:r w:rsidRPr="001C574E">
        <w:t>Not Applicable</w:t>
      </w:r>
    </w:p>
    <w:p w:rsidR="00000000" w:rsidRPr="001C574E" w:rsidP="001C574E">
      <w:pPr>
        <w:pStyle w:val="AllowPageBreak"/>
      </w:pPr>
    </w:p>
    <w:p w:rsidR="00000000" w:rsidRPr="001C574E" w:rsidP="001C574E">
      <w:pPr>
        <w:pStyle w:val="Heading1"/>
      </w:pPr>
      <w:bookmarkStart w:id="6" w:name="O_223323"/>
      <w:bookmarkEnd w:id="6"/>
      <w:r w:rsidRPr="001C574E">
        <w:t>Employability Skills Information</w:t>
      </w:r>
    </w:p>
    <w:tbl>
      <w:tblPr>
        <w:tblW w:w="9640" w:type="dxa"/>
        <w:tblLayout w:type="fixed"/>
        <w:tblCellMar>
          <w:left w:w="62" w:type="dxa"/>
          <w:right w:w="62" w:type="dxa"/>
        </w:tblCellMar>
        <w:tblLook w:val="0000"/>
      </w:tblPr>
      <w:tblGrid>
        <w:gridCol w:w="2978"/>
        <w:gridCol w:w="6662"/>
      </w:tblGrid>
      <w:tr w:rsidTr="00D730A1">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1C574E">
            <w:pPr>
              <w:pStyle w:val="BodyText"/>
              <w:rPr>
                <w:lang w:val="en-NZ"/>
              </w:rPr>
            </w:pPr>
            <w:r w:rsidRPr="001C574E">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1C574E" w:rsidP="001C574E">
            <w:pPr>
              <w:pStyle w:val="BodyText"/>
            </w:pPr>
            <w:r w:rsidRPr="001C574E">
              <w:t>This unit contains employability skills.</w:t>
            </w:r>
          </w:p>
        </w:tc>
      </w:tr>
    </w:tbl>
    <w:p w:rsidR="00D730A1" w:rsidP="001C574E">
      <w:pPr>
        <w:pStyle w:val="BodyText"/>
      </w:pPr>
    </w:p>
    <w:p w:rsidR="00D730A1" w:rsidP="001C574E">
      <w:pPr>
        <w:pStyle w:val="BodyText"/>
      </w:pPr>
    </w:p>
    <w:p w:rsidR="00000000" w:rsidRPr="001C574E" w:rsidP="001C574E">
      <w:pPr>
        <w:pStyle w:val="Heading1"/>
      </w:pPr>
      <w:bookmarkStart w:id="7" w:name="O_292108"/>
      <w:bookmarkEnd w:id="7"/>
      <w:r w:rsidRPr="001C574E">
        <w:t>Elements and Performance Criteria Pre-Content</w:t>
      </w:r>
    </w:p>
    <w:tbl>
      <w:tblPr>
        <w:tblW w:w="9640" w:type="dxa"/>
        <w:tblLayout w:type="fixed"/>
        <w:tblCellMar>
          <w:left w:w="62" w:type="dxa"/>
          <w:right w:w="62" w:type="dxa"/>
        </w:tblCellMar>
        <w:tblLook w:val="0000"/>
      </w:tblPr>
      <w:tblGrid>
        <w:gridCol w:w="2978"/>
        <w:gridCol w:w="6662"/>
      </w:tblGrid>
      <w:tr w:rsidTr="00D730A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C574E">
            <w:pPr>
              <w:pStyle w:val="BodyText"/>
              <w:rPr>
                <w:lang w:val="en-NZ"/>
              </w:rPr>
            </w:pPr>
            <w:r w:rsidRPr="001C574E">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1C574E" w:rsidP="001C574E">
            <w:pPr>
              <w:pStyle w:val="BodyText"/>
            </w:pPr>
            <w:r w:rsidRPr="001C574E">
              <w:t>Performance criteria describe the required performance needed to demonstrate achievement of the element. Assessment of performan</w:t>
            </w:r>
            <w:r w:rsidRPr="001C574E">
              <w:t>ce is to be consistent with the evidence guide.</w:t>
            </w:r>
          </w:p>
        </w:tc>
      </w:tr>
    </w:tbl>
    <w:p w:rsidR="00000000" w:rsidRPr="001C574E" w:rsidP="001C574E">
      <w:pPr>
        <w:pStyle w:val="BodyText"/>
      </w:pPr>
    </w:p>
    <w:p w:rsidR="00000000" w:rsidRPr="001C574E" w:rsidP="001C574E">
      <w:pPr>
        <w:pStyle w:val="AllowPageBreak"/>
      </w:pPr>
    </w:p>
    <w:p w:rsidR="00000000" w:rsidRPr="001C574E" w:rsidP="001C574E">
      <w:pPr>
        <w:pStyle w:val="Heading1"/>
      </w:pPr>
      <w:bookmarkStart w:id="8" w:name="O_238776"/>
      <w:bookmarkEnd w:id="8"/>
      <w:r w:rsidRPr="001C574E">
        <w:t>Elements and Performance Criteria</w:t>
      </w:r>
    </w:p>
    <w:tbl>
      <w:tblPr>
        <w:tblW w:w="9640" w:type="dxa"/>
        <w:tblLayout w:type="fixed"/>
        <w:tblCellMar>
          <w:left w:w="62" w:type="dxa"/>
          <w:right w:w="62" w:type="dxa"/>
        </w:tblCellMar>
        <w:tblLook w:val="0000"/>
      </w:tblPr>
      <w:tblGrid>
        <w:gridCol w:w="2978"/>
        <w:gridCol w:w="6662"/>
      </w:tblGrid>
      <w:tr w:rsidTr="00D730A1">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1C574E" w:rsidP="001C574E">
            <w:pPr>
              <w:pStyle w:val="List"/>
            </w:pPr>
            <w:r w:rsidRPr="001C574E">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1C574E">
            <w:pPr>
              <w:pStyle w:val="List"/>
              <w:rPr>
                <w:lang w:val="en-NZ"/>
              </w:rPr>
            </w:pPr>
            <w:r w:rsidRPr="001C574E">
              <w:rPr>
                <w:rStyle w:val="SpecialBold"/>
              </w:rPr>
              <w:t>PERFORMANCE CRITERIA</w:t>
            </w:r>
          </w:p>
        </w:tc>
      </w:tr>
      <w:tr w:rsidTr="00D730A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C574E">
            <w:pPr>
              <w:pStyle w:val="List"/>
              <w:rPr>
                <w:lang w:val="en-NZ"/>
              </w:rPr>
            </w:pPr>
            <w:r w:rsidRPr="001C574E">
              <w:rPr>
                <w:rStyle w:val="SpecialBold"/>
              </w:rPr>
              <w:t>1</w:t>
            </w:r>
            <w:r w:rsidRPr="001C574E">
              <w:tab/>
            </w:r>
            <w:r w:rsidRPr="001C574E">
              <w:rPr>
                <w:rStyle w:val="SpecialBold"/>
              </w:rPr>
              <w:t>Plan work</w:t>
            </w:r>
          </w:p>
        </w:tc>
        <w:tc>
          <w:tcPr>
            <w:tcW w:w="6662" w:type="dxa"/>
            <w:tcBorders>
              <w:top w:val="nil"/>
              <w:left w:val="nil"/>
              <w:bottom w:val="nil"/>
              <w:right w:val="nil"/>
            </w:tcBorders>
            <w:tcMar>
              <w:top w:w="0" w:type="dxa"/>
              <w:left w:w="62" w:type="dxa"/>
              <w:bottom w:w="0" w:type="dxa"/>
              <w:right w:w="62" w:type="dxa"/>
            </w:tcMar>
          </w:tcPr>
          <w:p w:rsidR="00000000" w:rsidRPr="001C574E" w:rsidP="001C574E">
            <w:pPr>
              <w:pStyle w:val="List"/>
            </w:pPr>
            <w:r w:rsidRPr="001C574E">
              <w:t>1.1</w:t>
            </w:r>
            <w:r w:rsidRPr="001C574E">
              <w:tab/>
              <w:t>Gas transfer method is identified for loading and unloading as liquefied or gaseous state</w:t>
            </w:r>
          </w:p>
          <w:p w:rsidR="00000000" w:rsidRPr="001C574E" w:rsidP="001C574E">
            <w:pPr>
              <w:pStyle w:val="List"/>
            </w:pPr>
            <w:r w:rsidRPr="001C574E">
              <w:t>1.2</w:t>
            </w:r>
            <w:r w:rsidRPr="001C574E">
              <w:tab/>
            </w:r>
            <w:r w:rsidRPr="001C574E">
              <w:t>Precautions are undertaken to eliminate all ignition sources</w:t>
            </w:r>
          </w:p>
          <w:p w:rsidR="00000000" w:rsidRPr="001C574E" w:rsidP="001C574E">
            <w:pPr>
              <w:pStyle w:val="List"/>
            </w:pPr>
            <w:r w:rsidRPr="001C574E">
              <w:t>1.3</w:t>
            </w:r>
            <w:r w:rsidRPr="001C574E">
              <w:tab/>
              <w:t>Specialised handling requirements for the particular gas are identified and relevant procedures are taken into account when planning the work</w:t>
            </w:r>
          </w:p>
          <w:p w:rsidR="00000000" w:rsidRPr="001C574E" w:rsidP="001C574E">
            <w:pPr>
              <w:pStyle w:val="List"/>
            </w:pPr>
            <w:r w:rsidRPr="001C574E">
              <w:t>1.4</w:t>
            </w:r>
            <w:r w:rsidRPr="001C574E">
              <w:tab/>
              <w:t>Traffic flow, vehicle positioning and work ar</w:t>
            </w:r>
            <w:r w:rsidRPr="001C574E">
              <w:t>ea conditions are assessed to ensure safe operation and no injury to people, or damage to equipment, loads or facilities</w:t>
            </w:r>
          </w:p>
          <w:p w:rsidR="00000000" w:rsidRPr="001C574E" w:rsidP="001C574E">
            <w:pPr>
              <w:pStyle w:val="List"/>
            </w:pPr>
            <w:r w:rsidRPr="001C574E">
              <w:t>1.5</w:t>
            </w:r>
            <w:r w:rsidRPr="001C574E">
              <w:tab/>
              <w:t>Characteristics of the gas, transfer and holding method are taken into account when evaluating procedural requirements, special pre</w:t>
            </w:r>
            <w:r w:rsidRPr="001C574E">
              <w:t>cautions for method, equipment and, where applicable, appropriate attachments to transfer the load</w:t>
            </w:r>
          </w:p>
          <w:p w:rsidR="00000000" w:rsidRPr="001C574E" w:rsidP="001C574E">
            <w:pPr>
              <w:pStyle w:val="List"/>
            </w:pPr>
            <w:r w:rsidRPr="001C574E">
              <w:t>1.6</w:t>
            </w:r>
            <w:r w:rsidRPr="001C574E">
              <w:tab/>
              <w:t>Any potential occurrences in the work area that may affect the safety and efficiency of operations are reported to the appropriate personnel</w:t>
            </w:r>
          </w:p>
          <w:p w:rsidR="00000000" w:rsidRPr="001C574E" w:rsidP="001C574E">
            <w:pPr>
              <w:pStyle w:val="List"/>
            </w:pPr>
            <w:r w:rsidRPr="001C574E">
              <w:t>1.7</w:t>
            </w:r>
            <w:r w:rsidRPr="001C574E">
              <w:tab/>
              <w:t>Gas tran</w:t>
            </w:r>
            <w:r w:rsidRPr="001C574E">
              <w:t>sfer is planned, taking into account the requirements of the load, transfer method, storage facility and transport mode, load weight, volume and viscosity and the capacity of the equipment</w:t>
            </w:r>
          </w:p>
          <w:p w:rsidR="00000000" w:rsidRPr="001C574E" w:rsidP="001C574E">
            <w:pPr>
              <w:pStyle w:val="List"/>
            </w:pPr>
            <w:r w:rsidRPr="001C574E">
              <w:t>1.8</w:t>
            </w:r>
            <w:r w:rsidRPr="001C574E">
              <w:tab/>
              <w:t>Load is checked prior to and at the completion of transfer to e</w:t>
            </w:r>
            <w:r w:rsidRPr="001C574E">
              <w:t>nsure ullage and/or maximum permitted capacity complies with ADG Code</w:t>
            </w:r>
          </w:p>
          <w:p w:rsidR="00000000" w:rsidRPr="001C574E" w:rsidP="001C574E">
            <w:pPr>
              <w:pStyle w:val="List"/>
            </w:pPr>
            <w:r w:rsidRPr="001C574E">
              <w:t>1.9</w:t>
            </w:r>
            <w:r w:rsidRPr="001C574E">
              <w:tab/>
              <w:t>Adjustments are made to process to accommodate special requirements such as temperature control, combustion, etc.</w:t>
            </w:r>
          </w:p>
          <w:p w:rsidR="00000000" w:rsidRPr="001C574E" w:rsidP="001C574E">
            <w:pPr>
              <w:pStyle w:val="List"/>
            </w:pPr>
            <w:r w:rsidRPr="001C574E">
              <w:t>1.10</w:t>
            </w:r>
            <w:r w:rsidRPr="001C574E">
              <w:tab/>
              <w:t>Required personal protective equipment, signage, barriers and s</w:t>
            </w:r>
            <w:r w:rsidRPr="001C574E">
              <w:t>pecial precautions are identified in the plan and utilised</w:t>
            </w:r>
          </w:p>
          <w:p w:rsidR="00000000" w:rsidP="001C574E">
            <w:pPr>
              <w:pStyle w:val="List"/>
              <w:rPr>
                <w:lang w:val="en-NZ"/>
              </w:rPr>
            </w:pPr>
            <w:r w:rsidRPr="001C574E">
              <w:t>1.11</w:t>
            </w:r>
            <w:r w:rsidRPr="001C574E">
              <w:tab/>
              <w:t>Procedures to deal with leakages and ruptures are identified</w:t>
            </w:r>
          </w:p>
        </w:tc>
      </w:tr>
      <w:tr w:rsidTr="00D730A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C574E">
            <w:pPr>
              <w:pStyle w:val="List"/>
              <w:rPr>
                <w:lang w:val="en-NZ"/>
              </w:rPr>
            </w:pPr>
            <w:r w:rsidRPr="001C574E">
              <w:rPr>
                <w:rStyle w:val="SpecialBold"/>
              </w:rPr>
              <w:t>2</w:t>
            </w:r>
            <w:r w:rsidRPr="001C574E">
              <w:tab/>
            </w:r>
            <w:r w:rsidRPr="001C574E">
              <w:rPr>
                <w:rStyle w:val="SpecialBold"/>
              </w:rPr>
              <w:t>Transfer material</w:t>
            </w:r>
          </w:p>
        </w:tc>
        <w:tc>
          <w:tcPr>
            <w:tcW w:w="6662" w:type="dxa"/>
            <w:tcBorders>
              <w:top w:val="nil"/>
              <w:left w:val="nil"/>
              <w:bottom w:val="nil"/>
              <w:right w:val="nil"/>
            </w:tcBorders>
            <w:tcMar>
              <w:top w:w="0" w:type="dxa"/>
              <w:left w:w="62" w:type="dxa"/>
              <w:bottom w:w="0" w:type="dxa"/>
              <w:right w:w="62" w:type="dxa"/>
            </w:tcMar>
          </w:tcPr>
          <w:p w:rsidR="00000000" w:rsidRPr="001C574E" w:rsidP="001C574E">
            <w:pPr>
              <w:pStyle w:val="List"/>
            </w:pPr>
            <w:r w:rsidRPr="001C574E">
              <w:t>2.1</w:t>
            </w:r>
            <w:r w:rsidRPr="001C574E">
              <w:tab/>
              <w:t>Equipment is prepared and any appropriate attachment fitted</w:t>
            </w:r>
          </w:p>
          <w:p w:rsidR="00000000" w:rsidRPr="001C574E" w:rsidP="001C574E">
            <w:pPr>
              <w:pStyle w:val="List"/>
            </w:pPr>
            <w:r w:rsidRPr="001C574E">
              <w:t>2.2</w:t>
            </w:r>
            <w:r w:rsidRPr="001C574E">
              <w:tab/>
              <w:t>Equipment controls are checked for correct</w:t>
            </w:r>
            <w:r w:rsidRPr="001C574E">
              <w:t xml:space="preserve"> operational status before commencing transfer</w:t>
            </w:r>
          </w:p>
          <w:p w:rsidR="00000000" w:rsidRPr="001C574E" w:rsidP="001C574E">
            <w:pPr>
              <w:pStyle w:val="List"/>
            </w:pPr>
            <w:r w:rsidRPr="001C574E">
              <w:t>2.3</w:t>
            </w:r>
            <w:r w:rsidRPr="001C574E">
              <w:tab/>
              <w:t>Instruments and gauges are monitored during operations to ensure that operation is within manufacturers specifications and enterprise schedule and safety requirements</w:t>
            </w:r>
          </w:p>
          <w:p w:rsidR="00000000" w:rsidRPr="001C574E" w:rsidP="001C574E">
            <w:pPr>
              <w:pStyle w:val="List"/>
            </w:pPr>
            <w:r w:rsidRPr="001C574E">
              <w:t>2.4</w:t>
            </w:r>
            <w:r w:rsidRPr="001C574E">
              <w:tab/>
            </w:r>
            <w:r w:rsidRPr="001C574E">
              <w:t>Speed of operation is managed for safety and efficiency of materials movement and equipment operations</w:t>
            </w:r>
          </w:p>
          <w:p w:rsidR="00000000" w:rsidP="001C574E">
            <w:pPr>
              <w:pStyle w:val="List"/>
              <w:rPr>
                <w:lang w:val="en-NZ"/>
              </w:rPr>
            </w:pPr>
            <w:r w:rsidRPr="001C574E">
              <w:t>2.5</w:t>
            </w:r>
            <w:r w:rsidRPr="001C574E">
              <w:tab/>
              <w:t>Any faults or damage to equipment are immediately reported to the appropriate personnel</w:t>
            </w:r>
          </w:p>
        </w:tc>
      </w:tr>
      <w:tr w:rsidTr="00D730A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C574E">
            <w:pPr>
              <w:pStyle w:val="List"/>
              <w:rPr>
                <w:lang w:val="en-NZ"/>
              </w:rPr>
            </w:pPr>
            <w:r w:rsidRPr="001C574E">
              <w:rPr>
                <w:rStyle w:val="SpecialBold"/>
              </w:rPr>
              <w:t>3</w:t>
            </w:r>
            <w:r w:rsidRPr="001C574E">
              <w:tab/>
            </w:r>
            <w:r w:rsidRPr="001C574E">
              <w:rPr>
                <w:rStyle w:val="SpecialBold"/>
              </w:rPr>
              <w:t>Monitor and operate controls</w:t>
            </w:r>
          </w:p>
        </w:tc>
        <w:tc>
          <w:tcPr>
            <w:tcW w:w="6662" w:type="dxa"/>
            <w:tcBorders>
              <w:top w:val="nil"/>
              <w:left w:val="nil"/>
              <w:bottom w:val="nil"/>
              <w:right w:val="nil"/>
            </w:tcBorders>
            <w:tcMar>
              <w:top w:w="0" w:type="dxa"/>
              <w:left w:w="62" w:type="dxa"/>
              <w:bottom w:w="0" w:type="dxa"/>
              <w:right w:w="62" w:type="dxa"/>
            </w:tcMar>
          </w:tcPr>
          <w:p w:rsidR="00000000" w:rsidRPr="001C574E" w:rsidP="001C574E">
            <w:pPr>
              <w:pStyle w:val="List"/>
            </w:pPr>
            <w:r w:rsidRPr="001C574E">
              <w:t>3.1</w:t>
            </w:r>
            <w:r w:rsidRPr="001C574E">
              <w:tab/>
              <w:t>Equipment controls are mo</w:t>
            </w:r>
            <w:r w:rsidRPr="001C574E">
              <w:t>nitored and operated in accordance with manufacturers operating instructions</w:t>
            </w:r>
          </w:p>
          <w:p w:rsidR="00000000" w:rsidRPr="001C574E" w:rsidP="001C574E">
            <w:pPr>
              <w:pStyle w:val="List"/>
            </w:pPr>
            <w:r w:rsidRPr="001C574E">
              <w:t>3.2</w:t>
            </w:r>
            <w:r w:rsidRPr="001C574E">
              <w:tab/>
              <w:t>Control systems are monitored in accordance with statutory authority regulations, manufacturers guidelines and site operating procedures</w:t>
            </w:r>
          </w:p>
          <w:p w:rsidR="00000000" w:rsidRPr="001C574E" w:rsidP="001C574E">
            <w:pPr>
              <w:pStyle w:val="List"/>
            </w:pPr>
            <w:r w:rsidRPr="001C574E">
              <w:t>3.3</w:t>
            </w:r>
            <w:r w:rsidRPr="001C574E">
              <w:tab/>
              <w:t>Gas is transferred ensuring no inj</w:t>
            </w:r>
            <w:r w:rsidRPr="001C574E">
              <w:t>ury to personnel or damage to equipment or goods</w:t>
            </w:r>
          </w:p>
          <w:p w:rsidR="00000000" w:rsidP="001C574E">
            <w:pPr>
              <w:pStyle w:val="List"/>
              <w:rPr>
                <w:lang w:val="en-NZ"/>
              </w:rPr>
            </w:pPr>
            <w:r w:rsidRPr="001C574E">
              <w:t>3.4</w:t>
            </w:r>
            <w:r w:rsidRPr="001C574E">
              <w:tab/>
              <w:t>Faults are identified and reported in accordance with enterprise guidelines</w:t>
            </w:r>
          </w:p>
        </w:tc>
      </w:tr>
      <w:tr w:rsidTr="00D730A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C574E">
            <w:pPr>
              <w:pStyle w:val="List"/>
              <w:rPr>
                <w:lang w:val="en-NZ"/>
              </w:rPr>
            </w:pPr>
            <w:r w:rsidRPr="001C574E">
              <w:rPr>
                <w:rStyle w:val="SpecialBold"/>
              </w:rPr>
              <w:t>4</w:t>
            </w:r>
            <w:r w:rsidRPr="001C574E">
              <w:tab/>
            </w:r>
            <w:r w:rsidRPr="001C574E">
              <w:rPr>
                <w:rStyle w:val="SpecialBold"/>
              </w:rPr>
              <w:t>Complete operations</w:t>
            </w:r>
          </w:p>
        </w:tc>
        <w:tc>
          <w:tcPr>
            <w:tcW w:w="6662" w:type="dxa"/>
            <w:tcBorders>
              <w:top w:val="nil"/>
              <w:left w:val="nil"/>
              <w:bottom w:val="nil"/>
              <w:right w:val="nil"/>
            </w:tcBorders>
            <w:tcMar>
              <w:top w:w="0" w:type="dxa"/>
              <w:left w:w="62" w:type="dxa"/>
              <w:bottom w:w="0" w:type="dxa"/>
              <w:right w:w="62" w:type="dxa"/>
            </w:tcMar>
          </w:tcPr>
          <w:p w:rsidR="00000000" w:rsidRPr="001C574E" w:rsidP="001C574E">
            <w:pPr>
              <w:pStyle w:val="List"/>
            </w:pPr>
            <w:r w:rsidRPr="001C574E">
              <w:t>4.1</w:t>
            </w:r>
            <w:r w:rsidRPr="001C574E">
              <w:tab/>
              <w:t>Equipment is shut down within manufacturers guidelines without injury to personnel or damage to equi</w:t>
            </w:r>
            <w:r w:rsidRPr="001C574E">
              <w:t>pment, loads or facilities in accordance with enterprise procedures</w:t>
            </w:r>
          </w:p>
          <w:p w:rsidR="00000000" w:rsidRPr="001C574E" w:rsidP="001C574E">
            <w:pPr>
              <w:pStyle w:val="List"/>
            </w:pPr>
            <w:r w:rsidRPr="001C574E">
              <w:t>4.2</w:t>
            </w:r>
            <w:r w:rsidRPr="001C574E">
              <w:tab/>
              <w:t>Clean up methods for transfer equipment are completed following workplace procedures</w:t>
            </w:r>
          </w:p>
          <w:p w:rsidR="00000000" w:rsidRPr="001C574E" w:rsidP="001C574E">
            <w:pPr>
              <w:pStyle w:val="List"/>
            </w:pPr>
            <w:r w:rsidRPr="001C574E">
              <w:t>4.3</w:t>
            </w:r>
            <w:r w:rsidRPr="001C574E">
              <w:tab/>
              <w:t>Equipment is secured in accordance with securing procedures for the appropriate equipment</w:t>
            </w:r>
          </w:p>
          <w:p w:rsidR="00000000" w:rsidRPr="001C574E" w:rsidP="001C574E">
            <w:pPr>
              <w:pStyle w:val="List"/>
            </w:pPr>
            <w:r w:rsidRPr="001C574E">
              <w:t>4.4</w:t>
            </w:r>
            <w:r w:rsidRPr="001C574E">
              <w:tab/>
              <w:t>W</w:t>
            </w:r>
            <w:r w:rsidRPr="001C574E">
              <w:t>orkplace documentation is completed and filed following enterprise procedures</w:t>
            </w:r>
          </w:p>
        </w:tc>
      </w:tr>
    </w:tbl>
    <w:p w:rsidR="00D730A1" w:rsidP="001C574E">
      <w:pPr>
        <w:pStyle w:val="BodyText"/>
      </w:pPr>
    </w:p>
    <w:p w:rsidR="00D730A1" w:rsidP="001C574E">
      <w:pPr>
        <w:pStyle w:val="BodyText"/>
      </w:pPr>
    </w:p>
    <w:p w:rsidR="00000000" w:rsidRPr="001C574E" w:rsidP="001C574E">
      <w:pPr>
        <w:pStyle w:val="Heading1"/>
      </w:pPr>
      <w:bookmarkStart w:id="9" w:name="O_262567"/>
      <w:bookmarkEnd w:id="9"/>
      <w:r w:rsidRPr="001C574E">
        <w:t>Required Skills and Knowledge</w:t>
      </w:r>
    </w:p>
    <w:tbl>
      <w:tblPr>
        <w:tblW w:w="9640" w:type="dxa"/>
        <w:tblLayout w:type="fixed"/>
        <w:tblCellMar>
          <w:left w:w="62" w:type="dxa"/>
          <w:right w:w="62" w:type="dxa"/>
        </w:tblCellMar>
        <w:tblLook w:val="0000"/>
      </w:tblPr>
      <w:tblGrid>
        <w:gridCol w:w="9640"/>
      </w:tblGrid>
      <w:tr w:rsidTr="00D730A1">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1C574E">
            <w:pPr>
              <w:pStyle w:val="BodyText"/>
              <w:rPr>
                <w:lang w:val="en-NZ"/>
              </w:rPr>
            </w:pPr>
            <w:r w:rsidRPr="001C574E">
              <w:rPr>
                <w:rStyle w:val="SpecialBold"/>
              </w:rPr>
              <w:t>REQUIRED KNOWLEDGE AND SKILLS</w:t>
            </w:r>
          </w:p>
        </w:tc>
      </w:tr>
      <w:tr w:rsidTr="00D730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574E">
            <w:pPr>
              <w:pStyle w:val="BodyText"/>
              <w:rPr>
                <w:lang w:val="en-NZ"/>
              </w:rPr>
            </w:pPr>
            <w:r w:rsidRPr="001C574E">
              <w:t>This describes the essential knowledge and skills and their level required for this unit.</w:t>
            </w:r>
          </w:p>
        </w:tc>
      </w:tr>
      <w:tr w:rsidTr="00D730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574E">
            <w:pPr>
              <w:pStyle w:val="BodyText"/>
              <w:rPr>
                <w:lang w:val="en-NZ"/>
              </w:rPr>
            </w:pPr>
            <w:r w:rsidRPr="001C574E">
              <w:rPr>
                <w:rStyle w:val="SpecialBold"/>
              </w:rPr>
              <w:t>Required knowledge</w:t>
            </w:r>
            <w:r w:rsidRPr="001C574E">
              <w:t>:</w:t>
            </w:r>
          </w:p>
        </w:tc>
      </w:tr>
      <w:tr w:rsidTr="00D730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574E">
            <w:pPr>
              <w:pStyle w:val="ListBullet"/>
              <w:rPr>
                <w:lang w:val="en-NZ"/>
              </w:rPr>
            </w:pPr>
            <w:r w:rsidRPr="001C574E">
              <w:t>Australian Dangerous Goods Code and relevant state/territory mass and loading regulations as they apply to vehicles transporting liquid bulk gas</w:t>
            </w:r>
          </w:p>
        </w:tc>
      </w:tr>
      <w:tr w:rsidTr="00D730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574E">
            <w:pPr>
              <w:pStyle w:val="ListBullet"/>
              <w:rPr>
                <w:lang w:val="en-NZ"/>
              </w:rPr>
            </w:pPr>
            <w:r w:rsidRPr="001C574E">
              <w:t>OH&amp;S procedures and guidelines concerning the use of specialised bulk transfer equipment</w:t>
            </w:r>
          </w:p>
        </w:tc>
      </w:tr>
      <w:tr w:rsidTr="00D730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574E">
            <w:pPr>
              <w:pStyle w:val="ListBullet"/>
              <w:rPr>
                <w:lang w:val="en-NZ"/>
              </w:rPr>
            </w:pPr>
            <w:r w:rsidRPr="001C574E">
              <w:t>Risks when transferring liquid bulk gas and related precautions to control the risk</w:t>
            </w:r>
          </w:p>
        </w:tc>
      </w:tr>
      <w:tr w:rsidTr="00D730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574E">
            <w:pPr>
              <w:pStyle w:val="ListBullet"/>
              <w:rPr>
                <w:lang w:val="en-NZ"/>
              </w:rPr>
            </w:pPr>
            <w:r w:rsidRPr="001C574E">
              <w:t>Workplace procedures and policies for the efficient use of specialised equipmen</w:t>
            </w:r>
            <w:r w:rsidRPr="001C574E">
              <w:t>t to transfer liquid bulk gas</w:t>
            </w:r>
          </w:p>
        </w:tc>
      </w:tr>
      <w:tr w:rsidTr="00D730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574E">
            <w:pPr>
              <w:pStyle w:val="ListBullet"/>
              <w:rPr>
                <w:lang w:val="en-NZ"/>
              </w:rPr>
            </w:pPr>
            <w:r w:rsidRPr="001C574E">
              <w:t>Housekeeping standards procedures required in the workplace</w:t>
            </w:r>
          </w:p>
        </w:tc>
      </w:tr>
      <w:tr w:rsidTr="00D730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574E">
            <w:pPr>
              <w:pStyle w:val="ListBullet"/>
              <w:rPr>
                <w:lang w:val="en-NZ"/>
              </w:rPr>
            </w:pPr>
            <w:r w:rsidRPr="001C574E">
              <w:t>Methods of securing a vehicle following transfer of liquid bulk gas</w:t>
            </w:r>
          </w:p>
        </w:tc>
      </w:tr>
      <w:tr w:rsidTr="00D730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1C574E" w:rsidP="001C574E">
            <w:pPr>
              <w:pStyle w:val="ListBullet"/>
            </w:pPr>
            <w:r w:rsidRPr="001C574E">
              <w:t>Relevant permit and licence requirements</w:t>
            </w:r>
          </w:p>
        </w:tc>
      </w:tr>
    </w:tbl>
    <w:p w:rsidR="00000000" w:rsidRPr="001C574E" w:rsidP="001C574E">
      <w:pPr>
        <w:pStyle w:val="BodyText"/>
      </w:pPr>
    </w:p>
    <w:tbl>
      <w:tblPr>
        <w:tblW w:w="9640" w:type="dxa"/>
        <w:tblLayout w:type="fixed"/>
        <w:tblCellMar>
          <w:left w:w="62" w:type="dxa"/>
          <w:right w:w="62" w:type="dxa"/>
        </w:tblCellMar>
        <w:tblLook w:val="0000"/>
      </w:tblPr>
      <w:tblGrid>
        <w:gridCol w:w="9640"/>
      </w:tblGrid>
      <w:tr w:rsidTr="00D730A1">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1C574E">
            <w:pPr>
              <w:pStyle w:val="BodyText"/>
              <w:rPr>
                <w:lang w:val="en-NZ"/>
              </w:rPr>
            </w:pPr>
            <w:r w:rsidRPr="001C574E">
              <w:rPr>
                <w:rStyle w:val="SpecialBold"/>
              </w:rPr>
              <w:t>Required skills</w:t>
            </w:r>
            <w:r w:rsidRPr="001C574E">
              <w:t>:</w:t>
            </w:r>
          </w:p>
        </w:tc>
      </w:tr>
      <w:tr w:rsidTr="00D730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574E">
            <w:pPr>
              <w:pStyle w:val="ListBullet"/>
              <w:rPr>
                <w:lang w:val="en-NZ"/>
              </w:rPr>
            </w:pPr>
            <w:r w:rsidRPr="001C574E">
              <w:t>Communicate effectively with others when using specialised equipment to transfer liquid bulk gas</w:t>
            </w:r>
          </w:p>
        </w:tc>
      </w:tr>
      <w:tr w:rsidTr="00D730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574E">
            <w:pPr>
              <w:pStyle w:val="ListBullet"/>
              <w:rPr>
                <w:lang w:val="en-NZ"/>
              </w:rPr>
            </w:pPr>
            <w:r w:rsidRPr="001C574E">
              <w:t>Read and interpret instructions, procedures, information and signs relevant to the transfer of liquid bulk gas using specialised equipment</w:t>
            </w:r>
          </w:p>
        </w:tc>
      </w:tr>
      <w:tr w:rsidTr="00D730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574E">
            <w:pPr>
              <w:pStyle w:val="ListBullet"/>
              <w:rPr>
                <w:lang w:val="en-NZ"/>
              </w:rPr>
            </w:pPr>
            <w:r w:rsidRPr="001C574E">
              <w:t>Interpret and fo</w:t>
            </w:r>
            <w:r w:rsidRPr="001C574E">
              <w:t>llow operational instructions and prioritise work</w:t>
            </w:r>
          </w:p>
        </w:tc>
      </w:tr>
      <w:tr w:rsidTr="00D730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574E">
            <w:pPr>
              <w:pStyle w:val="ListBullet"/>
              <w:rPr>
                <w:lang w:val="en-NZ"/>
              </w:rPr>
            </w:pPr>
            <w:r w:rsidRPr="001C574E">
              <w:t>Complete documentation related to the transfer of liquid bulk gas using specialised equipment</w:t>
            </w:r>
          </w:p>
        </w:tc>
      </w:tr>
      <w:tr w:rsidTr="00D730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574E">
            <w:pPr>
              <w:pStyle w:val="ListBullet"/>
              <w:rPr>
                <w:lang w:val="en-NZ"/>
              </w:rPr>
            </w:pPr>
            <w:r w:rsidRPr="001C574E">
              <w:t>Operate electronic communication equipment to required protocol</w:t>
            </w:r>
          </w:p>
        </w:tc>
      </w:tr>
      <w:tr w:rsidTr="00D730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574E">
            <w:pPr>
              <w:pStyle w:val="ListBullet"/>
              <w:rPr>
                <w:lang w:val="en-NZ"/>
              </w:rPr>
            </w:pPr>
            <w:r w:rsidRPr="001C574E">
              <w:t>Work collaboratively with others when using specialised equipment to transfer liquid bulk gas</w:t>
            </w:r>
          </w:p>
        </w:tc>
      </w:tr>
      <w:tr w:rsidTr="00D730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574E">
            <w:pPr>
              <w:pStyle w:val="ListBullet"/>
              <w:rPr>
                <w:lang w:val="en-NZ"/>
              </w:rPr>
            </w:pPr>
            <w:r w:rsidRPr="001C574E">
              <w:t>Adapt appropriately to cultural differences in the workplace, including modes of behaviour and interactions with others</w:t>
            </w:r>
          </w:p>
        </w:tc>
      </w:tr>
      <w:tr w:rsidTr="00D730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574E">
            <w:pPr>
              <w:pStyle w:val="ListBullet"/>
              <w:rPr>
                <w:lang w:val="en-NZ"/>
              </w:rPr>
            </w:pPr>
            <w:r w:rsidRPr="001C574E">
              <w:t>Promptly report and/or rectify any ide</w:t>
            </w:r>
            <w:r w:rsidRPr="001C574E">
              <w:t>ntified problems, faults or malfunctions that may occur when using specialised equipment to transfer liquid bulk gas in accordance with regulatory requirements and workplace procedures</w:t>
            </w:r>
          </w:p>
        </w:tc>
      </w:tr>
      <w:tr w:rsidTr="00D730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574E">
            <w:pPr>
              <w:pStyle w:val="ListBullet"/>
              <w:rPr>
                <w:lang w:val="en-NZ"/>
              </w:rPr>
            </w:pPr>
            <w:r w:rsidRPr="001C574E">
              <w:t>Implement contingency plans for unexpected events that may arise when</w:t>
            </w:r>
            <w:r w:rsidRPr="001C574E">
              <w:t xml:space="preserve"> using specialised equipment to transfer liquid bulk gas</w:t>
            </w:r>
          </w:p>
        </w:tc>
      </w:tr>
      <w:tr w:rsidTr="00D730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574E">
            <w:pPr>
              <w:pStyle w:val="ListBullet"/>
              <w:rPr>
                <w:lang w:val="en-NZ"/>
              </w:rPr>
            </w:pPr>
            <w:r w:rsidRPr="001C574E">
              <w:t>Apply precautions and required action to minimise, control or eliminate hazards that may exist during the transfer of liquid bulk gas using specialised equipment</w:t>
            </w:r>
          </w:p>
        </w:tc>
      </w:tr>
      <w:tr w:rsidTr="00D730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574E">
            <w:pPr>
              <w:pStyle w:val="ListBullet"/>
              <w:rPr>
                <w:lang w:val="en-NZ"/>
              </w:rPr>
            </w:pPr>
            <w:r w:rsidRPr="001C574E">
              <w:t xml:space="preserve">Monitor work activities in terms </w:t>
            </w:r>
            <w:r w:rsidRPr="001C574E">
              <w:t>of planned schedule</w:t>
            </w:r>
          </w:p>
        </w:tc>
      </w:tr>
      <w:tr w:rsidTr="00D730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574E">
            <w:pPr>
              <w:pStyle w:val="ListBullet"/>
              <w:rPr>
                <w:lang w:val="en-NZ"/>
              </w:rPr>
            </w:pPr>
            <w:r w:rsidRPr="001C574E">
              <w:t>Modify activities depending on differing operational contingencies, risk situations and environments</w:t>
            </w:r>
          </w:p>
        </w:tc>
      </w:tr>
      <w:tr w:rsidTr="00D730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574E">
            <w:pPr>
              <w:pStyle w:val="ListBullet"/>
              <w:rPr>
                <w:lang w:val="en-NZ"/>
              </w:rPr>
            </w:pPr>
            <w:r w:rsidRPr="001C574E">
              <w:t>Work systematically with required attention to detail without injury to self or others, or damage to product or equipment</w:t>
            </w:r>
          </w:p>
        </w:tc>
      </w:tr>
      <w:tr w:rsidTr="00D730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574E">
            <w:pPr>
              <w:pStyle w:val="ListBullet"/>
              <w:rPr>
                <w:lang w:val="en-NZ"/>
              </w:rPr>
            </w:pPr>
            <w:r w:rsidRPr="001C574E">
              <w:t>Operate and adapt to differences in transfer equipment in accordance with standard operating procedures</w:t>
            </w:r>
          </w:p>
        </w:tc>
      </w:tr>
      <w:tr w:rsidTr="00D730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574E">
            <w:pPr>
              <w:pStyle w:val="ListBullet"/>
              <w:rPr>
                <w:lang w:val="en-NZ"/>
              </w:rPr>
            </w:pPr>
            <w:r w:rsidRPr="001C574E">
              <w:t>Monitor performance of transfer equipment</w:t>
            </w:r>
          </w:p>
        </w:tc>
      </w:tr>
      <w:tr w:rsidTr="00D730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574E">
            <w:pPr>
              <w:pStyle w:val="ListBullet"/>
              <w:rPr>
                <w:lang w:val="en-NZ"/>
              </w:rPr>
            </w:pPr>
            <w:r w:rsidRPr="001C574E">
              <w:t>Service transfer equipment in terms of maintenance schedule and standard operating procedures</w:t>
            </w:r>
          </w:p>
        </w:tc>
      </w:tr>
      <w:tr w:rsidTr="00D730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1C574E" w:rsidP="001C574E">
            <w:pPr>
              <w:pStyle w:val="ListBullet"/>
            </w:pPr>
            <w:r w:rsidRPr="001C574E">
              <w:t>Select and</w:t>
            </w:r>
            <w:r w:rsidRPr="001C574E">
              <w:t xml:space="preserve"> use required personal protective equipment conforming to industry and OH&amp;S standards</w:t>
            </w:r>
          </w:p>
        </w:tc>
      </w:tr>
    </w:tbl>
    <w:p w:rsidR="00D730A1" w:rsidP="001C574E">
      <w:pPr>
        <w:pStyle w:val="BodyText"/>
      </w:pPr>
    </w:p>
    <w:p w:rsidR="00D730A1" w:rsidP="001C574E">
      <w:pPr>
        <w:pStyle w:val="BodyText"/>
      </w:pPr>
    </w:p>
    <w:p w:rsidR="00000000" w:rsidRPr="001C574E" w:rsidP="001C574E">
      <w:pPr>
        <w:pStyle w:val="Heading1"/>
      </w:pPr>
      <w:bookmarkStart w:id="10" w:name="O_246760"/>
      <w:bookmarkEnd w:id="10"/>
      <w:r w:rsidRPr="001C574E">
        <w:t>Evidence Guide</w:t>
      </w:r>
    </w:p>
    <w:tbl>
      <w:tblPr>
        <w:tblW w:w="9499" w:type="dxa"/>
        <w:tblLayout w:type="fixed"/>
        <w:tblCellMar>
          <w:left w:w="62" w:type="dxa"/>
          <w:right w:w="62" w:type="dxa"/>
        </w:tblCellMar>
        <w:tblLook w:val="0000"/>
      </w:tblPr>
      <w:tblGrid>
        <w:gridCol w:w="3524"/>
        <w:gridCol w:w="5975"/>
      </w:tblGrid>
      <w:tr w:rsidTr="00D730A1">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1C574E">
            <w:pPr>
              <w:pStyle w:val="BodyText"/>
              <w:rPr>
                <w:lang w:val="en-NZ"/>
              </w:rPr>
            </w:pPr>
            <w:r w:rsidRPr="001C574E">
              <w:rPr>
                <w:rStyle w:val="SpecialBold"/>
              </w:rPr>
              <w:t>EVIDENCE GUIDE</w:t>
            </w:r>
          </w:p>
        </w:tc>
      </w:tr>
      <w:tr w:rsidTr="00D730A1">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1C574E">
            <w:pPr>
              <w:pStyle w:val="BodyText"/>
              <w:rPr>
                <w:lang w:val="en-NZ"/>
              </w:rPr>
            </w:pPr>
            <w:r w:rsidRPr="001C574E">
              <w:t>The evidence guide provides advice on assessment and must be read in conjunction with the performance criteria, required knowledge and skills, the range statement and the assessment guidelines for this Training Package.</w:t>
            </w:r>
          </w:p>
        </w:tc>
      </w:tr>
      <w:tr w:rsidTr="00D730A1">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1C574E">
            <w:pPr>
              <w:pStyle w:val="BodyText"/>
              <w:rPr>
                <w:lang w:val="en-NZ"/>
              </w:rPr>
            </w:pPr>
            <w:r w:rsidRPr="001C574E">
              <w:rPr>
                <w:rStyle w:val="SpecialBold"/>
              </w:rPr>
              <w:t>Critical aspects for assessment an</w:t>
            </w:r>
            <w:r w:rsidRPr="001C574E">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1C574E" w:rsidP="001C574E">
            <w:pPr>
              <w:pStyle w:val="ListBullet"/>
            </w:pPr>
            <w:r w:rsidRPr="001C574E">
              <w:t>The evidence required to demonstrate competency in this unit must be relevant to and satisfy all of the requirements of the elements and performance criteria of this unit and include demonstration</w:t>
            </w:r>
            <w:r w:rsidRPr="001C574E">
              <w:t xml:space="preserve"> of applying:</w:t>
            </w:r>
          </w:p>
          <w:p w:rsidR="00000000" w:rsidRPr="001C574E" w:rsidP="001C574E">
            <w:pPr>
              <w:pStyle w:val="ListBullet2"/>
            </w:pPr>
            <w:r w:rsidRPr="001C574E">
              <w:t>the underpinning knowledge and skills</w:t>
            </w:r>
          </w:p>
          <w:p w:rsidR="00000000" w:rsidRPr="001C574E" w:rsidP="001C574E">
            <w:pPr>
              <w:pStyle w:val="ListBullet2"/>
            </w:pPr>
            <w:r w:rsidRPr="001C574E">
              <w:t>relevant legislation and workplace procedures</w:t>
            </w:r>
          </w:p>
          <w:p w:rsidR="00000000" w:rsidP="001C574E">
            <w:pPr>
              <w:pStyle w:val="ListBullet2"/>
              <w:rPr>
                <w:lang w:val="en-NZ"/>
              </w:rPr>
            </w:pPr>
            <w:r w:rsidRPr="001C574E">
              <w:t>other relevant aspects of the range statement</w:t>
            </w:r>
          </w:p>
        </w:tc>
      </w:tr>
      <w:tr w:rsidTr="00D730A1">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1C574E">
            <w:pPr>
              <w:pStyle w:val="BodyText"/>
              <w:rPr>
                <w:lang w:val="en-NZ"/>
              </w:rPr>
            </w:pPr>
            <w:r w:rsidRPr="001C574E">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1C574E" w:rsidP="001C574E">
            <w:pPr>
              <w:pStyle w:val="ListBullet"/>
            </w:pPr>
            <w:r w:rsidRPr="001C574E">
              <w:t>Performance is demonstrated consistently over a period of time and in a suitable range of contexts</w:t>
            </w:r>
          </w:p>
          <w:p w:rsidR="00000000" w:rsidRPr="001C574E" w:rsidP="001C574E">
            <w:pPr>
              <w:pStyle w:val="ListBullet"/>
            </w:pPr>
            <w:r w:rsidRPr="001C574E">
              <w:t>Resources for assessment include:</w:t>
            </w:r>
          </w:p>
          <w:p w:rsidR="00000000" w:rsidRPr="001C574E" w:rsidP="001C574E">
            <w:pPr>
              <w:pStyle w:val="ListBullet2"/>
            </w:pPr>
            <w:r w:rsidRPr="001C574E">
              <w:t>a range of relevant exercises, case studies and/or other simulated practical and knowledge assessment, and/or</w:t>
            </w:r>
          </w:p>
          <w:p w:rsidR="00000000" w:rsidRPr="001C574E" w:rsidP="001C574E">
            <w:pPr>
              <w:pStyle w:val="ListBullet2"/>
            </w:pPr>
            <w:r w:rsidRPr="001C574E">
              <w:t>access to an appropriate range of relevant operational situations in the workplace</w:t>
            </w:r>
          </w:p>
          <w:p w:rsidR="00000000" w:rsidRPr="001C574E" w:rsidP="001C574E">
            <w:pPr>
              <w:pStyle w:val="ListBullet"/>
            </w:pPr>
            <w:r w:rsidRPr="001C574E">
              <w:t>In both real and simulated environments, access is required to:</w:t>
            </w:r>
          </w:p>
          <w:p w:rsidR="00000000" w:rsidRPr="001C574E" w:rsidP="001C574E">
            <w:pPr>
              <w:pStyle w:val="ListBullet2"/>
            </w:pPr>
            <w:r w:rsidRPr="001C574E">
              <w:t>relevant and appropriate materials and equipment, and</w:t>
            </w:r>
          </w:p>
          <w:p w:rsidR="00000000" w:rsidP="001C574E">
            <w:pPr>
              <w:pStyle w:val="ListBullet2"/>
              <w:rPr>
                <w:lang w:val="en-NZ"/>
              </w:rPr>
            </w:pPr>
            <w:r w:rsidRPr="001C574E">
              <w:t>applicable documentation including workplace procedur</w:t>
            </w:r>
            <w:r w:rsidRPr="001C574E">
              <w:t>es, regulations, codes of practice and operation manuals</w:t>
            </w:r>
          </w:p>
        </w:tc>
      </w:tr>
      <w:tr w:rsidTr="00D730A1">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1C574E">
            <w:pPr>
              <w:pStyle w:val="BodyText"/>
              <w:rPr>
                <w:lang w:val="en-NZ"/>
              </w:rPr>
            </w:pPr>
            <w:r w:rsidRPr="001C574E">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1C574E" w:rsidP="001C574E">
            <w:pPr>
              <w:pStyle w:val="ListBullet"/>
            </w:pPr>
            <w:r w:rsidRPr="001C574E">
              <w:t>Assessment of this unit must be undertaken by a registered training organisation</w:t>
            </w:r>
          </w:p>
          <w:p w:rsidR="00000000" w:rsidRPr="001C574E" w:rsidP="001C574E">
            <w:pPr>
              <w:pStyle w:val="ListBullet"/>
            </w:pPr>
            <w:r w:rsidRPr="001C574E">
              <w:t>As a minimum, assessment of knowledge must be conducted through appropriate written/oral tests</w:t>
            </w:r>
          </w:p>
          <w:p w:rsidR="00000000" w:rsidRPr="001C574E" w:rsidP="001C574E">
            <w:pPr>
              <w:pStyle w:val="ListBullet"/>
            </w:pPr>
            <w:r w:rsidRPr="001C574E">
              <w:t>Practical assessment must occur:</w:t>
            </w:r>
          </w:p>
          <w:p w:rsidR="00000000" w:rsidRPr="001C574E" w:rsidP="001C574E">
            <w:pPr>
              <w:pStyle w:val="ListBullet2"/>
            </w:pPr>
            <w:r w:rsidRPr="001C574E">
              <w:t>through activities in an appropriately simulated environment at the registered training organisation, and/or</w:t>
            </w:r>
          </w:p>
          <w:p w:rsidR="00000000" w:rsidRPr="001C574E" w:rsidP="001C574E">
            <w:pPr>
              <w:pStyle w:val="ListBullet2"/>
            </w:pPr>
            <w:r w:rsidRPr="001C574E">
              <w:t>in an appropriate range of situations in the workplace</w:t>
            </w:r>
          </w:p>
        </w:tc>
      </w:tr>
    </w:tbl>
    <w:p w:rsidR="00D730A1" w:rsidP="001C574E">
      <w:pPr>
        <w:pStyle w:val="BodyText"/>
      </w:pPr>
    </w:p>
    <w:p w:rsidR="00D730A1" w:rsidP="001C574E">
      <w:pPr>
        <w:pStyle w:val="BodyText"/>
      </w:pPr>
    </w:p>
    <w:p w:rsidR="00000000" w:rsidRPr="001C574E" w:rsidP="001C574E">
      <w:pPr>
        <w:pStyle w:val="Heading1"/>
      </w:pPr>
      <w:bookmarkStart w:id="11" w:name="O_254743"/>
      <w:bookmarkEnd w:id="11"/>
      <w:r w:rsidRPr="001C574E">
        <w:t>Range Statement</w:t>
      </w:r>
    </w:p>
    <w:tbl>
      <w:tblPr>
        <w:tblW w:w="9640" w:type="dxa"/>
        <w:tblLayout w:type="fixed"/>
        <w:tblCellMar>
          <w:left w:w="62" w:type="dxa"/>
          <w:right w:w="62" w:type="dxa"/>
        </w:tblCellMar>
        <w:tblLook w:val="0000"/>
      </w:tblPr>
      <w:tblGrid>
        <w:gridCol w:w="3486"/>
        <w:gridCol w:w="6154"/>
      </w:tblGrid>
      <w:tr w:rsidTr="00D730A1">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1C574E">
            <w:pPr>
              <w:pStyle w:val="BodyText"/>
              <w:rPr>
                <w:lang w:val="en-NZ"/>
              </w:rPr>
            </w:pPr>
            <w:r w:rsidRPr="001C574E">
              <w:rPr>
                <w:rStyle w:val="SpecialBold"/>
              </w:rPr>
              <w:t>RANGE STATEMENT</w:t>
            </w:r>
            <w:r w:rsidRPr="001C574E">
              <w:t xml:space="preserve"> </w:t>
            </w:r>
          </w:p>
        </w:tc>
      </w:tr>
      <w:tr w:rsidTr="00D730A1">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1C574E">
            <w:pPr>
              <w:pStyle w:val="BodyText"/>
              <w:rPr>
                <w:lang w:val="en-NZ"/>
              </w:rPr>
            </w:pPr>
            <w:r w:rsidRPr="001C574E">
              <w:t>The range statement relates to the unit of competency as a whole. It allows for different work environments and situations that may affect performance.</w:t>
            </w:r>
          </w:p>
        </w:tc>
      </w:tr>
      <w:tr w:rsidTr="00D730A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C574E">
            <w:pPr>
              <w:pStyle w:val="BodyText"/>
              <w:rPr>
                <w:lang w:val="en-NZ"/>
              </w:rPr>
            </w:pPr>
            <w:r w:rsidRPr="001C574E">
              <w:t>Operations may be conducted:</w:t>
            </w:r>
          </w:p>
        </w:tc>
        <w:tc>
          <w:tcPr>
            <w:tcW w:w="6154" w:type="dxa"/>
            <w:tcBorders>
              <w:top w:val="nil"/>
              <w:left w:val="nil"/>
              <w:bottom w:val="nil"/>
              <w:right w:val="nil"/>
            </w:tcBorders>
            <w:tcMar>
              <w:top w:w="0" w:type="dxa"/>
              <w:left w:w="62" w:type="dxa"/>
              <w:bottom w:w="0" w:type="dxa"/>
              <w:right w:w="62" w:type="dxa"/>
            </w:tcMar>
          </w:tcPr>
          <w:p w:rsidR="00000000" w:rsidRPr="001C574E" w:rsidP="001C574E">
            <w:pPr>
              <w:pStyle w:val="ListBullet"/>
            </w:pPr>
            <w:r w:rsidRPr="001C574E">
              <w:t>in a range of work environments</w:t>
            </w:r>
          </w:p>
          <w:p w:rsidR="00000000" w:rsidP="001C574E">
            <w:pPr>
              <w:pStyle w:val="ListBullet"/>
              <w:rPr>
                <w:lang w:val="en-NZ"/>
              </w:rPr>
            </w:pPr>
            <w:r w:rsidRPr="001C574E">
              <w:t>by day or night</w:t>
            </w:r>
          </w:p>
        </w:tc>
      </w:tr>
      <w:tr w:rsidTr="00D730A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C574E">
            <w:pPr>
              <w:pStyle w:val="BodyText"/>
              <w:rPr>
                <w:lang w:val="en-NZ"/>
              </w:rPr>
            </w:pPr>
            <w:r w:rsidRPr="001C574E">
              <w:t>Customers may be:</w:t>
            </w:r>
          </w:p>
        </w:tc>
        <w:tc>
          <w:tcPr>
            <w:tcW w:w="6154" w:type="dxa"/>
            <w:tcBorders>
              <w:top w:val="nil"/>
              <w:left w:val="nil"/>
              <w:bottom w:val="nil"/>
              <w:right w:val="nil"/>
            </w:tcBorders>
            <w:tcMar>
              <w:top w:w="0" w:type="dxa"/>
              <w:left w:w="62" w:type="dxa"/>
              <w:bottom w:w="0" w:type="dxa"/>
              <w:right w:w="62" w:type="dxa"/>
            </w:tcMar>
          </w:tcPr>
          <w:p w:rsidR="00000000" w:rsidP="001C574E">
            <w:pPr>
              <w:pStyle w:val="ListBullet"/>
              <w:rPr>
                <w:lang w:val="en-NZ"/>
              </w:rPr>
            </w:pPr>
            <w:r w:rsidRPr="001C574E">
              <w:t>internal or external</w:t>
            </w:r>
          </w:p>
        </w:tc>
      </w:tr>
      <w:tr w:rsidTr="00D730A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C574E">
            <w:pPr>
              <w:pStyle w:val="BodyText"/>
              <w:rPr>
                <w:lang w:val="en-NZ"/>
              </w:rPr>
            </w:pPr>
            <w:r w:rsidRPr="001C574E">
              <w:t>Workplaces may comprise:</w:t>
            </w:r>
          </w:p>
        </w:tc>
        <w:tc>
          <w:tcPr>
            <w:tcW w:w="6154" w:type="dxa"/>
            <w:tcBorders>
              <w:top w:val="nil"/>
              <w:left w:val="nil"/>
              <w:bottom w:val="nil"/>
              <w:right w:val="nil"/>
            </w:tcBorders>
            <w:tcMar>
              <w:top w:w="0" w:type="dxa"/>
              <w:left w:w="62" w:type="dxa"/>
              <w:bottom w:w="0" w:type="dxa"/>
              <w:right w:w="62" w:type="dxa"/>
            </w:tcMar>
          </w:tcPr>
          <w:p w:rsidR="00000000" w:rsidP="001C574E">
            <w:pPr>
              <w:pStyle w:val="ListBullet"/>
              <w:rPr>
                <w:lang w:val="en-NZ"/>
              </w:rPr>
            </w:pPr>
            <w:r w:rsidRPr="001C574E">
              <w:t>large, medium or small worksites</w:t>
            </w:r>
          </w:p>
        </w:tc>
      </w:tr>
      <w:tr w:rsidTr="00D730A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C574E">
            <w:pPr>
              <w:pStyle w:val="BodyText"/>
              <w:rPr>
                <w:lang w:val="en-NZ"/>
              </w:rPr>
            </w:pPr>
            <w:r w:rsidRPr="001C574E">
              <w:t>Work may be conducted in:</w:t>
            </w:r>
          </w:p>
        </w:tc>
        <w:tc>
          <w:tcPr>
            <w:tcW w:w="6154" w:type="dxa"/>
            <w:tcBorders>
              <w:top w:val="nil"/>
              <w:left w:val="nil"/>
              <w:bottom w:val="nil"/>
              <w:right w:val="nil"/>
            </w:tcBorders>
            <w:tcMar>
              <w:top w:w="0" w:type="dxa"/>
              <w:left w:w="62" w:type="dxa"/>
              <w:bottom w:w="0" w:type="dxa"/>
              <w:right w:w="62" w:type="dxa"/>
            </w:tcMar>
          </w:tcPr>
          <w:p w:rsidR="00000000" w:rsidRPr="001C574E" w:rsidP="001C574E">
            <w:pPr>
              <w:pStyle w:val="ListBullet"/>
            </w:pPr>
            <w:r w:rsidRPr="001C574E">
              <w:t>restricted spaces</w:t>
            </w:r>
          </w:p>
          <w:p w:rsidR="00000000" w:rsidRPr="001C574E" w:rsidP="001C574E">
            <w:pPr>
              <w:pStyle w:val="ListBullet"/>
            </w:pPr>
            <w:r w:rsidRPr="001C574E">
              <w:t>exposed conditions</w:t>
            </w:r>
          </w:p>
          <w:p w:rsidR="00000000" w:rsidP="001C574E">
            <w:pPr>
              <w:pStyle w:val="ListBullet"/>
              <w:rPr>
                <w:lang w:val="en-NZ"/>
              </w:rPr>
            </w:pPr>
            <w:r w:rsidRPr="001C574E">
              <w:t>controlled or open environments</w:t>
            </w:r>
          </w:p>
        </w:tc>
      </w:tr>
      <w:tr w:rsidTr="00D730A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C574E">
            <w:pPr>
              <w:pStyle w:val="BodyText"/>
              <w:rPr>
                <w:lang w:val="en-NZ"/>
              </w:rPr>
            </w:pPr>
            <w:r w:rsidRPr="001C574E">
              <w:t>Liquid bulk gas to be transferred may:</w:t>
            </w:r>
          </w:p>
        </w:tc>
        <w:tc>
          <w:tcPr>
            <w:tcW w:w="6154" w:type="dxa"/>
            <w:tcBorders>
              <w:top w:val="nil"/>
              <w:left w:val="nil"/>
              <w:bottom w:val="nil"/>
              <w:right w:val="nil"/>
            </w:tcBorders>
            <w:tcMar>
              <w:top w:w="0" w:type="dxa"/>
              <w:left w:w="62" w:type="dxa"/>
              <w:bottom w:w="0" w:type="dxa"/>
              <w:right w:w="62" w:type="dxa"/>
            </w:tcMar>
          </w:tcPr>
          <w:p w:rsidR="00000000" w:rsidP="001C574E">
            <w:pPr>
              <w:pStyle w:val="ListBullet"/>
              <w:rPr>
                <w:lang w:val="en-NZ"/>
              </w:rPr>
            </w:pPr>
            <w:r w:rsidRPr="001C574E">
              <w:t>require special precautions</w:t>
            </w:r>
          </w:p>
        </w:tc>
      </w:tr>
      <w:tr w:rsidTr="00D730A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C574E">
            <w:pPr>
              <w:pStyle w:val="BodyText"/>
              <w:rPr>
                <w:lang w:val="en-NZ"/>
              </w:rPr>
            </w:pPr>
            <w:r w:rsidRPr="001C574E">
              <w:t>Hazards in the work area may include exposure to:</w:t>
            </w:r>
          </w:p>
        </w:tc>
        <w:tc>
          <w:tcPr>
            <w:tcW w:w="6154" w:type="dxa"/>
            <w:tcBorders>
              <w:top w:val="nil"/>
              <w:left w:val="nil"/>
              <w:bottom w:val="nil"/>
              <w:right w:val="nil"/>
            </w:tcBorders>
            <w:tcMar>
              <w:top w:w="0" w:type="dxa"/>
              <w:left w:w="62" w:type="dxa"/>
              <w:bottom w:w="0" w:type="dxa"/>
              <w:right w:w="62" w:type="dxa"/>
            </w:tcMar>
          </w:tcPr>
          <w:p w:rsidR="00000000" w:rsidRPr="001C574E" w:rsidP="001C574E">
            <w:pPr>
              <w:pStyle w:val="ListBullet"/>
            </w:pPr>
            <w:r w:rsidRPr="001C574E">
              <w:t>hazardous or dangerous materials</w:t>
            </w:r>
          </w:p>
          <w:p w:rsidR="00000000" w:rsidRPr="001C574E" w:rsidP="001C574E">
            <w:pPr>
              <w:pStyle w:val="ListBullet"/>
            </w:pPr>
            <w:r w:rsidRPr="001C574E">
              <w:t>contamination of, or from, materials being handled</w:t>
            </w:r>
          </w:p>
          <w:p w:rsidR="00000000" w:rsidRPr="001C574E" w:rsidP="001C574E">
            <w:pPr>
              <w:pStyle w:val="ListBullet"/>
            </w:pPr>
            <w:r w:rsidRPr="001C574E">
              <w:t>noise, light, energy sources</w:t>
            </w:r>
          </w:p>
          <w:p w:rsidR="00000000" w:rsidRPr="001C574E" w:rsidP="001C574E">
            <w:pPr>
              <w:pStyle w:val="ListBullet"/>
            </w:pPr>
            <w:r w:rsidRPr="001C574E">
              <w:t>stationary and moving machinery, parts or components</w:t>
            </w:r>
          </w:p>
          <w:p w:rsidR="00000000" w:rsidRPr="001C574E" w:rsidP="001C574E">
            <w:pPr>
              <w:pStyle w:val="ListBullet"/>
            </w:pPr>
            <w:r w:rsidRPr="001C574E">
              <w:t>service lines</w:t>
            </w:r>
          </w:p>
          <w:p w:rsidR="00000000" w:rsidRPr="001C574E" w:rsidP="001C574E">
            <w:pPr>
              <w:pStyle w:val="ListBullet"/>
            </w:pPr>
            <w:r w:rsidRPr="001C574E">
              <w:t>spills, leakages, ruptures</w:t>
            </w:r>
          </w:p>
          <w:p w:rsidR="00000000" w:rsidP="001C574E">
            <w:pPr>
              <w:pStyle w:val="ListBullet"/>
              <w:rPr>
                <w:lang w:val="en-NZ"/>
              </w:rPr>
            </w:pPr>
            <w:r w:rsidRPr="001C574E">
              <w:t>dust/vapours</w:t>
            </w:r>
          </w:p>
        </w:tc>
      </w:tr>
      <w:tr w:rsidTr="00D730A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C574E">
            <w:pPr>
              <w:pStyle w:val="BodyText"/>
              <w:rPr>
                <w:lang w:val="en-NZ"/>
              </w:rPr>
            </w:pPr>
            <w:r w:rsidRPr="001C574E">
              <w:t>Hazard management is:</w:t>
            </w:r>
          </w:p>
        </w:tc>
        <w:tc>
          <w:tcPr>
            <w:tcW w:w="6154" w:type="dxa"/>
            <w:tcBorders>
              <w:top w:val="nil"/>
              <w:left w:val="nil"/>
              <w:bottom w:val="nil"/>
              <w:right w:val="nil"/>
            </w:tcBorders>
            <w:tcMar>
              <w:top w:w="0" w:type="dxa"/>
              <w:left w:w="62" w:type="dxa"/>
              <w:bottom w:w="0" w:type="dxa"/>
              <w:right w:w="62" w:type="dxa"/>
            </w:tcMar>
          </w:tcPr>
          <w:p w:rsidR="00000000" w:rsidP="001C574E">
            <w:pPr>
              <w:pStyle w:val="ListBullet"/>
              <w:rPr>
                <w:lang w:val="en-NZ"/>
              </w:rPr>
            </w:pPr>
            <w:r w:rsidRPr="001C574E">
              <w:t>consistent with the principle of hierarchy of control with elimination, substitution, isolation and engineering control measures being selected before safe working practices and personal prote</w:t>
            </w:r>
            <w:r w:rsidRPr="001C574E">
              <w:t>ctive equipment</w:t>
            </w:r>
          </w:p>
        </w:tc>
      </w:tr>
      <w:tr w:rsidTr="00D730A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C574E">
            <w:pPr>
              <w:pStyle w:val="BodyText"/>
              <w:rPr>
                <w:lang w:val="en-NZ"/>
              </w:rPr>
            </w:pPr>
            <w:r w:rsidRPr="001C574E">
              <w:t>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1C574E" w:rsidP="001C574E">
            <w:pPr>
              <w:pStyle w:val="ListBullet"/>
            </w:pPr>
            <w:r w:rsidRPr="001C574E">
              <w:t>gloves</w:t>
            </w:r>
          </w:p>
          <w:p w:rsidR="00000000" w:rsidRPr="001C574E" w:rsidP="001C574E">
            <w:pPr>
              <w:pStyle w:val="ListBullet"/>
            </w:pPr>
            <w:r w:rsidRPr="001C574E">
              <w:t>safety headwear and footwear</w:t>
            </w:r>
          </w:p>
          <w:p w:rsidR="00000000" w:rsidRPr="001C574E" w:rsidP="001C574E">
            <w:pPr>
              <w:pStyle w:val="ListBullet"/>
            </w:pPr>
            <w:r w:rsidRPr="001C574E">
              <w:t>safety glasses</w:t>
            </w:r>
          </w:p>
          <w:p w:rsidR="00000000" w:rsidRPr="001C574E" w:rsidP="001C574E">
            <w:pPr>
              <w:pStyle w:val="ListBullet"/>
            </w:pPr>
            <w:r w:rsidRPr="001C574E">
              <w:t>mask or respirator</w:t>
            </w:r>
          </w:p>
          <w:p w:rsidR="00000000" w:rsidP="001C574E">
            <w:pPr>
              <w:pStyle w:val="ListBullet"/>
              <w:rPr>
                <w:lang w:val="en-NZ"/>
              </w:rPr>
            </w:pPr>
            <w:r w:rsidRPr="001C574E">
              <w:t>high visibility clothing</w:t>
            </w:r>
          </w:p>
        </w:tc>
      </w:tr>
      <w:tr w:rsidTr="00D730A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C574E">
            <w:pPr>
              <w:pStyle w:val="BodyText"/>
              <w:rPr>
                <w:lang w:val="en-NZ"/>
              </w:rPr>
            </w:pPr>
            <w:r w:rsidRPr="001C574E">
              <w:t>Exposure during work operations may be to:</w:t>
            </w:r>
          </w:p>
        </w:tc>
        <w:tc>
          <w:tcPr>
            <w:tcW w:w="6154" w:type="dxa"/>
            <w:tcBorders>
              <w:top w:val="nil"/>
              <w:left w:val="nil"/>
              <w:bottom w:val="nil"/>
              <w:right w:val="nil"/>
            </w:tcBorders>
            <w:tcMar>
              <w:top w:w="0" w:type="dxa"/>
              <w:left w:w="62" w:type="dxa"/>
              <w:bottom w:w="0" w:type="dxa"/>
              <w:right w:w="62" w:type="dxa"/>
            </w:tcMar>
          </w:tcPr>
          <w:p w:rsidR="00000000" w:rsidRPr="001C574E" w:rsidP="001C574E">
            <w:pPr>
              <w:pStyle w:val="ListBullet"/>
            </w:pPr>
            <w:r w:rsidRPr="001C574E">
              <w:t>corrosive chemicals</w:t>
            </w:r>
          </w:p>
          <w:p w:rsidR="00000000" w:rsidRPr="001C574E" w:rsidP="001C574E">
            <w:pPr>
              <w:pStyle w:val="ListBullet"/>
            </w:pPr>
            <w:r w:rsidRPr="001C574E">
              <w:t>solvents and adhesives</w:t>
            </w:r>
          </w:p>
          <w:p w:rsidR="00000000" w:rsidRPr="001C574E" w:rsidP="001C574E">
            <w:pPr>
              <w:pStyle w:val="ListBullet"/>
            </w:pPr>
            <w:r w:rsidRPr="001C574E">
              <w:t>toxic, explosive and other harmful substances</w:t>
            </w:r>
          </w:p>
          <w:p w:rsidR="00000000" w:rsidP="001C574E">
            <w:pPr>
              <w:pStyle w:val="ListBullet"/>
              <w:rPr>
                <w:lang w:val="en-NZ"/>
              </w:rPr>
            </w:pPr>
            <w:r w:rsidRPr="001C574E">
              <w:t>movement of equipment, goods, vehicles</w:t>
            </w:r>
          </w:p>
        </w:tc>
      </w:tr>
      <w:tr w:rsidTr="00D730A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C574E">
            <w:pPr>
              <w:pStyle w:val="BodyText"/>
              <w:rPr>
                <w:lang w:val="en-NZ"/>
              </w:rPr>
            </w:pPr>
            <w:r w:rsidRPr="001C574E">
              <w:t>Regulatory controls and enterprise procedures may govern requirements for:</w:t>
            </w:r>
          </w:p>
        </w:tc>
        <w:tc>
          <w:tcPr>
            <w:tcW w:w="6154" w:type="dxa"/>
            <w:tcBorders>
              <w:top w:val="nil"/>
              <w:left w:val="nil"/>
              <w:bottom w:val="nil"/>
              <w:right w:val="nil"/>
            </w:tcBorders>
            <w:tcMar>
              <w:top w:w="0" w:type="dxa"/>
              <w:left w:w="62" w:type="dxa"/>
              <w:bottom w:w="0" w:type="dxa"/>
              <w:right w:w="62" w:type="dxa"/>
            </w:tcMar>
          </w:tcPr>
          <w:p w:rsidR="00000000" w:rsidRPr="001C574E" w:rsidP="001C574E">
            <w:pPr>
              <w:pStyle w:val="ListBullet"/>
            </w:pPr>
            <w:r w:rsidRPr="001C574E">
              <w:t>transport</w:t>
            </w:r>
          </w:p>
          <w:p w:rsidR="00000000" w:rsidRPr="001C574E" w:rsidP="001C574E">
            <w:pPr>
              <w:pStyle w:val="ListBullet"/>
            </w:pPr>
            <w:r w:rsidRPr="001C574E">
              <w:t>storage</w:t>
            </w:r>
          </w:p>
          <w:p w:rsidR="00000000" w:rsidRPr="001C574E" w:rsidP="001C574E">
            <w:pPr>
              <w:pStyle w:val="ListBullet"/>
            </w:pPr>
            <w:r w:rsidRPr="001C574E">
              <w:t>volume</w:t>
            </w:r>
          </w:p>
          <w:p w:rsidR="00000000" w:rsidRPr="001C574E" w:rsidP="001C574E">
            <w:pPr>
              <w:pStyle w:val="ListBullet"/>
            </w:pPr>
            <w:r w:rsidRPr="001C574E">
              <w:t>mass</w:t>
            </w:r>
          </w:p>
          <w:p w:rsidR="00000000" w:rsidP="001C574E">
            <w:pPr>
              <w:pStyle w:val="ListBullet"/>
              <w:rPr>
                <w:lang w:val="en-NZ"/>
              </w:rPr>
            </w:pPr>
            <w:r w:rsidRPr="001C574E">
              <w:t>required controls</w:t>
            </w:r>
          </w:p>
        </w:tc>
      </w:tr>
      <w:tr w:rsidTr="00D730A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C574E">
            <w:pPr>
              <w:pStyle w:val="BodyText"/>
              <w:rPr>
                <w:lang w:val="en-NZ"/>
              </w:rPr>
            </w:pPr>
            <w:r w:rsidRPr="001C574E">
              <w:t>Ignition sources include:</w:t>
            </w:r>
          </w:p>
        </w:tc>
        <w:tc>
          <w:tcPr>
            <w:tcW w:w="6154" w:type="dxa"/>
            <w:tcBorders>
              <w:top w:val="nil"/>
              <w:left w:val="nil"/>
              <w:bottom w:val="nil"/>
              <w:right w:val="nil"/>
            </w:tcBorders>
            <w:tcMar>
              <w:top w:w="0" w:type="dxa"/>
              <w:left w:w="62" w:type="dxa"/>
              <w:bottom w:w="0" w:type="dxa"/>
              <w:right w:w="62" w:type="dxa"/>
            </w:tcMar>
          </w:tcPr>
          <w:p w:rsidR="00000000" w:rsidP="001C574E">
            <w:pPr>
              <w:pStyle w:val="ListBullet"/>
              <w:rPr>
                <w:lang w:val="en-NZ"/>
              </w:rPr>
            </w:pPr>
            <w:r w:rsidRPr="001C574E">
              <w:t>naked flames and s</w:t>
            </w:r>
            <w:r w:rsidRPr="001C574E">
              <w:t>tatic sources</w:t>
            </w:r>
          </w:p>
        </w:tc>
      </w:tr>
      <w:tr w:rsidTr="00D730A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C574E">
            <w:pPr>
              <w:pStyle w:val="BodyText"/>
              <w:rPr>
                <w:lang w:val="en-NZ"/>
              </w:rPr>
            </w:pPr>
            <w:r w:rsidRPr="001C574E">
              <w:t>Requirements for work may include:</w:t>
            </w:r>
          </w:p>
        </w:tc>
        <w:tc>
          <w:tcPr>
            <w:tcW w:w="6154" w:type="dxa"/>
            <w:tcBorders>
              <w:top w:val="nil"/>
              <w:left w:val="nil"/>
              <w:bottom w:val="nil"/>
              <w:right w:val="nil"/>
            </w:tcBorders>
            <w:tcMar>
              <w:top w:w="0" w:type="dxa"/>
              <w:left w:w="62" w:type="dxa"/>
              <w:bottom w:w="0" w:type="dxa"/>
              <w:right w:w="62" w:type="dxa"/>
            </w:tcMar>
          </w:tcPr>
          <w:p w:rsidR="00000000" w:rsidRPr="001C574E" w:rsidP="001C574E">
            <w:pPr>
              <w:pStyle w:val="ListBullet"/>
            </w:pPr>
            <w:r w:rsidRPr="001C574E">
              <w:t>site restrictions and procedures</w:t>
            </w:r>
          </w:p>
          <w:p w:rsidR="00000000" w:rsidRPr="001C574E" w:rsidP="001C574E">
            <w:pPr>
              <w:pStyle w:val="ListBullet"/>
            </w:pPr>
            <w:r w:rsidRPr="001C574E">
              <w:t>use of safety and personal protective equipment</w:t>
            </w:r>
          </w:p>
          <w:p w:rsidR="00000000" w:rsidRPr="001C574E" w:rsidP="001C574E">
            <w:pPr>
              <w:pStyle w:val="ListBullet"/>
            </w:pPr>
            <w:r w:rsidRPr="001C574E">
              <w:t>communications equipment</w:t>
            </w:r>
          </w:p>
          <w:p w:rsidR="00000000" w:rsidRPr="001C574E" w:rsidP="001C574E">
            <w:pPr>
              <w:pStyle w:val="ListBullet"/>
            </w:pPr>
            <w:r w:rsidRPr="001C574E">
              <w:t>specialised lifting and/or handling equipment</w:t>
            </w:r>
          </w:p>
          <w:p w:rsidR="00000000" w:rsidRPr="001C574E" w:rsidP="001C574E">
            <w:pPr>
              <w:pStyle w:val="ListBullet"/>
            </w:pPr>
            <w:r w:rsidRPr="001C574E">
              <w:t>incident breakdown procedures</w:t>
            </w:r>
          </w:p>
          <w:p w:rsidR="00000000" w:rsidRPr="001C574E" w:rsidP="001C574E">
            <w:pPr>
              <w:pStyle w:val="ListBullet"/>
            </w:pPr>
            <w:r w:rsidRPr="001C574E">
              <w:t>additional gear and equipment</w:t>
            </w:r>
          </w:p>
          <w:p w:rsidR="00000000" w:rsidRPr="001C574E" w:rsidP="001C574E">
            <w:pPr>
              <w:pStyle w:val="ListBullet"/>
            </w:pPr>
            <w:r w:rsidRPr="001C574E">
              <w:t>noise restrictions</w:t>
            </w:r>
          </w:p>
          <w:p w:rsidR="00000000" w:rsidRPr="001C574E" w:rsidP="001C574E">
            <w:pPr>
              <w:pStyle w:val="ListBullet"/>
            </w:pPr>
            <w:r w:rsidRPr="001C574E">
              <w:t>hours of operation</w:t>
            </w:r>
          </w:p>
          <w:p w:rsidR="00000000" w:rsidP="001C574E">
            <w:pPr>
              <w:pStyle w:val="ListBullet"/>
              <w:rPr>
                <w:lang w:val="en-NZ"/>
              </w:rPr>
            </w:pPr>
            <w:r w:rsidRPr="001C574E">
              <w:t>authorities and permits</w:t>
            </w:r>
          </w:p>
        </w:tc>
      </w:tr>
      <w:tr w:rsidTr="00D730A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C574E">
            <w:pPr>
              <w:pStyle w:val="BodyText"/>
              <w:rPr>
                <w:lang w:val="en-NZ"/>
              </w:rPr>
            </w:pPr>
            <w:r w:rsidRPr="001C574E">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1C574E" w:rsidP="001C574E">
            <w:pPr>
              <w:pStyle w:val="ListBullet"/>
            </w:pPr>
            <w:r w:rsidRPr="001C574E">
              <w:t>other employees and supervisors</w:t>
            </w:r>
          </w:p>
          <w:p w:rsidR="00000000" w:rsidRPr="001C574E" w:rsidP="001C574E">
            <w:pPr>
              <w:pStyle w:val="ListBullet"/>
            </w:pPr>
            <w:r w:rsidRPr="001C574E">
              <w:t>suppliers, potential customers and existing clients</w:t>
            </w:r>
          </w:p>
          <w:p w:rsidR="00000000" w:rsidRPr="001C574E" w:rsidP="001C574E">
            <w:pPr>
              <w:pStyle w:val="ListBullet"/>
            </w:pPr>
            <w:r w:rsidRPr="001C574E">
              <w:t>management and union representatives</w:t>
            </w:r>
          </w:p>
          <w:p w:rsidR="00000000" w:rsidP="001C574E">
            <w:pPr>
              <w:pStyle w:val="ListBullet"/>
              <w:rPr>
                <w:lang w:val="en-NZ"/>
              </w:rPr>
            </w:pPr>
            <w:r w:rsidRPr="001C574E">
              <w:t>indus</w:t>
            </w:r>
            <w:r w:rsidRPr="001C574E">
              <w:t>trial relations, OH&amp;S specialists, and other maintenance, professional or technical staff</w:t>
            </w:r>
          </w:p>
        </w:tc>
      </w:tr>
      <w:tr w:rsidTr="00D730A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C574E">
            <w:pPr>
              <w:pStyle w:val="BodyText"/>
              <w:rPr>
                <w:lang w:val="en-NZ"/>
              </w:rPr>
            </w:pPr>
            <w:r w:rsidRPr="001C574E">
              <w:t>Communication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1C574E" w:rsidP="001C574E">
            <w:pPr>
              <w:pStyle w:val="ListBullet"/>
            </w:pPr>
            <w:r w:rsidRPr="001C574E">
              <w:t>phone</w:t>
            </w:r>
          </w:p>
          <w:p w:rsidR="00000000" w:rsidRPr="001C574E" w:rsidP="001C574E">
            <w:pPr>
              <w:pStyle w:val="ListBullet"/>
            </w:pPr>
            <w:r w:rsidRPr="001C574E">
              <w:t>electronic data interchange</w:t>
            </w:r>
          </w:p>
          <w:p w:rsidR="00000000" w:rsidRPr="001C574E" w:rsidP="001C574E">
            <w:pPr>
              <w:pStyle w:val="ListBullet"/>
            </w:pPr>
            <w:r w:rsidRPr="001C574E">
              <w:t>fax</w:t>
            </w:r>
          </w:p>
          <w:p w:rsidR="00000000" w:rsidRPr="001C574E" w:rsidP="001C574E">
            <w:pPr>
              <w:pStyle w:val="ListBullet"/>
            </w:pPr>
            <w:r w:rsidRPr="001C574E">
              <w:t>email</w:t>
            </w:r>
          </w:p>
          <w:p w:rsidR="00000000" w:rsidRPr="001C574E" w:rsidP="001C574E">
            <w:pPr>
              <w:pStyle w:val="ListBullet"/>
            </w:pPr>
            <w:r w:rsidRPr="001C574E">
              <w:t>internet</w:t>
            </w:r>
          </w:p>
          <w:p w:rsidR="00000000" w:rsidRPr="001C574E" w:rsidP="001C574E">
            <w:pPr>
              <w:pStyle w:val="ListBullet"/>
            </w:pPr>
            <w:r w:rsidRPr="001C574E">
              <w:t>radio</w:t>
            </w:r>
          </w:p>
          <w:p w:rsidR="00000000" w:rsidP="001C574E">
            <w:pPr>
              <w:pStyle w:val="ListBullet"/>
              <w:rPr>
                <w:lang w:val="en-NZ"/>
              </w:rPr>
            </w:pPr>
            <w:r w:rsidRPr="001C574E">
              <w:t>oral, aural or signed communications</w:t>
            </w:r>
          </w:p>
        </w:tc>
      </w:tr>
      <w:tr w:rsidTr="00D730A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C574E">
            <w:pPr>
              <w:pStyle w:val="BodyText"/>
              <w:rPr>
                <w:lang w:val="en-NZ"/>
              </w:rPr>
            </w:pPr>
            <w:r w:rsidRPr="001C574E">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1C574E" w:rsidP="001C574E">
            <w:pPr>
              <w:pStyle w:val="ListBullet"/>
            </w:pPr>
            <w:r w:rsidRPr="001C574E">
              <w:t>company procedures</w:t>
            </w:r>
          </w:p>
          <w:p w:rsidR="00000000" w:rsidRPr="001C574E" w:rsidP="001C574E">
            <w:pPr>
              <w:pStyle w:val="ListBullet"/>
            </w:pPr>
            <w:r w:rsidRPr="001C574E">
              <w:t>enterprise procedures</w:t>
            </w:r>
          </w:p>
          <w:p w:rsidR="00000000" w:rsidRPr="001C574E" w:rsidP="001C574E">
            <w:pPr>
              <w:pStyle w:val="ListBullet"/>
            </w:pPr>
            <w:r w:rsidRPr="001C574E">
              <w:t>organisational procedures</w:t>
            </w:r>
          </w:p>
          <w:p w:rsidR="00000000" w:rsidRPr="001C574E" w:rsidP="001C574E">
            <w:pPr>
              <w:pStyle w:val="ListBullet"/>
            </w:pPr>
            <w:r w:rsidRPr="001C574E">
              <w:t>established procedures</w:t>
            </w:r>
          </w:p>
          <w:p w:rsidR="00000000" w:rsidP="001C574E">
            <w:pPr>
              <w:pStyle w:val="ListBullet"/>
              <w:rPr>
                <w:lang w:val="en-NZ"/>
              </w:rPr>
            </w:pPr>
            <w:r w:rsidRPr="001C574E">
              <w:t>site procedures</w:t>
            </w:r>
          </w:p>
        </w:tc>
      </w:tr>
      <w:tr w:rsidTr="00D730A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C574E">
            <w:pPr>
              <w:pStyle w:val="BodyText"/>
              <w:rPr>
                <w:lang w:val="en-NZ"/>
              </w:rPr>
            </w:pPr>
            <w:r w:rsidRPr="001C574E">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1C574E" w:rsidP="001C574E">
            <w:pPr>
              <w:pStyle w:val="ListBullet"/>
            </w:pPr>
            <w:r w:rsidRPr="001C574E">
              <w:t>Safe Working Load (SWL) and Working Load Limit (WLL)</w:t>
            </w:r>
          </w:p>
          <w:p w:rsidR="00000000" w:rsidRPr="001C574E" w:rsidP="001C574E">
            <w:pPr>
              <w:pStyle w:val="ListBullet"/>
            </w:pPr>
            <w:r w:rsidRPr="001C574E">
              <w:t>manifests, bar codes, goods and product identification</w:t>
            </w:r>
          </w:p>
          <w:p w:rsidR="00000000" w:rsidRPr="001C574E" w:rsidP="001C574E">
            <w:pPr>
              <w:pStyle w:val="ListBullet"/>
            </w:pPr>
            <w:r w:rsidRPr="001C574E">
              <w:t>manufacturers specifications for equipment/tools</w:t>
            </w:r>
          </w:p>
          <w:p w:rsidR="00000000" w:rsidRPr="001C574E" w:rsidP="001C574E">
            <w:pPr>
              <w:pStyle w:val="ListBullet"/>
            </w:pPr>
            <w:r w:rsidRPr="001C574E">
              <w:t>workplace procedures and policies for the transfer of liquid bulk gas</w:t>
            </w:r>
          </w:p>
          <w:p w:rsidR="00000000" w:rsidRPr="001C574E" w:rsidP="001C574E">
            <w:pPr>
              <w:pStyle w:val="ListBullet"/>
            </w:pPr>
            <w:r w:rsidRPr="001C574E">
              <w:t>goods identification number</w:t>
            </w:r>
            <w:r w:rsidRPr="001C574E">
              <w:t>s and codes, including ADG and IMDG markings and HAZCHEM signs</w:t>
            </w:r>
          </w:p>
          <w:p w:rsidR="00000000" w:rsidRPr="001C574E" w:rsidP="001C574E">
            <w:pPr>
              <w:pStyle w:val="ListBullet"/>
            </w:pPr>
            <w:r w:rsidRPr="001C574E">
              <w:t>supplier and/or client instructions</w:t>
            </w:r>
          </w:p>
          <w:p w:rsidR="00000000" w:rsidRPr="001C574E" w:rsidP="001C574E">
            <w:pPr>
              <w:pStyle w:val="ListBullet"/>
            </w:pPr>
            <w:r w:rsidRPr="001C574E">
              <w:t>codes of practice including the Australian Dangerous Goods Code, relevant Australian Standards and the Industry Safety Code</w:t>
            </w:r>
          </w:p>
          <w:p w:rsidR="00000000" w:rsidRPr="001C574E" w:rsidP="001C574E">
            <w:pPr>
              <w:pStyle w:val="ListBullet"/>
            </w:pPr>
            <w:r w:rsidRPr="001C574E">
              <w:t>award, enterprise bargaining agre</w:t>
            </w:r>
            <w:r w:rsidRPr="001C574E">
              <w:t>ement, other industrial arrangements</w:t>
            </w:r>
          </w:p>
          <w:p w:rsidR="00000000" w:rsidRPr="001C574E" w:rsidP="001C574E">
            <w:pPr>
              <w:pStyle w:val="ListBullet"/>
            </w:pPr>
            <w:r w:rsidRPr="001C574E">
              <w:t>relevant standards and certification requirements</w:t>
            </w:r>
          </w:p>
          <w:p w:rsidR="00000000" w:rsidRPr="001C574E" w:rsidP="001C574E">
            <w:pPr>
              <w:pStyle w:val="ListBullet"/>
            </w:pPr>
            <w:r w:rsidRPr="001C574E">
              <w:t>quality assurance procedures</w:t>
            </w:r>
          </w:p>
          <w:p w:rsidR="00000000" w:rsidRPr="001C574E" w:rsidP="001C574E">
            <w:pPr>
              <w:pStyle w:val="ListBullet"/>
            </w:pPr>
            <w:r w:rsidRPr="001C574E">
              <w:t>emergency procedures</w:t>
            </w:r>
          </w:p>
          <w:p w:rsidR="00000000" w:rsidP="001C574E">
            <w:pPr>
              <w:pStyle w:val="ListBullet"/>
              <w:rPr>
                <w:lang w:val="en-NZ"/>
              </w:rPr>
            </w:pPr>
            <w:r w:rsidRPr="001C574E">
              <w:t>material safety data sheets</w:t>
            </w:r>
          </w:p>
        </w:tc>
      </w:tr>
      <w:tr w:rsidTr="00D730A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C574E">
            <w:pPr>
              <w:pStyle w:val="BodyText"/>
              <w:rPr>
                <w:lang w:val="en-NZ"/>
              </w:rPr>
            </w:pPr>
            <w:r w:rsidRPr="001C574E">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1C574E" w:rsidP="001C574E">
            <w:pPr>
              <w:pStyle w:val="ListBullet"/>
            </w:pPr>
            <w:r w:rsidRPr="001C574E">
              <w:t>state/territory mass and loading regulations</w:t>
            </w:r>
          </w:p>
          <w:p w:rsidR="00000000" w:rsidRPr="001C574E" w:rsidP="001C574E">
            <w:pPr>
              <w:pStyle w:val="ListBullet"/>
            </w:pPr>
            <w:r w:rsidRPr="001C574E">
              <w:t>Australian and international regulations and codes of practice for the handling and transport of dangerous goods and hazardous substances, including:</w:t>
            </w:r>
          </w:p>
          <w:p w:rsidR="00000000" w:rsidRPr="001C574E" w:rsidP="001C574E">
            <w:pPr>
              <w:pStyle w:val="ListBullet2"/>
            </w:pPr>
            <w:r w:rsidRPr="001C574E">
              <w:t>Australian and International Dangerous Goods Codes</w:t>
            </w:r>
          </w:p>
          <w:p w:rsidR="00000000" w:rsidRPr="001C574E" w:rsidP="001C574E">
            <w:pPr>
              <w:pStyle w:val="ListBullet2"/>
            </w:pPr>
            <w:r w:rsidRPr="001C574E">
              <w:t>Australia</w:t>
            </w:r>
            <w:r w:rsidRPr="001C574E">
              <w:t>n Marine Orders and the International Maritime Dangerous Goods Code</w:t>
            </w:r>
          </w:p>
          <w:p w:rsidR="00000000" w:rsidRPr="001C574E" w:rsidP="001C574E">
            <w:pPr>
              <w:pStyle w:val="ListBullet2"/>
            </w:pPr>
            <w:r w:rsidRPr="001C574E">
              <w:t>IATA Dangerous Goods by Air regulations</w:t>
            </w:r>
          </w:p>
          <w:p w:rsidR="00000000" w:rsidRPr="001C574E" w:rsidP="001C574E">
            <w:pPr>
              <w:pStyle w:val="ListBullet2"/>
            </w:pPr>
            <w:r w:rsidRPr="001C574E">
              <w:t>Australian and International Explosives Codes</w:t>
            </w:r>
          </w:p>
          <w:p w:rsidR="00000000" w:rsidRPr="001C574E" w:rsidP="001C574E">
            <w:pPr>
              <w:pStyle w:val="ListBullet"/>
            </w:pPr>
            <w:r w:rsidRPr="001C574E">
              <w:t>Australian and state/territory regulations related to the transfer of liquid bulk gas</w:t>
            </w:r>
          </w:p>
          <w:p w:rsidR="00000000" w:rsidRPr="001C574E" w:rsidP="001C574E">
            <w:pPr>
              <w:pStyle w:val="ListBullet"/>
            </w:pPr>
            <w:r w:rsidRPr="001C574E">
              <w:t>relevant Australian Standards, including AS 2809.1, AS 2809.3, AS 2931, AS 2430.1, AS 2430.3.4, AS 2430.3.7</w:t>
            </w:r>
          </w:p>
          <w:p w:rsidR="00000000" w:rsidRPr="001C574E" w:rsidP="001C574E">
            <w:pPr>
              <w:pStyle w:val="ListBullet"/>
            </w:pPr>
            <w:r w:rsidRPr="001C574E">
              <w:t>relevant state/territory environmental protection legislation</w:t>
            </w:r>
          </w:p>
          <w:p w:rsidR="00000000" w:rsidRPr="001C574E" w:rsidP="001C574E">
            <w:pPr>
              <w:pStyle w:val="ListBullet"/>
            </w:pPr>
            <w:r w:rsidRPr="001C574E">
              <w:t>relevant state/territory OH&amp;S legislation</w:t>
            </w:r>
          </w:p>
        </w:tc>
      </w:tr>
    </w:tbl>
    <w:p w:rsidR="00D730A1" w:rsidP="001C574E">
      <w:pPr>
        <w:pStyle w:val="BodyText"/>
      </w:pPr>
    </w:p>
    <w:p w:rsidR="00D730A1" w:rsidP="001C574E">
      <w:pPr>
        <w:pStyle w:val="BodyText"/>
      </w:pPr>
    </w:p>
    <w:p w:rsidR="00000000" w:rsidRPr="001C574E" w:rsidP="001C574E">
      <w:pPr>
        <w:pStyle w:val="Heading1"/>
      </w:pPr>
      <w:bookmarkStart w:id="12" w:name="O_295756"/>
      <w:bookmarkEnd w:id="12"/>
      <w:r w:rsidRPr="001C574E">
        <w:t>Unit Sector(s)</w:t>
      </w:r>
    </w:p>
    <w:p w:rsidR="00000000" w:rsidRPr="001C574E" w:rsidP="001C574E">
      <w:pPr>
        <w:pStyle w:val="BodyText"/>
      </w:pPr>
      <w:r w:rsidRPr="001C574E">
        <w:t>Not Applicable</w:t>
      </w:r>
    </w:p>
    <w:p w:rsidR="00000000" w:rsidRPr="001C574E" w:rsidP="001C574E">
      <w:pPr>
        <w:pStyle w:val="AllowPageBreak"/>
      </w:pPr>
    </w:p>
    <w:p w:rsidR="00000000" w:rsidRPr="001C574E" w:rsidP="001C574E">
      <w:pPr>
        <w:pStyle w:val="Heading1"/>
      </w:pPr>
      <w:bookmarkStart w:id="13" w:name="O_223325"/>
      <w:bookmarkEnd w:id="13"/>
      <w:r w:rsidRPr="001C574E">
        <w:t>Competency Field</w:t>
      </w:r>
    </w:p>
    <w:tbl>
      <w:tblPr>
        <w:tblW w:w="9640" w:type="dxa"/>
        <w:tblLayout w:type="fixed"/>
        <w:tblCellMar>
          <w:left w:w="62" w:type="dxa"/>
          <w:right w:w="62" w:type="dxa"/>
        </w:tblCellMar>
        <w:tblLook w:val="0000"/>
      </w:tblPr>
      <w:tblGrid>
        <w:gridCol w:w="2978"/>
        <w:gridCol w:w="6662"/>
      </w:tblGrid>
      <w:tr w:rsidTr="00D730A1">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1C574E">
            <w:pPr>
              <w:pStyle w:val="BodyText"/>
              <w:rPr>
                <w:lang w:val="en-NZ"/>
              </w:rPr>
            </w:pPr>
            <w:r w:rsidRPr="001C574E">
              <w:rPr>
                <w:rStyle w:val="SpecialBold"/>
              </w:rPr>
              <w:t>Competency Field</w:t>
            </w:r>
            <w:r w:rsidRPr="001C574E">
              <w:t xml:space="preserve"> </w:t>
            </w:r>
          </w:p>
        </w:tc>
        <w:tc>
          <w:tcPr>
            <w:tcW w:w="6662" w:type="dxa"/>
            <w:tcBorders>
              <w:top w:val="nil"/>
              <w:left w:val="nil"/>
              <w:bottom w:val="nil"/>
              <w:right w:val="nil"/>
            </w:tcBorders>
            <w:tcMar>
              <w:top w:w="0" w:type="dxa"/>
              <w:left w:w="62" w:type="dxa"/>
              <w:bottom w:w="0" w:type="dxa"/>
              <w:right w:w="62" w:type="dxa"/>
            </w:tcMar>
          </w:tcPr>
          <w:p w:rsidR="00000000" w:rsidRPr="001C574E" w:rsidP="001C574E">
            <w:pPr>
              <w:pStyle w:val="BodyText"/>
            </w:pPr>
            <w:r w:rsidRPr="001C574E">
              <w:t>D - Load Handling</w:t>
            </w:r>
          </w:p>
        </w:tc>
      </w:tr>
    </w:tbl>
    <w:p w:rsidR="00D730A1" w:rsidP="001C574E">
      <w:pPr>
        <w:pStyle w:val="BodyText"/>
      </w:pPr>
    </w:p>
    <w:p w:rsidR="00D730A1" w:rsidP="001C574E">
      <w:pPr>
        <w:pStyle w:val="BodyText"/>
      </w:pPr>
    </w:p>
    <w:p w:rsidR="00000000" w:rsidRPr="001C574E" w:rsidP="001C574E"/>
    <w:sectPr w:rsidSect="001C574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7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730A1" w:rsidP="00D730A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7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0A1" w:rsidP="001C57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730A1" w:rsidP="001C574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D730A1" w:rsidP="001C574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7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730A1" w:rsidP="00D730A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7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0A1" w:rsidP="001C574E">
    <w:pPr>
      <w:pStyle w:val="Header"/>
      <w:framePr w:wrap="around"/>
    </w:pPr>
    <w:r>
      <w:fldChar w:fldCharType="begin"/>
    </w:r>
    <w:r>
      <w:instrText xml:space="preserve"> TITLE   \* MERGEFORMAT </w:instrText>
    </w:r>
    <w:r>
      <w:fldChar w:fldCharType="separate"/>
    </w:r>
    <w:r>
      <w:t>TLID3023A Use specialised liquid bulk gas transfer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730A1" w:rsidP="001C574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F6CB3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54608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342BC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574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C574E"/>
    <w:pPr>
      <w:spacing w:before="360" w:after="60"/>
      <w:outlineLvl w:val="0"/>
    </w:pPr>
    <w:rPr>
      <w:sz w:val="32"/>
    </w:rPr>
  </w:style>
  <w:style w:type="paragraph" w:styleId="Heading2">
    <w:name w:val="heading 2"/>
    <w:basedOn w:val="HeadingBase"/>
    <w:next w:val="BodyText"/>
    <w:link w:val="Heading2Char"/>
    <w:qFormat/>
    <w:rsid w:val="001C574E"/>
    <w:pPr>
      <w:keepLines/>
      <w:spacing w:before="240" w:after="120"/>
      <w:outlineLvl w:val="1"/>
    </w:pPr>
    <w:rPr>
      <w:sz w:val="28"/>
      <w:szCs w:val="40"/>
    </w:rPr>
  </w:style>
  <w:style w:type="paragraph" w:styleId="Heading3">
    <w:name w:val="heading 3"/>
    <w:basedOn w:val="HeadingBase"/>
    <w:next w:val="BodyText"/>
    <w:link w:val="Heading3Char"/>
    <w:qFormat/>
    <w:rsid w:val="001C574E"/>
    <w:pPr>
      <w:spacing w:before="180" w:after="120"/>
      <w:outlineLvl w:val="2"/>
    </w:pPr>
    <w:rPr>
      <w:spacing w:val="-10"/>
      <w:kern w:val="32"/>
    </w:rPr>
  </w:style>
  <w:style w:type="paragraph" w:styleId="Heading4">
    <w:name w:val="heading 4"/>
    <w:basedOn w:val="HeadingBase"/>
    <w:next w:val="BodyText"/>
    <w:link w:val="Heading4Char"/>
    <w:qFormat/>
    <w:rsid w:val="001C574E"/>
    <w:pPr>
      <w:spacing w:before="160" w:after="120"/>
      <w:outlineLvl w:val="3"/>
    </w:pPr>
    <w:rPr>
      <w:sz w:val="22"/>
    </w:rPr>
  </w:style>
  <w:style w:type="paragraph" w:styleId="Heading5">
    <w:name w:val="heading 5"/>
    <w:basedOn w:val="HeadingBase"/>
    <w:next w:val="Normal"/>
    <w:link w:val="Heading5Char"/>
    <w:qFormat/>
    <w:rsid w:val="001C574E"/>
    <w:pPr>
      <w:spacing w:before="80"/>
      <w:outlineLvl w:val="4"/>
    </w:pPr>
    <w:rPr>
      <w:color w:val="918585"/>
      <w:sz w:val="20"/>
    </w:rPr>
  </w:style>
  <w:style w:type="paragraph" w:styleId="Heading6">
    <w:name w:val="heading 6"/>
    <w:basedOn w:val="HeadingBase"/>
    <w:next w:val="Normal"/>
    <w:link w:val="Heading6Char"/>
    <w:qFormat/>
    <w:rsid w:val="001C574E"/>
    <w:pPr>
      <w:spacing w:before="60"/>
      <w:outlineLvl w:val="5"/>
    </w:pPr>
    <w:rPr>
      <w:color w:val="918585"/>
      <w:sz w:val="20"/>
    </w:rPr>
  </w:style>
  <w:style w:type="paragraph" w:styleId="Heading7">
    <w:name w:val="heading 7"/>
    <w:basedOn w:val="Normal"/>
    <w:next w:val="Normal"/>
    <w:link w:val="Heading7Char"/>
    <w:qFormat/>
    <w:rsid w:val="001C574E"/>
    <w:pPr>
      <w:ind w:left="720"/>
      <w:outlineLvl w:val="6"/>
    </w:pPr>
    <w:rPr>
      <w:i/>
    </w:rPr>
  </w:style>
  <w:style w:type="paragraph" w:styleId="Heading8">
    <w:name w:val="heading 8"/>
    <w:basedOn w:val="Normal"/>
    <w:next w:val="Normal"/>
    <w:link w:val="Heading8Char"/>
    <w:qFormat/>
    <w:rsid w:val="001C574E"/>
    <w:pPr>
      <w:ind w:left="720"/>
      <w:outlineLvl w:val="7"/>
    </w:pPr>
    <w:rPr>
      <w:i/>
    </w:rPr>
  </w:style>
  <w:style w:type="paragraph" w:styleId="Heading9">
    <w:name w:val="heading 9"/>
    <w:basedOn w:val="Normal"/>
    <w:next w:val="Normal"/>
    <w:link w:val="Heading9Char"/>
    <w:qFormat/>
    <w:rsid w:val="001C574E"/>
    <w:pPr>
      <w:ind w:left="720"/>
      <w:outlineLvl w:val="8"/>
    </w:pPr>
    <w:rPr>
      <w:i/>
    </w:rPr>
  </w:style>
  <w:style w:type="character" w:default="1" w:styleId="DefaultParagraphFont">
    <w:name w:val="Default Paragraph Font"/>
    <w:uiPriority w:val="1"/>
    <w:unhideWhenUsed/>
    <w:rsid w:val="001C57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574E"/>
  </w:style>
  <w:style w:type="character" w:customStyle="1" w:styleId="Heading1Char">
    <w:name w:val="Heading 1 Char"/>
    <w:basedOn w:val="DefaultParagraphFont"/>
    <w:link w:val="Heading1"/>
    <w:rsid w:val="001C574E"/>
    <w:rPr>
      <w:rFonts w:ascii="Times New Roman" w:eastAsia="Times New Roman" w:hAnsi="Times New Roman" w:cs="Times New Roman"/>
      <w:b/>
      <w:sz w:val="32"/>
      <w:szCs w:val="20"/>
      <w:lang w:eastAsia="en-US"/>
    </w:rPr>
  </w:style>
  <w:style w:type="paragraph" w:styleId="BodyText">
    <w:name w:val="Body Text"/>
    <w:basedOn w:val="Normal"/>
    <w:link w:val="BodyTextChar"/>
    <w:rsid w:val="001C574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C574E"/>
    <w:rPr>
      <w:rFonts w:ascii="Times New Roman" w:eastAsia="Times New Roman" w:hAnsi="Times New Roman" w:cs="Times New Roman"/>
      <w:sz w:val="24"/>
      <w:lang w:val="en-US" w:eastAsia="en-US"/>
    </w:rPr>
  </w:style>
  <w:style w:type="paragraph" w:styleId="Footer">
    <w:name w:val="footer"/>
    <w:basedOn w:val="Normal"/>
    <w:link w:val="FooterChar"/>
    <w:rsid w:val="001C57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574E"/>
    <w:rPr>
      <w:rFonts w:ascii="Times New Roman" w:eastAsia="Times New Roman" w:hAnsi="Times New Roman" w:cs="Times New Roman"/>
      <w:sz w:val="16"/>
      <w:lang w:val="en-US" w:eastAsia="en-US"/>
    </w:rPr>
  </w:style>
  <w:style w:type="paragraph" w:styleId="List">
    <w:name w:val="List"/>
    <w:basedOn w:val="BodyText"/>
    <w:next w:val="BodyText"/>
    <w:rsid w:val="001C574E"/>
    <w:pPr>
      <w:tabs>
        <w:tab w:val="left" w:pos="340"/>
      </w:tabs>
      <w:spacing w:before="60" w:after="60"/>
      <w:ind w:left="340" w:hanging="340"/>
    </w:pPr>
  </w:style>
  <w:style w:type="paragraph" w:styleId="ListBullet">
    <w:name w:val="List Bullet"/>
    <w:basedOn w:val="List"/>
    <w:rsid w:val="001C574E"/>
    <w:pPr>
      <w:numPr>
        <w:numId w:val="13"/>
      </w:numPr>
      <w:tabs>
        <w:tab w:val="clear" w:pos="340"/>
      </w:tabs>
      <w:spacing w:before="40" w:after="40"/>
    </w:pPr>
  </w:style>
  <w:style w:type="character" w:customStyle="1" w:styleId="SpecialBold">
    <w:name w:val="Special Bold"/>
    <w:basedOn w:val="DefaultParagraphFont"/>
    <w:rsid w:val="001C574E"/>
    <w:rPr>
      <w:b/>
      <w:spacing w:val="0"/>
    </w:rPr>
  </w:style>
  <w:style w:type="paragraph" w:styleId="ListBullet2">
    <w:name w:val="List Bullet 2"/>
    <w:basedOn w:val="List2"/>
    <w:rsid w:val="001C574E"/>
    <w:pPr>
      <w:numPr>
        <w:numId w:val="14"/>
      </w:numPr>
      <w:tabs>
        <w:tab w:val="clear" w:pos="680"/>
      </w:tabs>
    </w:pPr>
  </w:style>
  <w:style w:type="paragraph" w:styleId="Header">
    <w:name w:val="header"/>
    <w:basedOn w:val="Normal"/>
    <w:link w:val="HeaderChar"/>
    <w:rsid w:val="001C57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574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C574E"/>
    <w:pPr>
      <w:spacing w:before="240" w:after="120"/>
      <w:outlineLvl w:val="0"/>
    </w:pPr>
    <w:rPr>
      <w:rFonts w:ascii="Times New Roman" w:hAnsi="Times New Roman"/>
      <w:b/>
      <w:sz w:val="28"/>
    </w:rPr>
  </w:style>
  <w:style w:type="paragraph" w:customStyle="1" w:styleId="AllowPageBreak">
    <w:name w:val="AllowPageBreak"/>
    <w:rsid w:val="001C574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C57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57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57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57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57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574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C574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C574E"/>
    <w:rPr>
      <w:rFonts w:ascii="Courier New" w:eastAsia="Times New Roman" w:hAnsi="Courier New" w:cs="Times New Roman"/>
      <w:i/>
      <w:szCs w:val="20"/>
      <w:lang w:val="en-US" w:eastAsia="en-US"/>
    </w:rPr>
  </w:style>
  <w:style w:type="paragraph" w:customStyle="1" w:styleId="HeadingBase">
    <w:name w:val="Heading Base"/>
    <w:rsid w:val="001C57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574E"/>
    <w:pPr>
      <w:tabs>
        <w:tab w:val="right" w:leader="dot" w:pos="9072"/>
      </w:tabs>
      <w:ind w:left="567"/>
    </w:pPr>
    <w:rPr>
      <w:szCs w:val="22"/>
    </w:rPr>
  </w:style>
  <w:style w:type="paragraph" w:customStyle="1" w:styleId="TOCBase">
    <w:name w:val="TOC Base"/>
    <w:rsid w:val="001C57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574E"/>
    <w:pPr>
      <w:tabs>
        <w:tab w:val="right" w:leader="dot" w:pos="9072"/>
      </w:tabs>
      <w:spacing w:before="40" w:after="40"/>
      <w:ind w:left="284"/>
    </w:pPr>
    <w:rPr>
      <w:rFonts w:ascii="Times New Roman" w:hAnsi="Times New Roman"/>
    </w:rPr>
  </w:style>
  <w:style w:type="paragraph" w:styleId="TOC1">
    <w:name w:val="toc 1"/>
    <w:basedOn w:val="TOCBase"/>
    <w:next w:val="Normal"/>
    <w:rsid w:val="001C574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C574E"/>
    <w:pPr>
      <w:spacing w:before="5040"/>
      <w:jc w:val="center"/>
    </w:pPr>
    <w:rPr>
      <w:sz w:val="48"/>
      <w:szCs w:val="72"/>
      <w:lang w:val="en-US"/>
    </w:rPr>
  </w:style>
  <w:style w:type="character" w:customStyle="1" w:styleId="TitleChar">
    <w:name w:val="Title Char"/>
    <w:basedOn w:val="DefaultParagraphFont"/>
    <w:link w:val="Title"/>
    <w:rsid w:val="001C57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574E"/>
    <w:pPr>
      <w:tabs>
        <w:tab w:val="left" w:pos="3600"/>
        <w:tab w:val="left" w:pos="3958"/>
      </w:tabs>
    </w:pPr>
  </w:style>
  <w:style w:type="paragraph" w:customStyle="1" w:styleId="Note">
    <w:name w:val="Note"/>
    <w:basedOn w:val="BodyText"/>
    <w:rsid w:val="001C57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574E"/>
    <w:pPr>
      <w:framePr w:wrap="auto" w:hAnchor="text" w:y="6049"/>
    </w:pPr>
    <w:rPr>
      <w:color w:val="000000"/>
      <w:sz w:val="40"/>
    </w:rPr>
  </w:style>
  <w:style w:type="paragraph" w:customStyle="1" w:styleId="TOCTitle">
    <w:name w:val="TOCTitle"/>
    <w:basedOn w:val="Heading1"/>
    <w:rsid w:val="001C574E"/>
    <w:pPr>
      <w:spacing w:after="240"/>
      <w:jc w:val="center"/>
      <w:outlineLvl w:val="9"/>
    </w:pPr>
    <w:rPr>
      <w:caps/>
    </w:rPr>
  </w:style>
  <w:style w:type="paragraph" w:customStyle="1" w:styleId="Version">
    <w:name w:val="Version"/>
    <w:rsid w:val="001C574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C574E"/>
    <w:pPr>
      <w:keepNext w:val="0"/>
      <w:tabs>
        <w:tab w:val="right" w:pos="4176"/>
      </w:tabs>
      <w:ind w:left="198" w:hanging="198"/>
    </w:pPr>
    <w:rPr>
      <w:rFonts w:ascii="Garamond" w:hAnsi="Garamond"/>
    </w:rPr>
  </w:style>
  <w:style w:type="paragraph" w:styleId="IndexHeading">
    <w:name w:val="index heading"/>
    <w:basedOn w:val="Normal"/>
    <w:next w:val="Index1"/>
    <w:semiHidden/>
    <w:rsid w:val="001C574E"/>
    <w:pPr>
      <w:spacing w:before="120" w:after="120"/>
    </w:pPr>
    <w:rPr>
      <w:rFonts w:ascii="Arial" w:hAnsi="Arial"/>
      <w:b/>
      <w:color w:val="918585"/>
      <w:sz w:val="24"/>
    </w:rPr>
  </w:style>
  <w:style w:type="paragraph" w:customStyle="1" w:styleId="Chapter">
    <w:name w:val="Chapter"/>
    <w:basedOn w:val="Normal"/>
    <w:rsid w:val="001C574E"/>
    <w:pPr>
      <w:spacing w:before="240"/>
    </w:pPr>
    <w:rPr>
      <w:rFonts w:ascii="Times New Roman" w:hAnsi="Times New Roman"/>
      <w:smallCaps/>
      <w:spacing w:val="80"/>
      <w:sz w:val="28"/>
    </w:rPr>
  </w:style>
  <w:style w:type="paragraph" w:customStyle="1" w:styleId="InChapter">
    <w:name w:val="InChapter"/>
    <w:basedOn w:val="Heading3"/>
    <w:rsid w:val="001C574E"/>
    <w:pPr>
      <w:spacing w:after="240"/>
      <w:outlineLvl w:val="9"/>
    </w:pPr>
    <w:rPr>
      <w:noProof/>
    </w:rPr>
  </w:style>
  <w:style w:type="paragraph" w:styleId="Index2">
    <w:name w:val="index 2"/>
    <w:basedOn w:val="Normal"/>
    <w:next w:val="Normal"/>
    <w:semiHidden/>
    <w:rsid w:val="001C574E"/>
    <w:pPr>
      <w:tabs>
        <w:tab w:val="right" w:pos="4176"/>
      </w:tabs>
      <w:ind w:left="568" w:hanging="284"/>
    </w:pPr>
    <w:rPr>
      <w:rFonts w:ascii="Garamond" w:hAnsi="Garamond"/>
    </w:rPr>
  </w:style>
  <w:style w:type="paragraph" w:customStyle="1" w:styleId="Byline">
    <w:name w:val="Byline"/>
    <w:rsid w:val="001C57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574E"/>
    <w:pPr>
      <w:tabs>
        <w:tab w:val="clear" w:pos="3600"/>
        <w:tab w:val="clear" w:pos="3958"/>
      </w:tabs>
      <w:jc w:val="right"/>
    </w:pPr>
  </w:style>
  <w:style w:type="character" w:styleId="Emphasis">
    <w:name w:val="Emphasis"/>
    <w:basedOn w:val="DefaultParagraphFont"/>
    <w:qFormat/>
    <w:rsid w:val="001C574E"/>
    <w:rPr>
      <w:i/>
    </w:rPr>
  </w:style>
  <w:style w:type="paragraph" w:styleId="Caption">
    <w:name w:val="caption"/>
    <w:basedOn w:val="BodyText"/>
    <w:next w:val="Normal"/>
    <w:qFormat/>
    <w:rsid w:val="001C574E"/>
    <w:pPr>
      <w:framePr w:w="2268" w:hSpace="181" w:vSpace="181" w:wrap="around" w:vAnchor="text" w:hAnchor="page" w:x="1135" w:y="285" w:anchorLock="1"/>
    </w:pPr>
    <w:rPr>
      <w:i/>
    </w:rPr>
  </w:style>
  <w:style w:type="paragraph" w:customStyle="1" w:styleId="MiniTOCTitle">
    <w:name w:val="MiniTOCTitle"/>
    <w:basedOn w:val="Heading4"/>
    <w:rsid w:val="001C574E"/>
    <w:pPr>
      <w:spacing w:before="240"/>
      <w:outlineLvl w:val="9"/>
    </w:pPr>
    <w:rPr>
      <w:noProof/>
      <w:sz w:val="24"/>
    </w:rPr>
  </w:style>
  <w:style w:type="paragraph" w:customStyle="1" w:styleId="MiniTOCItem">
    <w:name w:val="MiniTOCItem"/>
    <w:basedOn w:val="ListBullet"/>
    <w:rsid w:val="001C574E"/>
    <w:pPr>
      <w:numPr>
        <w:numId w:val="0"/>
      </w:numPr>
      <w:tabs>
        <w:tab w:val="right" w:leader="dot" w:pos="6521"/>
      </w:tabs>
      <w:spacing w:before="0" w:after="0"/>
    </w:pPr>
  </w:style>
  <w:style w:type="paragraph" w:customStyle="1" w:styleId="TOFTitle">
    <w:name w:val="TOFTitle"/>
    <w:basedOn w:val="TOCTitle"/>
    <w:rsid w:val="001C574E"/>
  </w:style>
  <w:style w:type="paragraph" w:styleId="TableofFigures">
    <w:name w:val="table of figures"/>
    <w:basedOn w:val="Normal"/>
    <w:next w:val="Normal"/>
    <w:semiHidden/>
    <w:rsid w:val="001C574E"/>
    <w:pPr>
      <w:tabs>
        <w:tab w:val="right" w:leader="dot" w:pos="9072"/>
      </w:tabs>
      <w:ind w:left="970" w:hanging="403"/>
    </w:pPr>
    <w:rPr>
      <w:rFonts w:ascii="Times New Roman" w:hAnsi="Times New Roman"/>
      <w:b/>
    </w:rPr>
  </w:style>
  <w:style w:type="paragraph" w:styleId="ListNumber">
    <w:name w:val="List Number"/>
    <w:basedOn w:val="List"/>
    <w:rsid w:val="001C574E"/>
    <w:pPr>
      <w:numPr>
        <w:numId w:val="11"/>
      </w:numPr>
    </w:pPr>
  </w:style>
  <w:style w:type="character" w:customStyle="1" w:styleId="WingdingSymbols">
    <w:name w:val="Wingding Symbols"/>
    <w:rsid w:val="001C574E"/>
    <w:rPr>
      <w:rFonts w:ascii="Wingdings" w:hAnsi="Wingdings"/>
    </w:rPr>
  </w:style>
  <w:style w:type="paragraph" w:customStyle="1" w:styleId="TableHeading">
    <w:name w:val="Table Heading"/>
    <w:basedOn w:val="HeadingBase"/>
    <w:rsid w:val="001C574E"/>
    <w:pPr>
      <w:keepLines/>
      <w:pBdr>
        <w:bottom w:val="single" w:sz="6" w:space="1" w:color="918585"/>
      </w:pBdr>
      <w:spacing w:before="240"/>
    </w:pPr>
  </w:style>
  <w:style w:type="character" w:customStyle="1" w:styleId="HotSpot">
    <w:name w:val="HotSpot"/>
    <w:rsid w:val="001C574E"/>
    <w:rPr>
      <w:color w:val="0033CC"/>
      <w:u w:val="none"/>
    </w:rPr>
  </w:style>
  <w:style w:type="paragraph" w:customStyle="1" w:styleId="BodyTextRight">
    <w:name w:val="Body Text Right"/>
    <w:basedOn w:val="BodyText"/>
    <w:rsid w:val="001C574E"/>
    <w:pPr>
      <w:spacing w:before="0" w:after="0"/>
      <w:jc w:val="right"/>
    </w:pPr>
  </w:style>
  <w:style w:type="paragraph" w:styleId="Index3">
    <w:name w:val="index 3"/>
    <w:basedOn w:val="ListNumber2"/>
    <w:next w:val="Normal"/>
    <w:semiHidden/>
    <w:rsid w:val="001C574E"/>
    <w:pPr>
      <w:numPr>
        <w:numId w:val="0"/>
      </w:numPr>
      <w:tabs>
        <w:tab w:val="right" w:leader="dot" w:pos="4176"/>
      </w:tabs>
    </w:pPr>
  </w:style>
  <w:style w:type="paragraph" w:styleId="ListNumber2">
    <w:name w:val="List Number 2"/>
    <w:basedOn w:val="List2"/>
    <w:rsid w:val="001C574E"/>
    <w:pPr>
      <w:numPr>
        <w:numId w:val="10"/>
      </w:numPr>
      <w:tabs>
        <w:tab w:val="clear" w:pos="1060"/>
      </w:tabs>
    </w:pPr>
  </w:style>
  <w:style w:type="paragraph" w:customStyle="1" w:styleId="MarginNote">
    <w:name w:val="Margin Note"/>
    <w:basedOn w:val="BodyText"/>
    <w:rsid w:val="001C57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57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574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C574E"/>
    <w:rPr>
      <w:sz w:val="32"/>
    </w:rPr>
  </w:style>
  <w:style w:type="paragraph" w:customStyle="1" w:styleId="HeadingProcedure">
    <w:name w:val="Heading Procedure"/>
    <w:basedOn w:val="HeadingBase"/>
    <w:next w:val="Normal"/>
    <w:rsid w:val="001C574E"/>
    <w:pPr>
      <w:tabs>
        <w:tab w:val="left" w:pos="0"/>
      </w:tabs>
      <w:spacing w:before="120" w:after="60"/>
    </w:pPr>
    <w:rPr>
      <w:i/>
      <w:color w:val="918585"/>
      <w:sz w:val="22"/>
    </w:rPr>
  </w:style>
  <w:style w:type="paragraph" w:customStyle="1" w:styleId="TableBodyText">
    <w:name w:val="Table Body Text"/>
    <w:basedOn w:val="BodyText"/>
    <w:rsid w:val="001C574E"/>
    <w:pPr>
      <w:spacing w:before="60" w:after="60"/>
    </w:pPr>
  </w:style>
  <w:style w:type="paragraph" w:styleId="ListContinue">
    <w:name w:val="List Continue"/>
    <w:basedOn w:val="List"/>
    <w:rsid w:val="001C574E"/>
    <w:pPr>
      <w:ind w:firstLine="0"/>
    </w:pPr>
  </w:style>
  <w:style w:type="paragraph" w:customStyle="1" w:styleId="ListNote">
    <w:name w:val="List Note"/>
    <w:basedOn w:val="List"/>
    <w:rsid w:val="001C574E"/>
    <w:pPr>
      <w:pBdr>
        <w:top w:val="single" w:sz="6" w:space="2" w:color="918585"/>
        <w:bottom w:val="single" w:sz="6" w:space="2" w:color="918585"/>
      </w:pBdr>
      <w:tabs>
        <w:tab w:val="left" w:pos="1021"/>
      </w:tabs>
      <w:ind w:firstLine="0"/>
    </w:pPr>
  </w:style>
  <w:style w:type="paragraph" w:customStyle="1" w:styleId="Warning">
    <w:name w:val="Warning"/>
    <w:basedOn w:val="BodyText"/>
    <w:rsid w:val="001C574E"/>
    <w:pPr>
      <w:shd w:val="clear" w:color="auto" w:fill="D9D9D9"/>
      <w:tabs>
        <w:tab w:val="left" w:pos="992"/>
      </w:tabs>
      <w:ind w:left="119" w:right="119"/>
    </w:pPr>
    <w:rPr>
      <w:sz w:val="20"/>
    </w:rPr>
  </w:style>
  <w:style w:type="paragraph" w:customStyle="1" w:styleId="MarginIcons">
    <w:name w:val="Margin Icons"/>
    <w:basedOn w:val="BodyText"/>
    <w:rsid w:val="001C57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574E"/>
    <w:rPr>
      <w:rFonts w:ascii="Courier New" w:hAnsi="Courier New"/>
    </w:rPr>
  </w:style>
  <w:style w:type="paragraph" w:customStyle="1" w:styleId="NoteBullet">
    <w:name w:val="Note Bullet"/>
    <w:basedOn w:val="Note"/>
    <w:rsid w:val="001C574E"/>
    <w:pPr>
      <w:tabs>
        <w:tab w:val="clear" w:pos="680"/>
      </w:tabs>
      <w:spacing w:before="60" w:after="60"/>
    </w:pPr>
  </w:style>
  <w:style w:type="paragraph" w:customStyle="1" w:styleId="SubHeading2">
    <w:name w:val="SubHeading2"/>
    <w:basedOn w:val="HeadingBase"/>
    <w:rsid w:val="001C574E"/>
    <w:pPr>
      <w:spacing w:before="240" w:after="60"/>
    </w:pPr>
    <w:rPr>
      <w:sz w:val="20"/>
    </w:rPr>
  </w:style>
  <w:style w:type="paragraph" w:customStyle="1" w:styleId="SubHeading1">
    <w:name w:val="SubHeading1"/>
    <w:basedOn w:val="HeadingBase"/>
    <w:rsid w:val="001C574E"/>
    <w:pPr>
      <w:spacing w:before="240" w:after="60"/>
    </w:pPr>
    <w:rPr>
      <w:color w:val="918585"/>
      <w:sz w:val="22"/>
    </w:rPr>
  </w:style>
  <w:style w:type="paragraph" w:customStyle="1" w:styleId="SideHeading">
    <w:name w:val="Side Heading"/>
    <w:basedOn w:val="HeadingBase"/>
    <w:rsid w:val="001C57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574E"/>
    <w:pPr>
      <w:numPr>
        <w:numId w:val="12"/>
      </w:numPr>
    </w:pPr>
  </w:style>
  <w:style w:type="paragraph" w:styleId="PlainText">
    <w:name w:val="Plain Text"/>
    <w:basedOn w:val="Normal"/>
    <w:link w:val="PlainTextChar"/>
    <w:rsid w:val="001C574E"/>
    <w:rPr>
      <w:sz w:val="20"/>
    </w:rPr>
  </w:style>
  <w:style w:type="character" w:customStyle="1" w:styleId="PlainTextChar">
    <w:name w:val="Plain Text Char"/>
    <w:basedOn w:val="DefaultParagraphFont"/>
    <w:link w:val="PlainText"/>
    <w:rsid w:val="001C574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C574E"/>
    <w:rPr>
      <w:b/>
      <w:smallCaps/>
    </w:rPr>
  </w:style>
  <w:style w:type="paragraph" w:customStyle="1" w:styleId="TableListNumber">
    <w:name w:val="Table List Number"/>
    <w:basedOn w:val="ListNumber"/>
    <w:rsid w:val="001C574E"/>
    <w:pPr>
      <w:numPr>
        <w:numId w:val="0"/>
      </w:numPr>
    </w:pPr>
  </w:style>
  <w:style w:type="paragraph" w:styleId="TOC4">
    <w:name w:val="toc 4"/>
    <w:basedOn w:val="TOCBase"/>
    <w:next w:val="Normal"/>
    <w:semiHidden/>
    <w:rsid w:val="001C574E"/>
    <w:pPr>
      <w:tabs>
        <w:tab w:val="right" w:leader="dot" w:pos="9071"/>
      </w:tabs>
      <w:ind w:left="1701"/>
    </w:pPr>
  </w:style>
  <w:style w:type="paragraph" w:customStyle="1" w:styleId="ListAlpha">
    <w:name w:val="List Alpha"/>
    <w:basedOn w:val="List"/>
    <w:rsid w:val="001C574E"/>
    <w:pPr>
      <w:numPr>
        <w:numId w:val="9"/>
      </w:numPr>
    </w:pPr>
  </w:style>
  <w:style w:type="paragraph" w:customStyle="1" w:styleId="ListAlpha2">
    <w:name w:val="List Alpha 2"/>
    <w:basedOn w:val="List2"/>
    <w:rsid w:val="001C574E"/>
    <w:pPr>
      <w:numPr>
        <w:numId w:val="8"/>
      </w:numPr>
    </w:pPr>
  </w:style>
  <w:style w:type="paragraph" w:styleId="List2">
    <w:name w:val="List 2"/>
    <w:basedOn w:val="BodyText"/>
    <w:rsid w:val="001C574E"/>
    <w:pPr>
      <w:tabs>
        <w:tab w:val="left" w:pos="680"/>
      </w:tabs>
      <w:spacing w:before="60" w:after="60"/>
      <w:ind w:left="680" w:hanging="340"/>
    </w:pPr>
  </w:style>
  <w:style w:type="paragraph" w:styleId="List3">
    <w:name w:val="List 3"/>
    <w:basedOn w:val="BodyText"/>
    <w:rsid w:val="001C574E"/>
    <w:pPr>
      <w:tabs>
        <w:tab w:val="left" w:pos="1021"/>
      </w:tabs>
      <w:spacing w:before="60" w:after="60"/>
      <w:ind w:left="1020" w:hanging="340"/>
    </w:pPr>
  </w:style>
  <w:style w:type="paragraph" w:styleId="List4">
    <w:name w:val="List 4"/>
    <w:basedOn w:val="BodyText"/>
    <w:rsid w:val="001C574E"/>
    <w:pPr>
      <w:tabs>
        <w:tab w:val="left" w:pos="1361"/>
      </w:tabs>
      <w:spacing w:before="60" w:after="60"/>
      <w:ind w:left="1361" w:hanging="340"/>
    </w:pPr>
  </w:style>
  <w:style w:type="paragraph" w:styleId="List5">
    <w:name w:val="List 5"/>
    <w:basedOn w:val="BodyText"/>
    <w:rsid w:val="001C574E"/>
    <w:pPr>
      <w:tabs>
        <w:tab w:val="left" w:pos="1701"/>
      </w:tabs>
      <w:spacing w:before="60" w:after="60"/>
      <w:ind w:left="1701" w:hanging="340"/>
    </w:pPr>
  </w:style>
  <w:style w:type="paragraph" w:styleId="ListBullet3">
    <w:name w:val="List Bullet 3"/>
    <w:basedOn w:val="List3"/>
    <w:rsid w:val="001C574E"/>
    <w:pPr>
      <w:numPr>
        <w:numId w:val="15"/>
      </w:numPr>
      <w:tabs>
        <w:tab w:val="clear" w:pos="1021"/>
      </w:tabs>
      <w:ind w:left="1037" w:hanging="357"/>
    </w:pPr>
  </w:style>
  <w:style w:type="paragraph" w:styleId="ListBullet4">
    <w:name w:val="List Bullet 4"/>
    <w:basedOn w:val="List4"/>
    <w:rsid w:val="001C574E"/>
    <w:pPr>
      <w:numPr>
        <w:numId w:val="3"/>
      </w:numPr>
    </w:pPr>
  </w:style>
  <w:style w:type="paragraph" w:styleId="ListBullet5">
    <w:name w:val="List Bullet 5"/>
    <w:basedOn w:val="List5"/>
    <w:rsid w:val="001C574E"/>
    <w:pPr>
      <w:numPr>
        <w:numId w:val="4"/>
      </w:numPr>
    </w:pPr>
  </w:style>
  <w:style w:type="paragraph" w:styleId="ListContinue2">
    <w:name w:val="List Continue 2"/>
    <w:basedOn w:val="List2"/>
    <w:rsid w:val="001C574E"/>
    <w:pPr>
      <w:ind w:firstLine="0"/>
    </w:pPr>
  </w:style>
  <w:style w:type="paragraph" w:styleId="ListContinue3">
    <w:name w:val="List Continue 3"/>
    <w:basedOn w:val="List3"/>
    <w:rsid w:val="001C574E"/>
    <w:pPr>
      <w:ind w:left="1021" w:firstLine="0"/>
    </w:pPr>
  </w:style>
  <w:style w:type="paragraph" w:styleId="ListContinue4">
    <w:name w:val="List Continue 4"/>
    <w:basedOn w:val="List4"/>
    <w:rsid w:val="001C574E"/>
    <w:pPr>
      <w:ind w:firstLine="0"/>
    </w:pPr>
  </w:style>
  <w:style w:type="paragraph" w:styleId="ListContinue5">
    <w:name w:val="List Continue 5"/>
    <w:basedOn w:val="List5"/>
    <w:rsid w:val="001C574E"/>
    <w:pPr>
      <w:ind w:firstLine="0"/>
    </w:pPr>
  </w:style>
  <w:style w:type="paragraph" w:styleId="ListNumber3">
    <w:name w:val="List Number 3"/>
    <w:basedOn w:val="List3"/>
    <w:rsid w:val="001C574E"/>
    <w:pPr>
      <w:numPr>
        <w:numId w:val="5"/>
      </w:numPr>
    </w:pPr>
  </w:style>
  <w:style w:type="paragraph" w:styleId="ListNumber4">
    <w:name w:val="List Number 4"/>
    <w:basedOn w:val="List4"/>
    <w:rsid w:val="001C574E"/>
    <w:pPr>
      <w:numPr>
        <w:numId w:val="6"/>
      </w:numPr>
    </w:pPr>
  </w:style>
  <w:style w:type="paragraph" w:styleId="ListNumber5">
    <w:name w:val="List Number 5"/>
    <w:basedOn w:val="List5"/>
    <w:rsid w:val="001C574E"/>
    <w:pPr>
      <w:numPr>
        <w:numId w:val="7"/>
      </w:numPr>
    </w:pPr>
  </w:style>
  <w:style w:type="paragraph" w:styleId="BlockText">
    <w:name w:val="Block Text"/>
    <w:basedOn w:val="Normal"/>
    <w:rsid w:val="001C574E"/>
    <w:pPr>
      <w:spacing w:after="120"/>
      <w:ind w:left="1440" w:right="1440"/>
    </w:pPr>
  </w:style>
  <w:style w:type="character" w:customStyle="1" w:styleId="Subscript">
    <w:name w:val="Subscript"/>
    <w:basedOn w:val="DefaultParagraphFont"/>
    <w:rsid w:val="001C574E"/>
    <w:rPr>
      <w:sz w:val="16"/>
      <w:vertAlign w:val="subscript"/>
    </w:rPr>
  </w:style>
  <w:style w:type="character" w:customStyle="1" w:styleId="Superscript">
    <w:name w:val="Superscript"/>
    <w:basedOn w:val="DefaultParagraphFont"/>
    <w:rsid w:val="001C574E"/>
    <w:rPr>
      <w:sz w:val="16"/>
      <w:vertAlign w:val="superscript"/>
    </w:rPr>
  </w:style>
  <w:style w:type="character" w:customStyle="1" w:styleId="Symbols">
    <w:name w:val="Symbols"/>
    <w:basedOn w:val="DefaultParagraphFont"/>
    <w:rsid w:val="001C574E"/>
    <w:rPr>
      <w:rFonts w:ascii="Symbol" w:hAnsi="Symbol"/>
    </w:rPr>
  </w:style>
  <w:style w:type="character" w:customStyle="1" w:styleId="MenuOptions">
    <w:name w:val="Menu Options"/>
    <w:basedOn w:val="DefaultParagraphFont"/>
    <w:rsid w:val="001C574E"/>
    <w:rPr>
      <w:rFonts w:ascii="Arial Narrow" w:hAnsi="Arial Narrow"/>
      <w:smallCaps/>
    </w:rPr>
  </w:style>
  <w:style w:type="character" w:customStyle="1" w:styleId="Buttons">
    <w:name w:val="Buttons"/>
    <w:basedOn w:val="DefaultParagraphFont"/>
    <w:rsid w:val="001C574E"/>
    <w:rPr>
      <w:b/>
    </w:rPr>
  </w:style>
  <w:style w:type="character" w:customStyle="1" w:styleId="Underlined">
    <w:name w:val="Underlined"/>
    <w:basedOn w:val="DefaultParagraphFont"/>
    <w:rsid w:val="001C574E"/>
    <w:rPr>
      <w:u w:val="single"/>
    </w:rPr>
  </w:style>
  <w:style w:type="paragraph" w:customStyle="1" w:styleId="TableBodyTextRight">
    <w:name w:val="Table Body Text Right"/>
    <w:basedOn w:val="TableBodyText"/>
    <w:rsid w:val="001C574E"/>
    <w:pPr>
      <w:widowControl w:val="0"/>
      <w:autoSpaceDE w:val="0"/>
      <w:autoSpaceDN w:val="0"/>
      <w:adjustRightInd w:val="0"/>
      <w:jc w:val="right"/>
    </w:pPr>
    <w:rPr>
      <w:rFonts w:cs="Arial"/>
      <w:szCs w:val="18"/>
    </w:rPr>
  </w:style>
  <w:style w:type="paragraph" w:customStyle="1" w:styleId="CopyrightText">
    <w:name w:val="Copyright Text"/>
    <w:basedOn w:val="BodyText"/>
    <w:rsid w:val="001C574E"/>
    <w:rPr>
      <w:sz w:val="18"/>
    </w:rPr>
  </w:style>
  <w:style w:type="paragraph" w:customStyle="1" w:styleId="BodySmallRight">
    <w:name w:val="Body Small Right"/>
    <w:basedOn w:val="BodyTextRight"/>
    <w:rsid w:val="001C574E"/>
    <w:rPr>
      <w:sz w:val="18"/>
      <w:szCs w:val="18"/>
    </w:rPr>
  </w:style>
  <w:style w:type="paragraph" w:customStyle="1" w:styleId="MarginEdition">
    <w:name w:val="Margin Edition"/>
    <w:basedOn w:val="MarginNote"/>
    <w:rsid w:val="001C574E"/>
    <w:pPr>
      <w:spacing w:before="0" w:after="0"/>
    </w:pPr>
    <w:rPr>
      <w:rFonts w:ascii="Times New Roman" w:hAnsi="Times New Roman"/>
      <w:color w:val="999999"/>
    </w:rPr>
  </w:style>
  <w:style w:type="paragraph" w:customStyle="1" w:styleId="Spacer">
    <w:name w:val="Spacer"/>
    <w:basedOn w:val="Normal"/>
    <w:rsid w:val="001C574E"/>
    <w:rPr>
      <w:sz w:val="2"/>
      <w:szCs w:val="2"/>
    </w:rPr>
  </w:style>
  <w:style w:type="character" w:customStyle="1" w:styleId="Small">
    <w:name w:val="Small"/>
    <w:basedOn w:val="DefaultParagraphFont"/>
    <w:rsid w:val="001C574E"/>
    <w:rPr>
      <w:sz w:val="16"/>
    </w:rPr>
  </w:style>
  <w:style w:type="paragraph" w:customStyle="1" w:styleId="WideTable">
    <w:name w:val="Wide Table"/>
    <w:basedOn w:val="Normal"/>
    <w:rsid w:val="001C574E"/>
    <w:pPr>
      <w:ind w:left="-1418"/>
    </w:pPr>
    <w:rPr>
      <w:sz w:val="2"/>
      <w:szCs w:val="2"/>
    </w:rPr>
  </w:style>
  <w:style w:type="character" w:styleId="PageNumber">
    <w:name w:val="page number"/>
    <w:basedOn w:val="DefaultParagraphFont"/>
    <w:rsid w:val="001C574E"/>
  </w:style>
  <w:style w:type="paragraph" w:styleId="Quote">
    <w:name w:val="Quote"/>
    <w:basedOn w:val="Heading1"/>
    <w:link w:val="QuoteChar"/>
    <w:qFormat/>
    <w:rsid w:val="001C574E"/>
    <w:rPr>
      <w:b w:val="0"/>
      <w:sz w:val="72"/>
      <w:szCs w:val="72"/>
      <w:lang w:val="en-NZ"/>
    </w:rPr>
  </w:style>
  <w:style w:type="character" w:customStyle="1" w:styleId="QuoteChar">
    <w:name w:val="Quote Char"/>
    <w:basedOn w:val="DefaultParagraphFont"/>
    <w:link w:val="Quote"/>
    <w:rsid w:val="001C57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574E"/>
    <w:pPr>
      <w:pageBreakBefore/>
    </w:pPr>
  </w:style>
  <w:style w:type="paragraph" w:customStyle="1" w:styleId="Border">
    <w:name w:val="Border"/>
    <w:basedOn w:val="Normal"/>
    <w:qFormat/>
    <w:rsid w:val="001C57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574E"/>
    <w:rPr>
      <w:b/>
      <w:bCs/>
      <w:i/>
      <w:iCs/>
      <w:color w:val="auto"/>
    </w:rPr>
  </w:style>
  <w:style w:type="paragraph" w:styleId="IntenseQuote">
    <w:name w:val="Intense Quote"/>
    <w:basedOn w:val="Normal"/>
    <w:next w:val="Normal"/>
    <w:link w:val="IntenseQuoteChar"/>
    <w:uiPriority w:val="30"/>
    <w:qFormat/>
    <w:rsid w:val="001C57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574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C574E"/>
    <w:rPr>
      <w:smallCaps/>
      <w:color w:val="auto"/>
      <w:u w:val="single"/>
    </w:rPr>
  </w:style>
  <w:style w:type="character" w:styleId="IntenseReference">
    <w:name w:val="Intense Reference"/>
    <w:basedOn w:val="DefaultParagraphFont"/>
    <w:uiPriority w:val="32"/>
    <w:qFormat/>
    <w:rsid w:val="001C574E"/>
    <w:rPr>
      <w:b/>
      <w:bCs/>
      <w:smallCaps/>
      <w:color w:val="auto"/>
      <w:spacing w:val="5"/>
      <w:u w:val="single"/>
    </w:rPr>
  </w:style>
  <w:style w:type="paragraph" w:customStyle="1" w:styleId="2ColumnHeading">
    <w:name w:val="2Column Heading"/>
    <w:basedOn w:val="BodyText"/>
    <w:qFormat/>
    <w:rsid w:val="001C574E"/>
    <w:pPr>
      <w:spacing w:after="60"/>
      <w:ind w:left="-2268"/>
    </w:pPr>
    <w:rPr>
      <w:b/>
    </w:rPr>
  </w:style>
  <w:style w:type="paragraph" w:customStyle="1" w:styleId="Heading1TOC">
    <w:name w:val="Heading1 TOC"/>
    <w:basedOn w:val="Normal"/>
    <w:qFormat/>
    <w:rsid w:val="001C574E"/>
    <w:pPr>
      <w:spacing w:before="240" w:after="120"/>
    </w:pPr>
    <w:rPr>
      <w:rFonts w:ascii="Times New Roman" w:hAnsi="Times New Roman"/>
      <w:b/>
      <w:sz w:val="32"/>
    </w:rPr>
  </w:style>
  <w:style w:type="paragraph" w:customStyle="1" w:styleId="Heading2TOC">
    <w:name w:val="Heading2 TOC"/>
    <w:basedOn w:val="Normal"/>
    <w:qFormat/>
    <w:rsid w:val="001C574E"/>
    <w:pPr>
      <w:spacing w:before="240" w:after="60"/>
    </w:pPr>
    <w:rPr>
      <w:rFonts w:ascii="Times New Roman" w:hAnsi="Times New Roman"/>
      <w:b/>
      <w:sz w:val="28"/>
    </w:rPr>
  </w:style>
  <w:style w:type="character" w:customStyle="1" w:styleId="Underline">
    <w:name w:val="Underline"/>
    <w:basedOn w:val="DefaultParagraphFont"/>
    <w:qFormat/>
    <w:rsid w:val="001C574E"/>
    <w:rPr>
      <w:u w:val="single"/>
    </w:rPr>
  </w:style>
  <w:style w:type="character" w:customStyle="1" w:styleId="BoldandItalics">
    <w:name w:val="Bold and Italics"/>
    <w:qFormat/>
    <w:rsid w:val="001C574E"/>
    <w:rPr>
      <w:b/>
      <w:i/>
      <w:u w:val="none"/>
    </w:rPr>
  </w:style>
  <w:style w:type="paragraph" w:styleId="BalloonText">
    <w:name w:val="Balloon Text"/>
    <w:basedOn w:val="Normal"/>
    <w:link w:val="BalloonTextChar"/>
    <w:rsid w:val="001C574E"/>
    <w:rPr>
      <w:rFonts w:ascii="Tahoma" w:hAnsi="Tahoma" w:cs="Tahoma"/>
      <w:sz w:val="16"/>
      <w:szCs w:val="16"/>
    </w:rPr>
  </w:style>
  <w:style w:type="character" w:customStyle="1" w:styleId="BalloonTextChar">
    <w:name w:val="Balloon Text Char"/>
    <w:basedOn w:val="DefaultParagraphFont"/>
    <w:link w:val="BalloonText"/>
    <w:rsid w:val="001C574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C574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C574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1741</Words>
  <Characters>11152</Characters>
  <Application>Microsoft Office Word</Application>
  <DocSecurity>0</DocSecurity>
  <Lines>344</Lines>
  <Paragraphs>207</Paragraphs>
  <ScaleCrop>false</ScaleCrop>
  <Company>Author-it Software Corporation Ltd.</Company>
  <LinksUpToDate>false</LinksUpToDate>
  <CharactersWithSpaces>12805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TLID3023A Use specialised liquid bulk gas transfer equipment</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2012-05-27T03:41:00Z</dcterms:created>
  <dcterms:modified xsi:type="dcterms:W3CDTF">2012-05-27T03:41:00Z</dcterms:modified>
</cp:coreProperties>
</file>