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6927" w:rsidP="00F76927">
      <w:pPr>
        <w:pStyle w:val="Title"/>
      </w:pPr>
      <w:r>
        <w:fldChar w:fldCharType="begin"/>
      </w:r>
      <w:r>
        <w:instrText xml:space="preserve"> TITLE   \* MERGEFORMAT </w:instrText>
      </w:r>
      <w:r>
        <w:fldChar w:fldCharType="separate"/>
      </w:r>
      <w:r>
        <w:t>TLID2022A Conduct weighbridge operations</w:t>
      </w:r>
      <w:r>
        <w:fldChar w:fldCharType="end"/>
      </w:r>
    </w:p>
    <w:p w:rsidR="00F76927" w:rsidP="00F76927">
      <w:pPr>
        <w:pStyle w:val="Version"/>
        <w:sectPr w:rsidSect="00054D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4DAA" w:rsidP="00054DAA">
      <w:pPr>
        <w:pStyle w:val="SuperHeading"/>
      </w:pPr>
      <w:r w:rsidRPr="00054DAA">
        <w:t>TLID2022A Conduct weighbridge operations</w:t>
      </w:r>
    </w:p>
    <w:p w:rsidR="00000000" w:rsidRPr="00054DAA" w:rsidP="00054DAA">
      <w:pPr>
        <w:pStyle w:val="Heading1"/>
      </w:pPr>
      <w:bookmarkStart w:id="1" w:name="O_274055"/>
      <w:bookmarkEnd w:id="1"/>
      <w:r w:rsidRPr="00054DAA">
        <w:t>Modification History</w:t>
      </w:r>
    </w:p>
    <w:p w:rsidR="00000000" w:rsidRPr="00054DAA" w:rsidP="00054DAA">
      <w:pPr>
        <w:pStyle w:val="BodyText"/>
      </w:pPr>
      <w:r w:rsidRPr="00054DAA">
        <w:t>Not Applicable</w:t>
      </w:r>
    </w:p>
    <w:p w:rsidR="00000000" w:rsidRPr="00054DAA" w:rsidP="00054DAA">
      <w:pPr>
        <w:pStyle w:val="AllowPageBreak"/>
      </w:pPr>
    </w:p>
    <w:p w:rsidR="00000000" w:rsidRPr="00054DAA" w:rsidP="00054DAA">
      <w:pPr>
        <w:pStyle w:val="Heading1"/>
      </w:pPr>
      <w:bookmarkStart w:id="2" w:name="O_223294"/>
      <w:bookmarkEnd w:id="2"/>
      <w:r w:rsidRPr="00054DAA">
        <w:t>Unit Descriptor</w:t>
      </w:r>
    </w:p>
    <w:tbl>
      <w:tblPr>
        <w:tblW w:w="9640" w:type="dxa"/>
        <w:tblLayout w:type="fixed"/>
        <w:tblCellMar>
          <w:left w:w="62" w:type="dxa"/>
          <w:right w:w="62" w:type="dxa"/>
        </w:tblCellMar>
        <w:tblLook w:val="0000"/>
      </w:tblPr>
      <w:tblGrid>
        <w:gridCol w:w="2978"/>
        <w:gridCol w:w="6662"/>
      </w:tblGrid>
      <w:tr w:rsidTr="00F7692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54DAA">
            <w:pPr>
              <w:pStyle w:val="BodyText"/>
              <w:rPr>
                <w:lang w:val="en-NZ"/>
              </w:rPr>
            </w:pPr>
            <w:r w:rsidRPr="00054DA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54DAA" w:rsidP="00054DAA">
            <w:pPr>
              <w:pStyle w:val="BodyText"/>
            </w:pPr>
            <w:r w:rsidRPr="00054DAA">
              <w:t>This unit involves the skills and knowledge required to conduct weighbridge operations in accordance with regu</w:t>
            </w:r>
            <w:r w:rsidRPr="00054DAA">
              <w:t>latory requirements and workplace procedures, including setting up for weighbridge operations, weighing loaded vehicles, weighing unloaded vehicles, finalising weighbridge operations, and completing required records and documentation. Licensing, legislativ</w:t>
            </w:r>
            <w:r w:rsidRPr="00054DAA">
              <w:t>e, regulatory or certification requirements are applicable to this unit.</w:t>
            </w:r>
          </w:p>
        </w:tc>
      </w:tr>
    </w:tbl>
    <w:p w:rsidR="00F76927" w:rsidP="00054DAA">
      <w:pPr>
        <w:pStyle w:val="BodyText"/>
      </w:pPr>
    </w:p>
    <w:p w:rsidR="00F76927" w:rsidP="00054DAA">
      <w:pPr>
        <w:pStyle w:val="BodyText"/>
      </w:pPr>
    </w:p>
    <w:p w:rsidR="00000000" w:rsidRPr="00054DAA" w:rsidP="00054DAA">
      <w:pPr>
        <w:pStyle w:val="Heading1"/>
      </w:pPr>
      <w:bookmarkStart w:id="3" w:name="O_223296"/>
      <w:bookmarkEnd w:id="3"/>
      <w:r w:rsidRPr="00054DAA">
        <w:t>Application of the Unit</w:t>
      </w:r>
    </w:p>
    <w:tbl>
      <w:tblPr>
        <w:tblW w:w="9640" w:type="dxa"/>
        <w:tblLayout w:type="fixed"/>
        <w:tblCellMar>
          <w:left w:w="62" w:type="dxa"/>
          <w:right w:w="62" w:type="dxa"/>
        </w:tblCellMar>
        <w:tblLook w:val="0000"/>
      </w:tblPr>
      <w:tblGrid>
        <w:gridCol w:w="2978"/>
        <w:gridCol w:w="6662"/>
      </w:tblGrid>
      <w:tr w:rsidTr="00F7692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54DAA">
            <w:pPr>
              <w:pStyle w:val="BodyText"/>
              <w:rPr>
                <w:lang w:val="en-NZ"/>
              </w:rPr>
            </w:pPr>
            <w:r w:rsidRPr="00054DA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54DAA" w:rsidP="00054DAA">
            <w:pPr>
              <w:pStyle w:val="BodyText"/>
            </w:pPr>
            <w:r w:rsidRPr="00054DAA">
              <w:t>Work must be carried out in accordance with regulations and workplace requirements relevant to weighbridge operations.</w:t>
            </w:r>
          </w:p>
          <w:p w:rsidR="00000000" w:rsidRPr="00054DAA" w:rsidP="00054DAA">
            <w:pPr>
              <w:pStyle w:val="BodyText"/>
            </w:pPr>
            <w:r w:rsidRPr="00054DAA">
              <w:t>Work is performed under some supervision, generally within a team environment.</w:t>
            </w:r>
          </w:p>
          <w:p w:rsidR="00000000" w:rsidRPr="00054DAA" w:rsidP="00054DAA">
            <w:pPr>
              <w:pStyle w:val="BodyText"/>
            </w:pPr>
            <w:r w:rsidRPr="00054DAA">
              <w:t>Work involves the application of regulatory requirements a</w:t>
            </w:r>
            <w:r w:rsidRPr="00054DAA">
              <w:t>nd workplace procedures when conducting weighbridge operations in the transport, warehousing, distribution and/or storage industries.</w:t>
            </w:r>
          </w:p>
        </w:tc>
      </w:tr>
    </w:tbl>
    <w:p w:rsidR="00F76927" w:rsidP="00054DAA">
      <w:pPr>
        <w:pStyle w:val="BodyText"/>
      </w:pPr>
    </w:p>
    <w:p w:rsidR="00F76927" w:rsidP="00054DAA">
      <w:pPr>
        <w:pStyle w:val="BodyText"/>
      </w:pPr>
    </w:p>
    <w:p w:rsidR="00000000" w:rsidRPr="00054DAA" w:rsidP="00054DAA">
      <w:pPr>
        <w:pStyle w:val="Heading1"/>
      </w:pPr>
      <w:bookmarkStart w:id="4" w:name="O_282315"/>
      <w:bookmarkEnd w:id="4"/>
      <w:r w:rsidRPr="00054DAA">
        <w:t>Licensing/Regulatory Information</w:t>
      </w:r>
    </w:p>
    <w:p w:rsidR="00000000" w:rsidRPr="00054DAA" w:rsidP="00054DAA">
      <w:pPr>
        <w:pStyle w:val="BodyText"/>
      </w:pPr>
      <w:r w:rsidRPr="00054DAA">
        <w:t>Refer to Unit Descriptor</w:t>
      </w:r>
    </w:p>
    <w:p w:rsidR="00000000" w:rsidRPr="00054DAA" w:rsidP="00054DAA">
      <w:pPr>
        <w:pStyle w:val="AllowPageBreak"/>
      </w:pPr>
    </w:p>
    <w:p w:rsidR="00000000" w:rsidRPr="00054DAA" w:rsidP="00054DAA">
      <w:pPr>
        <w:pStyle w:val="Heading1"/>
      </w:pPr>
      <w:bookmarkStart w:id="5" w:name="O_284765"/>
      <w:bookmarkEnd w:id="5"/>
      <w:r w:rsidRPr="00054DAA">
        <w:t>Pre-Requisites</w:t>
      </w:r>
    </w:p>
    <w:p w:rsidR="00000000" w:rsidRPr="00054DAA" w:rsidP="00054DAA">
      <w:pPr>
        <w:pStyle w:val="BodyText"/>
      </w:pPr>
      <w:r w:rsidRPr="00054DAA">
        <w:t>Not Applicable</w:t>
      </w:r>
    </w:p>
    <w:p w:rsidR="00000000" w:rsidRPr="00054DAA" w:rsidP="00054DAA">
      <w:pPr>
        <w:pStyle w:val="AllowPageBreak"/>
      </w:pPr>
    </w:p>
    <w:p w:rsidR="00000000" w:rsidRPr="00054DAA" w:rsidP="00054DAA">
      <w:pPr>
        <w:pStyle w:val="Heading1"/>
      </w:pPr>
      <w:bookmarkStart w:id="6" w:name="O_223295"/>
      <w:bookmarkEnd w:id="6"/>
      <w:r w:rsidRPr="00054DAA">
        <w:t>Employability Skills Information</w:t>
      </w:r>
    </w:p>
    <w:tbl>
      <w:tblPr>
        <w:tblW w:w="9640" w:type="dxa"/>
        <w:tblLayout w:type="fixed"/>
        <w:tblCellMar>
          <w:left w:w="62" w:type="dxa"/>
          <w:right w:w="62" w:type="dxa"/>
        </w:tblCellMar>
        <w:tblLook w:val="0000"/>
      </w:tblPr>
      <w:tblGrid>
        <w:gridCol w:w="2978"/>
        <w:gridCol w:w="6662"/>
      </w:tblGrid>
      <w:tr w:rsidTr="00F7692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54DAA">
            <w:pPr>
              <w:pStyle w:val="BodyText"/>
              <w:rPr>
                <w:lang w:val="en-NZ"/>
              </w:rPr>
            </w:pPr>
            <w:r w:rsidRPr="00054DA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54DAA" w:rsidP="00054DAA">
            <w:pPr>
              <w:pStyle w:val="BodyText"/>
            </w:pPr>
            <w:r w:rsidRPr="00054DAA">
              <w:t>This unit contains employability skills.</w:t>
            </w:r>
          </w:p>
        </w:tc>
      </w:tr>
    </w:tbl>
    <w:p w:rsidR="00F76927" w:rsidP="00054DAA">
      <w:pPr>
        <w:pStyle w:val="BodyText"/>
      </w:pPr>
    </w:p>
    <w:p w:rsidR="00F76927" w:rsidP="00054DAA">
      <w:pPr>
        <w:pStyle w:val="BodyText"/>
      </w:pPr>
    </w:p>
    <w:p w:rsidR="00000000" w:rsidRPr="00054DAA" w:rsidP="00054DAA">
      <w:pPr>
        <w:pStyle w:val="Heading1"/>
      </w:pPr>
      <w:bookmarkStart w:id="7" w:name="O_292101"/>
      <w:bookmarkEnd w:id="7"/>
      <w:r w:rsidRPr="00054DAA">
        <w:t>Elements and Performance Criteria Pre-Content</w:t>
      </w:r>
    </w:p>
    <w:tbl>
      <w:tblPr>
        <w:tblW w:w="9640" w:type="dxa"/>
        <w:tblLayout w:type="fixed"/>
        <w:tblCellMar>
          <w:left w:w="62" w:type="dxa"/>
          <w:right w:w="62" w:type="dxa"/>
        </w:tblCellMar>
        <w:tblLook w:val="0000"/>
      </w:tblPr>
      <w:tblGrid>
        <w:gridCol w:w="2978"/>
        <w:gridCol w:w="6662"/>
      </w:tblGrid>
      <w:tr w:rsidTr="00F7692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54DAA">
            <w:pPr>
              <w:pStyle w:val="BodyText"/>
              <w:rPr>
                <w:lang w:val="en-NZ"/>
              </w:rPr>
            </w:pPr>
            <w:r w:rsidRPr="00054DA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54DAA" w:rsidP="00054DAA">
            <w:pPr>
              <w:pStyle w:val="BodyText"/>
            </w:pPr>
            <w:r w:rsidRPr="00054DAA">
              <w:t>Performance criteria describe the required performance needed to demonstrate achievement of the element. Assessment of performance is to be consistent with the evidence guide.</w:t>
            </w:r>
          </w:p>
        </w:tc>
      </w:tr>
    </w:tbl>
    <w:p w:rsidR="00000000" w:rsidRPr="00054DAA" w:rsidP="00054DAA">
      <w:pPr>
        <w:pStyle w:val="BodyText"/>
      </w:pPr>
    </w:p>
    <w:p w:rsidR="00000000" w:rsidRPr="00054DAA" w:rsidP="00054DAA">
      <w:pPr>
        <w:pStyle w:val="AllowPageBreak"/>
      </w:pPr>
    </w:p>
    <w:p w:rsidR="00000000" w:rsidRPr="00054DAA" w:rsidP="00054DAA">
      <w:pPr>
        <w:pStyle w:val="Heading1"/>
      </w:pPr>
      <w:bookmarkStart w:id="8" w:name="O_238769"/>
      <w:bookmarkEnd w:id="8"/>
      <w:r w:rsidRPr="00054DAA">
        <w:t>Elements and Performance Criteria</w:t>
      </w:r>
    </w:p>
    <w:tbl>
      <w:tblPr>
        <w:tblW w:w="9640" w:type="dxa"/>
        <w:tblLayout w:type="fixed"/>
        <w:tblCellMar>
          <w:left w:w="62" w:type="dxa"/>
          <w:right w:w="62" w:type="dxa"/>
        </w:tblCellMar>
        <w:tblLook w:val="0000"/>
      </w:tblPr>
      <w:tblGrid>
        <w:gridCol w:w="2978"/>
        <w:gridCol w:w="6662"/>
      </w:tblGrid>
      <w:tr w:rsidTr="00F7692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54DAA" w:rsidP="00054DAA">
            <w:pPr>
              <w:pStyle w:val="List"/>
            </w:pPr>
            <w:r w:rsidRPr="00054DA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54DAA">
            <w:pPr>
              <w:pStyle w:val="List"/>
              <w:rPr>
                <w:lang w:val="en-NZ"/>
              </w:rPr>
            </w:pPr>
            <w:r w:rsidRPr="00054DAA">
              <w:rPr>
                <w:rStyle w:val="SpecialBold"/>
              </w:rPr>
              <w:t>PERFORMANCE CRITERIA</w:t>
            </w:r>
          </w:p>
        </w:tc>
      </w:tr>
      <w:tr w:rsidTr="00F7692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54DAA">
            <w:pPr>
              <w:pStyle w:val="List"/>
              <w:rPr>
                <w:lang w:val="en-NZ"/>
              </w:rPr>
            </w:pPr>
            <w:r w:rsidRPr="00054DAA">
              <w:rPr>
                <w:rStyle w:val="SpecialBold"/>
              </w:rPr>
              <w:t>1</w:t>
            </w:r>
            <w:r w:rsidRPr="00054DAA">
              <w:tab/>
            </w:r>
            <w:r w:rsidRPr="00054DAA">
              <w:rPr>
                <w:rStyle w:val="SpecialBold"/>
              </w:rPr>
              <w:t>Set up for weighbridge operations</w:t>
            </w:r>
          </w:p>
        </w:tc>
        <w:tc>
          <w:tcPr>
            <w:tcW w:w="6662" w:type="dxa"/>
            <w:tcBorders>
              <w:top w:val="nil"/>
              <w:left w:val="nil"/>
              <w:bottom w:val="nil"/>
              <w:right w:val="nil"/>
            </w:tcBorders>
            <w:tcMar>
              <w:top w:w="0" w:type="dxa"/>
              <w:left w:w="62" w:type="dxa"/>
              <w:bottom w:w="0" w:type="dxa"/>
              <w:right w:w="62" w:type="dxa"/>
            </w:tcMar>
          </w:tcPr>
          <w:p w:rsidR="00000000" w:rsidRPr="00054DAA" w:rsidP="00054DAA">
            <w:pPr>
              <w:pStyle w:val="List"/>
            </w:pPr>
            <w:r w:rsidRPr="00054DAA">
              <w:t>1.1</w:t>
            </w:r>
            <w:r w:rsidRPr="00054DAA">
              <w:tab/>
              <w:t>Weighbridge systems, including equipment, computer and recording arrangements are checked for operational status</w:t>
            </w:r>
          </w:p>
          <w:p w:rsidR="00000000" w:rsidRPr="00054DAA" w:rsidP="00054DAA">
            <w:pPr>
              <w:pStyle w:val="List"/>
            </w:pPr>
            <w:r w:rsidRPr="00054DAA">
              <w:t>1.2</w:t>
            </w:r>
            <w:r w:rsidRPr="00054DAA">
              <w:tab/>
            </w:r>
            <w:r w:rsidRPr="00054DAA">
              <w:t>Tests to confirm accuracy of weighbridge operation and related functions are conducted in accordance with workplace procedures, manufacturers instructions and relevant legislation</w:t>
            </w:r>
          </w:p>
          <w:p w:rsidR="00000000" w:rsidRPr="00054DAA" w:rsidP="00054DAA">
            <w:pPr>
              <w:pStyle w:val="List"/>
            </w:pPr>
            <w:r w:rsidRPr="00054DAA">
              <w:t>1.3</w:t>
            </w:r>
            <w:r w:rsidRPr="00054DAA">
              <w:tab/>
              <w:t xml:space="preserve">Accurate reporting of the results of the inspection and testing is kept </w:t>
            </w:r>
            <w:r w:rsidRPr="00054DAA">
              <w:t>in accordance with statutory requirements, workplace policy and industry guidelines</w:t>
            </w:r>
          </w:p>
          <w:p w:rsidR="00000000" w:rsidP="00054DAA">
            <w:pPr>
              <w:pStyle w:val="List"/>
              <w:rPr>
                <w:lang w:val="en-NZ"/>
              </w:rPr>
            </w:pPr>
            <w:r w:rsidRPr="00054DAA">
              <w:t>1.4</w:t>
            </w:r>
            <w:r w:rsidRPr="00054DAA">
              <w:tab/>
              <w:t>Faults/discrepancies in weighbridge operation are identified and action is undertaken in accordance with workplace procedures</w:t>
            </w:r>
          </w:p>
        </w:tc>
      </w:tr>
      <w:tr w:rsidTr="00F7692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54DAA">
            <w:pPr>
              <w:pStyle w:val="List"/>
              <w:rPr>
                <w:lang w:val="en-NZ"/>
              </w:rPr>
            </w:pPr>
            <w:r w:rsidRPr="00054DAA">
              <w:rPr>
                <w:rStyle w:val="SpecialBold"/>
              </w:rPr>
              <w:t>2</w:t>
            </w:r>
            <w:r w:rsidRPr="00054DAA">
              <w:tab/>
            </w:r>
            <w:r w:rsidRPr="00054DAA">
              <w:rPr>
                <w:rStyle w:val="SpecialBold"/>
              </w:rPr>
              <w:t>Weigh loaded vehicles</w:t>
            </w:r>
          </w:p>
        </w:tc>
        <w:tc>
          <w:tcPr>
            <w:tcW w:w="6662" w:type="dxa"/>
            <w:tcBorders>
              <w:top w:val="nil"/>
              <w:left w:val="nil"/>
              <w:bottom w:val="nil"/>
              <w:right w:val="nil"/>
            </w:tcBorders>
            <w:tcMar>
              <w:top w:w="0" w:type="dxa"/>
              <w:left w:w="62" w:type="dxa"/>
              <w:bottom w:w="0" w:type="dxa"/>
              <w:right w:w="62" w:type="dxa"/>
            </w:tcMar>
          </w:tcPr>
          <w:p w:rsidR="00000000" w:rsidRPr="00054DAA" w:rsidP="00054DAA">
            <w:pPr>
              <w:pStyle w:val="List"/>
            </w:pPr>
            <w:r w:rsidRPr="00054DAA">
              <w:t>2.1</w:t>
            </w:r>
            <w:r w:rsidRPr="00054DAA">
              <w:tab/>
              <w:t>Vehicles like</w:t>
            </w:r>
            <w:r w:rsidRPr="00054DAA">
              <w:t>ly to exceed weighbridge weight limit are turned away</w:t>
            </w:r>
          </w:p>
          <w:p w:rsidR="00000000" w:rsidRPr="00054DAA" w:rsidP="00054DAA">
            <w:pPr>
              <w:pStyle w:val="List"/>
            </w:pPr>
            <w:r w:rsidRPr="00054DAA">
              <w:t>2.2</w:t>
            </w:r>
            <w:r w:rsidRPr="00054DAA">
              <w:tab/>
              <w:t>Vehicles are directed onto platform to obtain accurate weight</w:t>
            </w:r>
          </w:p>
          <w:p w:rsidR="00000000" w:rsidRPr="00054DAA" w:rsidP="00054DAA">
            <w:pPr>
              <w:pStyle w:val="List"/>
            </w:pPr>
            <w:r w:rsidRPr="00054DAA">
              <w:t>2.3</w:t>
            </w:r>
            <w:r w:rsidRPr="00054DAA">
              <w:tab/>
              <w:t>Weight of loaded stationary vehicle is registered against vehicle and load identification</w:t>
            </w:r>
          </w:p>
          <w:p w:rsidR="00000000" w:rsidRPr="00054DAA" w:rsidP="00054DAA">
            <w:pPr>
              <w:pStyle w:val="List"/>
            </w:pPr>
            <w:r w:rsidRPr="00054DAA">
              <w:t>2.4</w:t>
            </w:r>
            <w:r w:rsidRPr="00054DAA">
              <w:tab/>
              <w:t>Vehicle and load information is entere</w:t>
            </w:r>
            <w:r w:rsidRPr="00054DAA">
              <w:t>d into workplace recording system and driver is issued with receipt and/or statement</w:t>
            </w:r>
          </w:p>
          <w:p w:rsidR="00000000" w:rsidP="00054DAA">
            <w:pPr>
              <w:pStyle w:val="List"/>
              <w:rPr>
                <w:lang w:val="en-NZ"/>
              </w:rPr>
            </w:pPr>
            <w:r w:rsidRPr="00054DAA">
              <w:t>2.5</w:t>
            </w:r>
            <w:r w:rsidRPr="00054DAA">
              <w:tab/>
              <w:t>Areas of dispute are resolved or forwarded for further action undertaken in accordance with workplace procedures</w:t>
            </w:r>
          </w:p>
        </w:tc>
      </w:tr>
      <w:tr w:rsidTr="00F7692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54DAA">
            <w:pPr>
              <w:pStyle w:val="List"/>
              <w:rPr>
                <w:lang w:val="en-NZ"/>
              </w:rPr>
            </w:pPr>
            <w:r w:rsidRPr="00054DAA">
              <w:rPr>
                <w:rStyle w:val="SpecialBold"/>
              </w:rPr>
              <w:t>3</w:t>
            </w:r>
            <w:r w:rsidRPr="00054DAA">
              <w:tab/>
            </w:r>
            <w:r w:rsidRPr="00054DAA">
              <w:rPr>
                <w:rStyle w:val="SpecialBold"/>
              </w:rPr>
              <w:t>Weigh unloaded vehicles</w:t>
            </w:r>
          </w:p>
        </w:tc>
        <w:tc>
          <w:tcPr>
            <w:tcW w:w="6662" w:type="dxa"/>
            <w:tcBorders>
              <w:top w:val="nil"/>
              <w:left w:val="nil"/>
              <w:bottom w:val="nil"/>
              <w:right w:val="nil"/>
            </w:tcBorders>
            <w:tcMar>
              <w:top w:w="0" w:type="dxa"/>
              <w:left w:w="62" w:type="dxa"/>
              <w:bottom w:w="0" w:type="dxa"/>
              <w:right w:w="62" w:type="dxa"/>
            </w:tcMar>
          </w:tcPr>
          <w:p w:rsidR="00000000" w:rsidRPr="00054DAA" w:rsidP="00054DAA">
            <w:pPr>
              <w:pStyle w:val="List"/>
            </w:pPr>
            <w:r w:rsidRPr="00054DAA">
              <w:t>3.1</w:t>
            </w:r>
            <w:r w:rsidRPr="00054DAA">
              <w:tab/>
              <w:t>Vehicles are directed o</w:t>
            </w:r>
            <w:r w:rsidRPr="00054DAA">
              <w:t>nto platform to obtain accurate weight</w:t>
            </w:r>
          </w:p>
          <w:p w:rsidR="00000000" w:rsidRPr="00054DAA" w:rsidP="00054DAA">
            <w:pPr>
              <w:pStyle w:val="List"/>
            </w:pPr>
            <w:r w:rsidRPr="00054DAA">
              <w:t>3.2</w:t>
            </w:r>
            <w:r w:rsidRPr="00054DAA">
              <w:tab/>
              <w:t>Weight of unloaded stationary vehicle is registered against vehicle</w:t>
            </w:r>
          </w:p>
          <w:p w:rsidR="00000000" w:rsidRPr="00054DAA" w:rsidP="00054DAA">
            <w:pPr>
              <w:pStyle w:val="List"/>
            </w:pPr>
            <w:r w:rsidRPr="00054DAA">
              <w:t>3.3</w:t>
            </w:r>
            <w:r w:rsidRPr="00054DAA">
              <w:tab/>
              <w:t>Proposed load weight is assessed for conformance to statutory requirements</w:t>
            </w:r>
          </w:p>
          <w:p w:rsidR="00000000" w:rsidRPr="00054DAA" w:rsidP="00054DAA">
            <w:pPr>
              <w:pStyle w:val="List"/>
            </w:pPr>
            <w:r w:rsidRPr="00054DAA">
              <w:t>3.4</w:t>
            </w:r>
            <w:r w:rsidRPr="00054DAA">
              <w:tab/>
            </w:r>
            <w:r w:rsidRPr="00054DAA">
              <w:t>Where appropriate, loading operations are commenced in accordance with legal loading weight, customer requirements and workplace procedures with vehicle re-weighed to establish final load weight</w:t>
            </w:r>
          </w:p>
          <w:p w:rsidR="00000000" w:rsidRPr="00054DAA" w:rsidP="00054DAA">
            <w:pPr>
              <w:pStyle w:val="List"/>
            </w:pPr>
            <w:r w:rsidRPr="00054DAA">
              <w:t>3.5</w:t>
            </w:r>
            <w:r w:rsidRPr="00054DAA">
              <w:tab/>
              <w:t>Vehicle and load information is entered into workplace re</w:t>
            </w:r>
            <w:r w:rsidRPr="00054DAA">
              <w:t>cording system and invoice is issued to driver where appropriate</w:t>
            </w:r>
          </w:p>
          <w:p w:rsidR="00000000" w:rsidRPr="00054DAA" w:rsidP="00054DAA">
            <w:pPr>
              <w:pStyle w:val="List"/>
            </w:pPr>
            <w:r w:rsidRPr="00054DAA">
              <w:t>3.6</w:t>
            </w:r>
            <w:r w:rsidRPr="00054DAA">
              <w:tab/>
              <w:t>Driver signatures on weighbridge documents, invoices or receipts are obtained in accordance with statutory and workplace requirements</w:t>
            </w:r>
          </w:p>
          <w:p w:rsidR="00000000" w:rsidP="00054DAA">
            <w:pPr>
              <w:pStyle w:val="List"/>
              <w:rPr>
                <w:lang w:val="en-NZ"/>
              </w:rPr>
            </w:pPr>
            <w:r w:rsidRPr="00054DAA">
              <w:t>3.7</w:t>
            </w:r>
            <w:r w:rsidRPr="00054DAA">
              <w:tab/>
              <w:t>Areas of dispute are resolved or forwarded for fu</w:t>
            </w:r>
            <w:r w:rsidRPr="00054DAA">
              <w:t>rther action to be undertaken in accordance with workplace procedures</w:t>
            </w:r>
          </w:p>
        </w:tc>
      </w:tr>
      <w:tr w:rsidTr="00F7692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54DAA">
            <w:pPr>
              <w:pStyle w:val="List"/>
              <w:rPr>
                <w:lang w:val="en-NZ"/>
              </w:rPr>
            </w:pPr>
            <w:r w:rsidRPr="00054DAA">
              <w:rPr>
                <w:rStyle w:val="SpecialBold"/>
              </w:rPr>
              <w:t>4</w:t>
            </w:r>
            <w:r w:rsidRPr="00054DAA">
              <w:tab/>
            </w:r>
            <w:r w:rsidRPr="00054DAA">
              <w:rPr>
                <w:rStyle w:val="SpecialBold"/>
              </w:rPr>
              <w:t>Complete weighbridge operations</w:t>
            </w:r>
          </w:p>
        </w:tc>
        <w:tc>
          <w:tcPr>
            <w:tcW w:w="6662" w:type="dxa"/>
            <w:tcBorders>
              <w:top w:val="nil"/>
              <w:left w:val="nil"/>
              <w:bottom w:val="nil"/>
              <w:right w:val="nil"/>
            </w:tcBorders>
            <w:tcMar>
              <w:top w:w="0" w:type="dxa"/>
              <w:left w:w="62" w:type="dxa"/>
              <w:bottom w:w="0" w:type="dxa"/>
              <w:right w:w="62" w:type="dxa"/>
            </w:tcMar>
          </w:tcPr>
          <w:p w:rsidR="00000000" w:rsidRPr="00054DAA" w:rsidP="00054DAA">
            <w:pPr>
              <w:pStyle w:val="List"/>
            </w:pPr>
            <w:r w:rsidRPr="00054DAA">
              <w:t>4.1</w:t>
            </w:r>
            <w:r w:rsidRPr="00054DAA">
              <w:tab/>
              <w:t>Weighbridge systems, including equipment, computer and recording arrangements are secured or made ready for next shift</w:t>
            </w:r>
          </w:p>
          <w:p w:rsidR="00000000" w:rsidRPr="00054DAA" w:rsidP="00054DAA">
            <w:pPr>
              <w:pStyle w:val="List"/>
            </w:pPr>
            <w:r w:rsidRPr="00054DAA">
              <w:t>4.2</w:t>
            </w:r>
            <w:r w:rsidRPr="00054DAA">
              <w:tab/>
              <w:t xml:space="preserve">Record of operations is </w:t>
            </w:r>
            <w:r w:rsidRPr="00054DAA">
              <w:t>maintained and filed in accordance with workplace procedures and statutory requirements</w:t>
            </w:r>
          </w:p>
        </w:tc>
      </w:tr>
    </w:tbl>
    <w:p w:rsidR="00F76927" w:rsidP="00054DAA">
      <w:pPr>
        <w:pStyle w:val="BodyText"/>
      </w:pPr>
    </w:p>
    <w:p w:rsidR="00F76927" w:rsidP="00054DAA">
      <w:pPr>
        <w:pStyle w:val="BodyText"/>
      </w:pPr>
    </w:p>
    <w:p w:rsidR="00000000" w:rsidRPr="00054DAA" w:rsidP="00054DAA">
      <w:pPr>
        <w:pStyle w:val="Heading1"/>
      </w:pPr>
      <w:bookmarkStart w:id="9" w:name="O_262560"/>
      <w:bookmarkEnd w:id="9"/>
      <w:r w:rsidRPr="00054DAA">
        <w:t>Required Skills and Knowledge</w:t>
      </w:r>
    </w:p>
    <w:tbl>
      <w:tblPr>
        <w:tblW w:w="9640" w:type="dxa"/>
        <w:tblLayout w:type="fixed"/>
        <w:tblCellMar>
          <w:left w:w="62" w:type="dxa"/>
          <w:right w:w="62" w:type="dxa"/>
        </w:tblCellMar>
        <w:tblLook w:val="0000"/>
      </w:tblPr>
      <w:tblGrid>
        <w:gridCol w:w="9640"/>
      </w:tblGrid>
      <w:tr w:rsidTr="00F7692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54DAA">
            <w:pPr>
              <w:pStyle w:val="BodyText"/>
              <w:rPr>
                <w:lang w:val="en-NZ"/>
              </w:rPr>
            </w:pPr>
            <w:r w:rsidRPr="00054DAA">
              <w:rPr>
                <w:rStyle w:val="SpecialBold"/>
              </w:rPr>
              <w:t>REQUIRED KNOWLEDGE AND SKILLS</w:t>
            </w:r>
          </w:p>
        </w:tc>
      </w:tr>
      <w:tr w:rsidTr="00F769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54DAA">
            <w:pPr>
              <w:pStyle w:val="BodyText"/>
              <w:rPr>
                <w:lang w:val="en-NZ"/>
              </w:rPr>
            </w:pPr>
            <w:r w:rsidRPr="00054DAA">
              <w:t>This describes the essential knowledge and skills and their level required for this unit.</w:t>
            </w:r>
          </w:p>
        </w:tc>
      </w:tr>
      <w:tr w:rsidTr="00F769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54DAA">
            <w:pPr>
              <w:pStyle w:val="BodyText"/>
              <w:rPr>
                <w:lang w:val="en-NZ"/>
              </w:rPr>
            </w:pPr>
            <w:r w:rsidRPr="00054DAA">
              <w:rPr>
                <w:rStyle w:val="SpecialBold"/>
              </w:rPr>
              <w:t>Required knowledge</w:t>
            </w:r>
            <w:r w:rsidRPr="00054DAA">
              <w:t>:</w:t>
            </w:r>
          </w:p>
        </w:tc>
      </w:tr>
      <w:tr w:rsidTr="00F769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54DAA">
            <w:pPr>
              <w:pStyle w:val="ListBullet"/>
              <w:rPr>
                <w:lang w:val="en-NZ"/>
              </w:rPr>
            </w:pPr>
            <w:r w:rsidRPr="00054DAA">
              <w:t>Regulations relevant to the conduct of weighbridge operations including Australian Dangerous Goods Code where applicable</w:t>
            </w:r>
          </w:p>
        </w:tc>
      </w:tr>
      <w:tr w:rsidTr="00F769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54DAA">
            <w:pPr>
              <w:pStyle w:val="ListBullet"/>
              <w:rPr>
                <w:lang w:val="en-NZ"/>
              </w:rPr>
            </w:pPr>
            <w:r w:rsidRPr="00054DAA">
              <w:t>Relevant OH&amp;S and en</w:t>
            </w:r>
            <w:r w:rsidRPr="00054DAA">
              <w:t>vironmental protection procedures and guidelines</w:t>
            </w:r>
          </w:p>
        </w:tc>
      </w:tr>
      <w:tr w:rsidTr="00F769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54DAA">
            <w:pPr>
              <w:pStyle w:val="ListBullet"/>
              <w:rPr>
                <w:lang w:val="en-NZ"/>
              </w:rPr>
            </w:pPr>
            <w:r w:rsidRPr="00054DAA">
              <w:t>Workplace procedures and policies for the conduct of weighbridge operations</w:t>
            </w:r>
          </w:p>
        </w:tc>
      </w:tr>
      <w:tr w:rsidTr="00F769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54DAA">
            <w:pPr>
              <w:pStyle w:val="ListBullet"/>
              <w:rPr>
                <w:lang w:val="en-NZ"/>
              </w:rPr>
            </w:pPr>
            <w:r w:rsidRPr="00054DAA">
              <w:t>Problems that may occur when conducting weighbridge operations and appropriate action that can be taken to resolve the problems</w:t>
            </w:r>
          </w:p>
        </w:tc>
      </w:tr>
      <w:tr w:rsidTr="00F769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54DAA">
            <w:pPr>
              <w:pStyle w:val="ListBullet"/>
              <w:rPr>
                <w:lang w:val="en-NZ"/>
              </w:rPr>
            </w:pPr>
            <w:r w:rsidRPr="00054DAA">
              <w:t>Equipment applications, capacities, configurations, safety hazards and control mechanisms</w:t>
            </w:r>
          </w:p>
        </w:tc>
      </w:tr>
      <w:tr w:rsidTr="00F769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54DAA">
            <w:pPr>
              <w:pStyle w:val="ListBullet"/>
              <w:rPr>
                <w:lang w:val="en-NZ"/>
              </w:rPr>
            </w:pPr>
            <w:r w:rsidRPr="00054DAA">
              <w:t>Records and documentation requirements for weighbridge operations</w:t>
            </w:r>
          </w:p>
        </w:tc>
      </w:tr>
      <w:tr w:rsidTr="00F769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54DAA">
            <w:pPr>
              <w:pStyle w:val="ListBullet"/>
              <w:rPr>
                <w:lang w:val="en-NZ"/>
              </w:rPr>
            </w:pPr>
            <w:r w:rsidRPr="00054DAA">
              <w:t>Classification procedures</w:t>
            </w:r>
          </w:p>
        </w:tc>
      </w:tr>
      <w:tr w:rsidTr="00F769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54DAA">
            <w:pPr>
              <w:pStyle w:val="ListBullet"/>
              <w:rPr>
                <w:lang w:val="en-NZ"/>
              </w:rPr>
            </w:pPr>
            <w:r w:rsidRPr="00054DAA">
              <w:t>Despatch procedures</w:t>
            </w:r>
          </w:p>
        </w:tc>
      </w:tr>
      <w:tr w:rsidTr="00F769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54DAA">
            <w:pPr>
              <w:pStyle w:val="ListBullet"/>
              <w:rPr>
                <w:lang w:val="en-NZ"/>
              </w:rPr>
            </w:pPr>
            <w:r w:rsidRPr="00054DAA">
              <w:t xml:space="preserve">Calculation method and approaches for both </w:t>
            </w:r>
            <w:r w:rsidRPr="00054DAA">
              <w:t>metric and imperial systems</w:t>
            </w:r>
          </w:p>
        </w:tc>
      </w:tr>
      <w:tr w:rsidTr="00F769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54DAA">
            <w:pPr>
              <w:pStyle w:val="ListBullet"/>
              <w:rPr>
                <w:lang w:val="en-NZ"/>
              </w:rPr>
            </w:pPr>
            <w:r w:rsidRPr="00054DAA">
              <w:t>Correct weighing procedures including statutory and workplace requirements</w:t>
            </w:r>
          </w:p>
        </w:tc>
      </w:tr>
      <w:tr w:rsidTr="00F769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54DAA">
            <w:pPr>
              <w:pStyle w:val="ListBullet"/>
              <w:rPr>
                <w:lang w:val="en-NZ"/>
              </w:rPr>
            </w:pPr>
            <w:r w:rsidRPr="00054DAA">
              <w:t>Emergency response procedures</w:t>
            </w:r>
          </w:p>
        </w:tc>
      </w:tr>
      <w:tr w:rsidTr="00F769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54DAA" w:rsidP="00054DAA">
            <w:pPr>
              <w:pStyle w:val="ListBullet"/>
            </w:pPr>
            <w:r w:rsidRPr="00054DAA">
              <w:t>Site layout</w:t>
            </w:r>
          </w:p>
        </w:tc>
      </w:tr>
    </w:tbl>
    <w:p w:rsidR="00000000" w:rsidRPr="00054DAA" w:rsidP="00054DAA">
      <w:pPr>
        <w:pStyle w:val="BodyText"/>
      </w:pPr>
    </w:p>
    <w:tbl>
      <w:tblPr>
        <w:tblW w:w="9640" w:type="dxa"/>
        <w:tblLayout w:type="fixed"/>
        <w:tblCellMar>
          <w:left w:w="62" w:type="dxa"/>
          <w:right w:w="62" w:type="dxa"/>
        </w:tblCellMar>
        <w:tblLook w:val="0000"/>
      </w:tblPr>
      <w:tblGrid>
        <w:gridCol w:w="9640"/>
      </w:tblGrid>
      <w:tr w:rsidTr="00F7692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54DAA">
            <w:pPr>
              <w:pStyle w:val="BodyText"/>
              <w:rPr>
                <w:lang w:val="en-NZ"/>
              </w:rPr>
            </w:pPr>
            <w:r w:rsidRPr="00054DAA">
              <w:rPr>
                <w:rStyle w:val="SpecialBold"/>
              </w:rPr>
              <w:t>Required skills</w:t>
            </w:r>
            <w:r w:rsidRPr="00054DAA">
              <w:t>:</w:t>
            </w:r>
          </w:p>
        </w:tc>
      </w:tr>
      <w:tr w:rsidTr="00F769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54DAA">
            <w:pPr>
              <w:pStyle w:val="ListBullet"/>
              <w:rPr>
                <w:lang w:val="en-NZ"/>
              </w:rPr>
            </w:pPr>
            <w:r w:rsidRPr="00054DAA">
              <w:t>Communicate effectively with others when conducting weighbridge operations</w:t>
            </w:r>
          </w:p>
        </w:tc>
      </w:tr>
      <w:tr w:rsidTr="00F769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54DAA">
            <w:pPr>
              <w:pStyle w:val="ListBullet"/>
              <w:rPr>
                <w:lang w:val="en-NZ"/>
              </w:rPr>
            </w:pPr>
            <w:r w:rsidRPr="00054DAA">
              <w:t>Read and interpret instructions, procedures and information relevant to the conduct of weighbridge operations</w:t>
            </w:r>
          </w:p>
        </w:tc>
      </w:tr>
      <w:tr w:rsidTr="00F769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54DAA">
            <w:pPr>
              <w:pStyle w:val="ListBullet"/>
              <w:rPr>
                <w:lang w:val="en-NZ"/>
              </w:rPr>
            </w:pPr>
            <w:r w:rsidRPr="00054DAA">
              <w:t>Interpret and follow operational instructions and prioritise work</w:t>
            </w:r>
          </w:p>
        </w:tc>
      </w:tr>
      <w:tr w:rsidTr="00F769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54DAA">
            <w:pPr>
              <w:pStyle w:val="ListBullet"/>
              <w:rPr>
                <w:lang w:val="en-NZ"/>
              </w:rPr>
            </w:pPr>
            <w:r w:rsidRPr="00054DAA">
              <w:t>Complete documentation related to the conduct of weighbridge operations</w:t>
            </w:r>
          </w:p>
        </w:tc>
      </w:tr>
      <w:tr w:rsidTr="00F769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54DAA">
            <w:pPr>
              <w:pStyle w:val="ListBullet"/>
              <w:rPr>
                <w:lang w:val="en-NZ"/>
              </w:rPr>
            </w:pPr>
            <w:r w:rsidRPr="00054DAA">
              <w:t>Operate electronic communication equipment to required protocol</w:t>
            </w:r>
          </w:p>
        </w:tc>
      </w:tr>
      <w:tr w:rsidTr="00F769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54DAA">
            <w:pPr>
              <w:pStyle w:val="ListBullet"/>
              <w:rPr>
                <w:lang w:val="en-NZ"/>
              </w:rPr>
            </w:pPr>
            <w:r w:rsidRPr="00054DAA">
              <w:t>Work collaboratively with others when conducting weighbridge operations</w:t>
            </w:r>
          </w:p>
        </w:tc>
      </w:tr>
      <w:tr w:rsidTr="00F769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54DAA">
            <w:pPr>
              <w:pStyle w:val="ListBullet"/>
              <w:rPr>
                <w:lang w:val="en-NZ"/>
              </w:rPr>
            </w:pPr>
            <w:r w:rsidRPr="00054DAA">
              <w:t>Adapt appropriately to cultural differences in the workplace, including modes of behaviour and interactions with oth</w:t>
            </w:r>
            <w:r w:rsidRPr="00054DAA">
              <w:t>ers</w:t>
            </w:r>
          </w:p>
        </w:tc>
      </w:tr>
      <w:tr w:rsidTr="00F769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54DAA">
            <w:pPr>
              <w:pStyle w:val="ListBullet"/>
              <w:rPr>
                <w:lang w:val="en-NZ"/>
              </w:rPr>
            </w:pPr>
            <w:r w:rsidRPr="00054DAA">
              <w:t>Promptly report and/or rectify any identified problems, errors or malfunctions that may occur when conducting weighbridge operations in accordance with regulatory requirements and workplace procedures</w:t>
            </w:r>
          </w:p>
        </w:tc>
      </w:tr>
      <w:tr w:rsidTr="00F769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54DAA">
            <w:pPr>
              <w:pStyle w:val="ListBullet"/>
              <w:rPr>
                <w:lang w:val="en-NZ"/>
              </w:rPr>
            </w:pPr>
            <w:r w:rsidRPr="00054DAA">
              <w:t>Apply precautions and required action to minimi</w:t>
            </w:r>
            <w:r w:rsidRPr="00054DAA">
              <w:t>se, control or eliminate hazards that may exist during the conduct of weighbridge operations</w:t>
            </w:r>
          </w:p>
        </w:tc>
      </w:tr>
      <w:tr w:rsidTr="00F769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54DAA">
            <w:pPr>
              <w:pStyle w:val="ListBullet"/>
              <w:rPr>
                <w:lang w:val="en-NZ"/>
              </w:rPr>
            </w:pPr>
            <w:r w:rsidRPr="00054DAA">
              <w:t>Monitor work activities in terms of planned schedule</w:t>
            </w:r>
          </w:p>
        </w:tc>
      </w:tr>
      <w:tr w:rsidTr="00F769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54DAA">
            <w:pPr>
              <w:pStyle w:val="ListBullet"/>
              <w:rPr>
                <w:lang w:val="en-NZ"/>
              </w:rPr>
            </w:pPr>
            <w:r w:rsidRPr="00054DAA">
              <w:t>Modify activities depending on differing operational contingencies, risk situations and environments</w:t>
            </w:r>
          </w:p>
        </w:tc>
      </w:tr>
      <w:tr w:rsidTr="00F769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54DAA">
            <w:pPr>
              <w:pStyle w:val="ListBullet"/>
              <w:rPr>
                <w:lang w:val="en-NZ"/>
              </w:rPr>
            </w:pPr>
            <w:r w:rsidRPr="00054DAA">
              <w:t>Work systematically with required attention to detail without injury to self or others, or damage to goods or equipment</w:t>
            </w:r>
          </w:p>
        </w:tc>
      </w:tr>
      <w:tr w:rsidTr="00F769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54DAA">
            <w:pPr>
              <w:pStyle w:val="ListBullet"/>
              <w:rPr>
                <w:lang w:val="en-NZ"/>
              </w:rPr>
            </w:pPr>
            <w:r w:rsidRPr="00054DAA">
              <w:t>Operate and adapt to differences in equipment in accordance with standard operating procedures</w:t>
            </w:r>
          </w:p>
        </w:tc>
      </w:tr>
      <w:tr w:rsidTr="00F769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54DAA">
            <w:pPr>
              <w:pStyle w:val="ListBullet"/>
              <w:rPr>
                <w:lang w:val="en-NZ"/>
              </w:rPr>
            </w:pPr>
            <w:r w:rsidRPr="00054DAA">
              <w:t>Select and use required personal prot</w:t>
            </w:r>
            <w:r w:rsidRPr="00054DAA">
              <w:t>ective equipment conforming to industry and OH&amp;S standards</w:t>
            </w:r>
          </w:p>
        </w:tc>
      </w:tr>
      <w:tr w:rsidTr="00F769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54DAA">
            <w:pPr>
              <w:pStyle w:val="ListBullet"/>
              <w:rPr>
                <w:lang w:val="en-NZ"/>
              </w:rPr>
            </w:pPr>
            <w:r w:rsidRPr="00054DAA">
              <w:t>Set up and maintain weighbridge equipment</w:t>
            </w:r>
          </w:p>
        </w:tc>
      </w:tr>
      <w:tr w:rsidTr="00F769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54DAA">
            <w:pPr>
              <w:pStyle w:val="ListBullet"/>
              <w:rPr>
                <w:lang w:val="en-NZ"/>
              </w:rPr>
            </w:pPr>
            <w:r w:rsidRPr="00054DAA">
              <w:t>Identify, select and efficiently and effectively use weighbridge equipment</w:t>
            </w:r>
          </w:p>
        </w:tc>
      </w:tr>
      <w:tr w:rsidTr="00F769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54DAA" w:rsidP="00054DAA">
            <w:pPr>
              <w:pStyle w:val="ListBullet"/>
            </w:pPr>
            <w:r w:rsidRPr="00054DAA">
              <w:t>Monitor performance of weighbridge equipment</w:t>
            </w:r>
          </w:p>
        </w:tc>
      </w:tr>
    </w:tbl>
    <w:p w:rsidR="00F76927" w:rsidP="00054DAA">
      <w:pPr>
        <w:pStyle w:val="BodyText"/>
      </w:pPr>
    </w:p>
    <w:p w:rsidR="00F76927" w:rsidP="00054DAA">
      <w:pPr>
        <w:pStyle w:val="BodyText"/>
      </w:pPr>
    </w:p>
    <w:p w:rsidR="00000000" w:rsidRPr="00054DAA" w:rsidP="00054DAA">
      <w:pPr>
        <w:pStyle w:val="Heading1"/>
      </w:pPr>
      <w:bookmarkStart w:id="10" w:name="O_246753"/>
      <w:bookmarkEnd w:id="10"/>
      <w:r w:rsidRPr="00054DAA">
        <w:t>Evidence Guide</w:t>
      </w:r>
    </w:p>
    <w:tbl>
      <w:tblPr>
        <w:tblW w:w="9499" w:type="dxa"/>
        <w:tblLayout w:type="fixed"/>
        <w:tblCellMar>
          <w:left w:w="62" w:type="dxa"/>
          <w:right w:w="62" w:type="dxa"/>
        </w:tblCellMar>
        <w:tblLook w:val="0000"/>
      </w:tblPr>
      <w:tblGrid>
        <w:gridCol w:w="3524"/>
        <w:gridCol w:w="5975"/>
      </w:tblGrid>
      <w:tr w:rsidTr="00F76927">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54DAA">
            <w:pPr>
              <w:pStyle w:val="BodyText"/>
              <w:rPr>
                <w:lang w:val="en-NZ"/>
              </w:rPr>
            </w:pPr>
            <w:r w:rsidRPr="00054DAA">
              <w:rPr>
                <w:rStyle w:val="SpecialBold"/>
              </w:rPr>
              <w:t>EVIDENCE GUIDE</w:t>
            </w:r>
          </w:p>
        </w:tc>
      </w:tr>
      <w:tr w:rsidTr="00F7692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54DAA">
            <w:pPr>
              <w:pStyle w:val="BodyText"/>
              <w:rPr>
                <w:lang w:val="en-NZ"/>
              </w:rPr>
            </w:pPr>
            <w:r w:rsidRPr="00054DAA">
              <w:t>The evidence guide provides advice on assessment and must be read in conjunction with the performance criteria, required knowledge and skills, the range statement and the assessment guidelines for this Training Package.</w:t>
            </w:r>
          </w:p>
        </w:tc>
      </w:tr>
      <w:tr w:rsidTr="00F7692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54DAA">
            <w:pPr>
              <w:pStyle w:val="BodyText"/>
              <w:rPr>
                <w:lang w:val="en-NZ"/>
              </w:rPr>
            </w:pPr>
            <w:r w:rsidRPr="00054DAA">
              <w:rPr>
                <w:rStyle w:val="SpecialBold"/>
              </w:rPr>
              <w:t>Cr</w:t>
            </w:r>
            <w:r w:rsidRPr="00054DAA">
              <w:rPr>
                <w:rStyle w:val="SpecialBold"/>
              </w:rPr>
              <w:t>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54DAA" w:rsidP="00054DAA">
            <w:pPr>
              <w:pStyle w:val="ListBullet"/>
            </w:pPr>
            <w:r w:rsidRPr="00054DAA">
              <w:t>The evidence required to demonstrate competency in this unit must be relevant to and satisfy all of the requirements of the elements and performance criteria of thi</w:t>
            </w:r>
            <w:r w:rsidRPr="00054DAA">
              <w:t>s unit and include demonstration of applying:</w:t>
            </w:r>
          </w:p>
          <w:p w:rsidR="00000000" w:rsidRPr="00054DAA" w:rsidP="00054DAA">
            <w:pPr>
              <w:pStyle w:val="ListBullet2"/>
            </w:pPr>
            <w:r w:rsidRPr="00054DAA">
              <w:t>the underpinning knowledge and skills</w:t>
            </w:r>
          </w:p>
          <w:p w:rsidR="00000000" w:rsidRPr="00054DAA" w:rsidP="00054DAA">
            <w:pPr>
              <w:pStyle w:val="ListBullet2"/>
            </w:pPr>
            <w:r w:rsidRPr="00054DAA">
              <w:t>relevant legislation and workplace procedures</w:t>
            </w:r>
          </w:p>
          <w:p w:rsidR="00000000" w:rsidP="00054DAA">
            <w:pPr>
              <w:pStyle w:val="ListBullet2"/>
              <w:rPr>
                <w:lang w:val="en-NZ"/>
              </w:rPr>
            </w:pPr>
            <w:r w:rsidRPr="00054DAA">
              <w:t>other relevant aspects of the range statement</w:t>
            </w:r>
          </w:p>
        </w:tc>
      </w:tr>
      <w:tr w:rsidTr="00F7692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54DAA">
            <w:pPr>
              <w:pStyle w:val="BodyText"/>
              <w:rPr>
                <w:lang w:val="en-NZ"/>
              </w:rPr>
            </w:pPr>
            <w:r w:rsidRPr="00054DA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54DAA" w:rsidP="00054DAA">
            <w:pPr>
              <w:pStyle w:val="ListBullet"/>
            </w:pPr>
            <w:r w:rsidRPr="00054DAA">
              <w:t>Performance is demonstrated consistently over a period of time and in a suitable range of contexts</w:t>
            </w:r>
          </w:p>
          <w:p w:rsidR="00000000" w:rsidRPr="00054DAA" w:rsidP="00054DAA">
            <w:pPr>
              <w:pStyle w:val="ListBullet"/>
            </w:pPr>
            <w:r w:rsidRPr="00054DAA">
              <w:t>Resources for assessment include:</w:t>
            </w:r>
          </w:p>
          <w:p w:rsidR="00000000" w:rsidRPr="00054DAA" w:rsidP="00054DAA">
            <w:pPr>
              <w:pStyle w:val="ListBullet2"/>
            </w:pPr>
            <w:r w:rsidRPr="00054DAA">
              <w:t>a range of relevant exercises, case studies and/or other simulated practical and knowledge assessment, and/or</w:t>
            </w:r>
          </w:p>
          <w:p w:rsidR="00000000" w:rsidRPr="00054DAA" w:rsidP="00054DAA">
            <w:pPr>
              <w:pStyle w:val="ListBullet2"/>
            </w:pPr>
            <w:r w:rsidRPr="00054DAA">
              <w:t>access to an appropriate range of relevant operational situations in the workplace</w:t>
            </w:r>
          </w:p>
          <w:p w:rsidR="00000000" w:rsidRPr="00054DAA" w:rsidP="00054DAA">
            <w:pPr>
              <w:pStyle w:val="ListBullet"/>
            </w:pPr>
            <w:r w:rsidRPr="00054DAA">
              <w:t>In both real and simulated environments, access is required to:</w:t>
            </w:r>
          </w:p>
          <w:p w:rsidR="00000000" w:rsidRPr="00054DAA" w:rsidP="00054DAA">
            <w:pPr>
              <w:pStyle w:val="ListBullet2"/>
            </w:pPr>
            <w:r w:rsidRPr="00054DAA">
              <w:t>relevant and appropriate materials and equipment, and</w:t>
            </w:r>
          </w:p>
          <w:p w:rsidR="00000000" w:rsidP="00054DAA">
            <w:pPr>
              <w:pStyle w:val="ListBullet2"/>
              <w:rPr>
                <w:lang w:val="en-NZ"/>
              </w:rPr>
            </w:pPr>
            <w:r w:rsidRPr="00054DAA">
              <w:t>applicable documentation including workplace procedur</w:t>
            </w:r>
            <w:r w:rsidRPr="00054DAA">
              <w:t>es, regulations, codes of practice and operation manuals</w:t>
            </w:r>
          </w:p>
        </w:tc>
      </w:tr>
      <w:tr w:rsidTr="00F7692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54DAA">
            <w:pPr>
              <w:pStyle w:val="BodyText"/>
              <w:rPr>
                <w:lang w:val="en-NZ"/>
              </w:rPr>
            </w:pPr>
            <w:r w:rsidRPr="00054DA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54DAA" w:rsidP="00054DAA">
            <w:pPr>
              <w:pStyle w:val="ListBullet"/>
            </w:pPr>
            <w:r w:rsidRPr="00054DAA">
              <w:t>Assessment of this unit must be undertaken by a registered training organisation</w:t>
            </w:r>
          </w:p>
          <w:p w:rsidR="00000000" w:rsidRPr="00054DAA" w:rsidP="00054DAA">
            <w:pPr>
              <w:pStyle w:val="ListBullet"/>
            </w:pPr>
            <w:r w:rsidRPr="00054DAA">
              <w:t>As a minimum, assessment of knowledge must be conducted through appropriate written/oral tests</w:t>
            </w:r>
          </w:p>
          <w:p w:rsidR="00000000" w:rsidRPr="00054DAA" w:rsidP="00054DAA">
            <w:pPr>
              <w:pStyle w:val="ListBullet"/>
            </w:pPr>
            <w:r w:rsidRPr="00054DAA">
              <w:t>Practical assessment must occur:</w:t>
            </w:r>
          </w:p>
          <w:p w:rsidR="00000000" w:rsidRPr="00054DAA" w:rsidP="00054DAA">
            <w:pPr>
              <w:pStyle w:val="ListBullet2"/>
            </w:pPr>
            <w:r w:rsidRPr="00054DAA">
              <w:t>through activities in an appropriately simulated environment at the registered training organisation, and/or</w:t>
            </w:r>
          </w:p>
          <w:p w:rsidR="00000000" w:rsidRPr="00054DAA" w:rsidP="00054DAA">
            <w:pPr>
              <w:pStyle w:val="ListBullet2"/>
            </w:pPr>
            <w:r w:rsidRPr="00054DAA">
              <w:t>in an appropriate range of situations in the workplace</w:t>
            </w:r>
          </w:p>
        </w:tc>
      </w:tr>
    </w:tbl>
    <w:p w:rsidR="00F76927" w:rsidP="00054DAA">
      <w:pPr>
        <w:pStyle w:val="BodyText"/>
      </w:pPr>
    </w:p>
    <w:p w:rsidR="00F76927" w:rsidP="00054DAA">
      <w:pPr>
        <w:pStyle w:val="BodyText"/>
      </w:pPr>
    </w:p>
    <w:p w:rsidR="00000000" w:rsidRPr="00054DAA" w:rsidP="00054DAA">
      <w:pPr>
        <w:pStyle w:val="Heading1"/>
      </w:pPr>
      <w:bookmarkStart w:id="11" w:name="O_254736"/>
      <w:bookmarkEnd w:id="11"/>
      <w:r w:rsidRPr="00054DAA">
        <w:t>Range Statement</w:t>
      </w:r>
    </w:p>
    <w:tbl>
      <w:tblPr>
        <w:tblW w:w="9640" w:type="dxa"/>
        <w:tblLayout w:type="fixed"/>
        <w:tblCellMar>
          <w:left w:w="62" w:type="dxa"/>
          <w:right w:w="62" w:type="dxa"/>
        </w:tblCellMar>
        <w:tblLook w:val="0000"/>
      </w:tblPr>
      <w:tblGrid>
        <w:gridCol w:w="3486"/>
        <w:gridCol w:w="6154"/>
      </w:tblGrid>
      <w:tr w:rsidTr="00F76927">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54DAA">
            <w:pPr>
              <w:pStyle w:val="BodyText"/>
              <w:rPr>
                <w:lang w:val="en-NZ"/>
              </w:rPr>
            </w:pPr>
            <w:r w:rsidRPr="00054DAA">
              <w:rPr>
                <w:rStyle w:val="SpecialBold"/>
              </w:rPr>
              <w:t>RANGE STATEMENT</w:t>
            </w:r>
            <w:r w:rsidRPr="00054DAA">
              <w:t xml:space="preserve"> </w:t>
            </w:r>
          </w:p>
        </w:tc>
      </w:tr>
      <w:tr w:rsidTr="00F7692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54DAA">
            <w:pPr>
              <w:pStyle w:val="BodyText"/>
              <w:rPr>
                <w:lang w:val="en-NZ"/>
              </w:rPr>
            </w:pPr>
            <w:r w:rsidRPr="00054DAA">
              <w:t>The range statement relates to the unit of competency as a whole. It allows for different work environments and situations that may affect performance.</w:t>
            </w:r>
          </w:p>
        </w:tc>
      </w:tr>
      <w:tr w:rsidTr="00F769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54DAA">
            <w:pPr>
              <w:pStyle w:val="BodyText"/>
              <w:rPr>
                <w:lang w:val="en-NZ"/>
              </w:rPr>
            </w:pPr>
            <w:r w:rsidRPr="00054DAA">
              <w:t>Work may be conducted:</w:t>
            </w:r>
          </w:p>
        </w:tc>
        <w:tc>
          <w:tcPr>
            <w:tcW w:w="6154" w:type="dxa"/>
            <w:tcBorders>
              <w:top w:val="nil"/>
              <w:left w:val="nil"/>
              <w:bottom w:val="nil"/>
              <w:right w:val="nil"/>
            </w:tcBorders>
            <w:tcMar>
              <w:top w:w="0" w:type="dxa"/>
              <w:left w:w="62" w:type="dxa"/>
              <w:bottom w:w="0" w:type="dxa"/>
              <w:right w:w="62" w:type="dxa"/>
            </w:tcMar>
          </w:tcPr>
          <w:p w:rsidR="00000000" w:rsidRPr="00054DAA" w:rsidP="00054DAA">
            <w:pPr>
              <w:pStyle w:val="ListBullet"/>
            </w:pPr>
            <w:r w:rsidRPr="00054DAA">
              <w:t>in a range of work environments</w:t>
            </w:r>
          </w:p>
          <w:p w:rsidR="00000000" w:rsidP="00054DAA">
            <w:pPr>
              <w:pStyle w:val="ListBullet"/>
              <w:rPr>
                <w:lang w:val="en-NZ"/>
              </w:rPr>
            </w:pPr>
            <w:r w:rsidRPr="00054DAA">
              <w:t>by day or night</w:t>
            </w:r>
          </w:p>
        </w:tc>
      </w:tr>
      <w:tr w:rsidTr="00F769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54DAA">
            <w:pPr>
              <w:pStyle w:val="BodyText"/>
              <w:rPr>
                <w:lang w:val="en-NZ"/>
              </w:rPr>
            </w:pPr>
            <w:r w:rsidRPr="00054DAA">
              <w:t>Customers may be:</w:t>
            </w:r>
          </w:p>
        </w:tc>
        <w:tc>
          <w:tcPr>
            <w:tcW w:w="6154" w:type="dxa"/>
            <w:tcBorders>
              <w:top w:val="nil"/>
              <w:left w:val="nil"/>
              <w:bottom w:val="nil"/>
              <w:right w:val="nil"/>
            </w:tcBorders>
            <w:tcMar>
              <w:top w:w="0" w:type="dxa"/>
              <w:left w:w="62" w:type="dxa"/>
              <w:bottom w:w="0" w:type="dxa"/>
              <w:right w:w="62" w:type="dxa"/>
            </w:tcMar>
          </w:tcPr>
          <w:p w:rsidR="00000000" w:rsidP="00054DAA">
            <w:pPr>
              <w:pStyle w:val="ListBullet"/>
              <w:rPr>
                <w:lang w:val="en-NZ"/>
              </w:rPr>
            </w:pPr>
            <w:r w:rsidRPr="00054DAA">
              <w:t>internal or external</w:t>
            </w:r>
          </w:p>
        </w:tc>
      </w:tr>
      <w:tr w:rsidTr="00F769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54DAA">
            <w:pPr>
              <w:pStyle w:val="BodyText"/>
              <w:rPr>
                <w:lang w:val="en-NZ"/>
              </w:rPr>
            </w:pPr>
            <w:r w:rsidRPr="00054DAA">
              <w:t>Workplaces may comprise:</w:t>
            </w:r>
          </w:p>
        </w:tc>
        <w:tc>
          <w:tcPr>
            <w:tcW w:w="6154" w:type="dxa"/>
            <w:tcBorders>
              <w:top w:val="nil"/>
              <w:left w:val="nil"/>
              <w:bottom w:val="nil"/>
              <w:right w:val="nil"/>
            </w:tcBorders>
            <w:tcMar>
              <w:top w:w="0" w:type="dxa"/>
              <w:left w:w="62" w:type="dxa"/>
              <w:bottom w:w="0" w:type="dxa"/>
              <w:right w:w="62" w:type="dxa"/>
            </w:tcMar>
          </w:tcPr>
          <w:p w:rsidR="00000000" w:rsidP="00054DAA">
            <w:pPr>
              <w:pStyle w:val="ListBullet"/>
              <w:rPr>
                <w:lang w:val="en-NZ"/>
              </w:rPr>
            </w:pPr>
            <w:r w:rsidRPr="00054DAA">
              <w:t>large, medium or small worksites</w:t>
            </w:r>
          </w:p>
        </w:tc>
      </w:tr>
      <w:tr w:rsidTr="00F769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54DAA">
            <w:pPr>
              <w:pStyle w:val="BodyText"/>
              <w:rPr>
                <w:lang w:val="en-NZ"/>
              </w:rPr>
            </w:pPr>
            <w:r w:rsidRPr="00054DAA">
              <w:t>Workplace environment may include:</w:t>
            </w:r>
          </w:p>
        </w:tc>
        <w:tc>
          <w:tcPr>
            <w:tcW w:w="6154" w:type="dxa"/>
            <w:tcBorders>
              <w:top w:val="nil"/>
              <w:left w:val="nil"/>
              <w:bottom w:val="nil"/>
              <w:right w:val="nil"/>
            </w:tcBorders>
            <w:tcMar>
              <w:top w:w="0" w:type="dxa"/>
              <w:left w:w="62" w:type="dxa"/>
              <w:bottom w:w="0" w:type="dxa"/>
              <w:right w:w="62" w:type="dxa"/>
            </w:tcMar>
          </w:tcPr>
          <w:p w:rsidR="00000000" w:rsidP="00054DAA">
            <w:pPr>
              <w:pStyle w:val="ListBullet"/>
              <w:rPr>
                <w:lang w:val="en-NZ"/>
              </w:rPr>
            </w:pPr>
            <w:r w:rsidRPr="00054DAA">
              <w:t>movement of equipment, goods, products, materials and vehicular traffic</w:t>
            </w:r>
          </w:p>
        </w:tc>
      </w:tr>
      <w:tr w:rsidTr="00F769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54DAA">
            <w:pPr>
              <w:pStyle w:val="BodyText"/>
              <w:rPr>
                <w:lang w:val="en-NZ"/>
              </w:rPr>
            </w:pPr>
            <w:r w:rsidRPr="00054DAA">
              <w:t>Weighbridge operations may be:</w:t>
            </w:r>
          </w:p>
        </w:tc>
        <w:tc>
          <w:tcPr>
            <w:tcW w:w="6154" w:type="dxa"/>
            <w:tcBorders>
              <w:top w:val="nil"/>
              <w:left w:val="nil"/>
              <w:bottom w:val="nil"/>
              <w:right w:val="nil"/>
            </w:tcBorders>
            <w:tcMar>
              <w:top w:w="0" w:type="dxa"/>
              <w:left w:w="62" w:type="dxa"/>
              <w:bottom w:w="0" w:type="dxa"/>
              <w:right w:w="62" w:type="dxa"/>
            </w:tcMar>
          </w:tcPr>
          <w:p w:rsidR="00000000" w:rsidP="00054DAA">
            <w:pPr>
              <w:pStyle w:val="ListBullet"/>
              <w:rPr>
                <w:lang w:val="en-NZ"/>
              </w:rPr>
            </w:pPr>
            <w:r w:rsidRPr="00054DAA">
              <w:t>inclusive of a single operation involving the loading of vehicles and despatch functions</w:t>
            </w:r>
          </w:p>
        </w:tc>
      </w:tr>
      <w:tr w:rsidTr="00F769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54DAA">
            <w:pPr>
              <w:pStyle w:val="BodyText"/>
              <w:rPr>
                <w:lang w:val="en-NZ"/>
              </w:rPr>
            </w:pPr>
            <w:r w:rsidRPr="00054DAA">
              <w:t>Weighbridge operation may be:</w:t>
            </w:r>
          </w:p>
        </w:tc>
        <w:tc>
          <w:tcPr>
            <w:tcW w:w="6154" w:type="dxa"/>
            <w:tcBorders>
              <w:top w:val="nil"/>
              <w:left w:val="nil"/>
              <w:bottom w:val="nil"/>
              <w:right w:val="nil"/>
            </w:tcBorders>
            <w:tcMar>
              <w:top w:w="0" w:type="dxa"/>
              <w:left w:w="62" w:type="dxa"/>
              <w:bottom w:w="0" w:type="dxa"/>
              <w:right w:w="62" w:type="dxa"/>
            </w:tcMar>
          </w:tcPr>
          <w:p w:rsidR="00000000" w:rsidRPr="00054DAA" w:rsidP="00054DAA">
            <w:pPr>
              <w:pStyle w:val="ListBullet"/>
            </w:pPr>
            <w:r w:rsidRPr="00054DAA">
              <w:t>electro/mechanical</w:t>
            </w:r>
          </w:p>
          <w:p w:rsidR="00000000" w:rsidRPr="00054DAA" w:rsidP="00054DAA">
            <w:pPr>
              <w:pStyle w:val="ListBullet"/>
            </w:pPr>
            <w:r w:rsidRPr="00054DAA">
              <w:t>electronic</w:t>
            </w:r>
          </w:p>
          <w:p w:rsidR="00000000" w:rsidP="00054DAA">
            <w:pPr>
              <w:pStyle w:val="ListBullet"/>
              <w:rPr>
                <w:lang w:val="en-NZ"/>
              </w:rPr>
            </w:pPr>
            <w:r w:rsidRPr="00054DAA">
              <w:t>computerised</w:t>
            </w:r>
          </w:p>
        </w:tc>
      </w:tr>
      <w:tr w:rsidTr="00F769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54DAA">
            <w:pPr>
              <w:pStyle w:val="BodyText"/>
              <w:rPr>
                <w:lang w:val="en-NZ"/>
              </w:rPr>
            </w:pPr>
            <w:r w:rsidRPr="00054DAA">
              <w:t>Vehicles may include</w:t>
            </w:r>
          </w:p>
        </w:tc>
        <w:tc>
          <w:tcPr>
            <w:tcW w:w="6154" w:type="dxa"/>
            <w:tcBorders>
              <w:top w:val="nil"/>
              <w:left w:val="nil"/>
              <w:bottom w:val="nil"/>
              <w:right w:val="nil"/>
            </w:tcBorders>
            <w:tcMar>
              <w:top w:w="0" w:type="dxa"/>
              <w:left w:w="62" w:type="dxa"/>
              <w:bottom w:w="0" w:type="dxa"/>
              <w:right w:w="62" w:type="dxa"/>
            </w:tcMar>
          </w:tcPr>
          <w:p w:rsidR="00000000" w:rsidRPr="00054DAA" w:rsidP="00054DAA">
            <w:pPr>
              <w:pStyle w:val="ListBullet"/>
            </w:pPr>
            <w:r w:rsidRPr="00054DAA">
              <w:t>trucks</w:t>
            </w:r>
          </w:p>
          <w:p w:rsidR="00000000" w:rsidRPr="00054DAA" w:rsidP="00054DAA">
            <w:pPr>
              <w:pStyle w:val="ListBullet"/>
            </w:pPr>
            <w:r w:rsidRPr="00054DAA">
              <w:t>articulated road vehicles</w:t>
            </w:r>
          </w:p>
          <w:p w:rsidR="00000000" w:rsidRPr="00054DAA" w:rsidP="00054DAA">
            <w:pPr>
              <w:pStyle w:val="ListBullet"/>
            </w:pPr>
            <w:r w:rsidRPr="00054DAA">
              <w:t>trailers</w:t>
            </w:r>
          </w:p>
          <w:p w:rsidR="00000000" w:rsidP="00054DAA">
            <w:pPr>
              <w:pStyle w:val="ListBullet"/>
              <w:rPr>
                <w:lang w:val="en-NZ"/>
              </w:rPr>
            </w:pPr>
            <w:r w:rsidRPr="00054DAA">
              <w:t>wagons</w:t>
            </w:r>
          </w:p>
        </w:tc>
      </w:tr>
      <w:tr w:rsidTr="00F769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54DAA">
            <w:pPr>
              <w:pStyle w:val="BodyText"/>
              <w:rPr>
                <w:lang w:val="en-NZ"/>
              </w:rPr>
            </w:pPr>
            <w:r w:rsidRPr="00054DAA">
              <w:t>Calibration and/or testing of equipment may be:</w:t>
            </w:r>
          </w:p>
        </w:tc>
        <w:tc>
          <w:tcPr>
            <w:tcW w:w="6154" w:type="dxa"/>
            <w:tcBorders>
              <w:top w:val="nil"/>
              <w:left w:val="nil"/>
              <w:bottom w:val="nil"/>
              <w:right w:val="nil"/>
            </w:tcBorders>
            <w:tcMar>
              <w:top w:w="0" w:type="dxa"/>
              <w:left w:w="62" w:type="dxa"/>
              <w:bottom w:w="0" w:type="dxa"/>
              <w:right w:w="62" w:type="dxa"/>
            </w:tcMar>
          </w:tcPr>
          <w:p w:rsidR="00000000" w:rsidP="00054DAA">
            <w:pPr>
              <w:pStyle w:val="ListBullet"/>
              <w:rPr>
                <w:lang w:val="en-NZ"/>
              </w:rPr>
            </w:pPr>
            <w:r w:rsidRPr="00054DAA">
              <w:t>required prior to and during operations</w:t>
            </w:r>
          </w:p>
        </w:tc>
      </w:tr>
      <w:tr w:rsidTr="00F769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54DAA">
            <w:pPr>
              <w:pStyle w:val="BodyText"/>
              <w:rPr>
                <w:lang w:val="en-NZ"/>
              </w:rPr>
            </w:pPr>
            <w:r w:rsidRPr="00054DAA">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054DAA" w:rsidP="00054DAA">
            <w:pPr>
              <w:pStyle w:val="ListBullet"/>
            </w:pPr>
            <w:r w:rsidRPr="00054DAA">
              <w:t>chemicals and pesticides</w:t>
            </w:r>
          </w:p>
          <w:p w:rsidR="00000000" w:rsidRPr="00054DAA" w:rsidP="00054DAA">
            <w:pPr>
              <w:pStyle w:val="ListBullet"/>
            </w:pPr>
            <w:r w:rsidRPr="00054DAA">
              <w:t>dangerous or hazardous substances</w:t>
            </w:r>
          </w:p>
          <w:p w:rsidR="00000000" w:rsidRPr="00054DAA" w:rsidP="00054DAA">
            <w:pPr>
              <w:pStyle w:val="ListBullet"/>
            </w:pPr>
            <w:r w:rsidRPr="00054DAA">
              <w:t>stationary and moving equipment, parts and materials</w:t>
            </w:r>
          </w:p>
          <w:p w:rsidR="00000000" w:rsidRPr="00054DAA" w:rsidP="00054DAA">
            <w:pPr>
              <w:pStyle w:val="ListBullet"/>
            </w:pPr>
            <w:r w:rsidRPr="00054DAA">
              <w:t>noi</w:t>
            </w:r>
            <w:r w:rsidRPr="00054DAA">
              <w:t>se, light, energy sources</w:t>
            </w:r>
          </w:p>
          <w:p w:rsidR="00000000" w:rsidRPr="00054DAA" w:rsidP="00054DAA">
            <w:pPr>
              <w:pStyle w:val="ListBullet"/>
            </w:pPr>
            <w:r w:rsidRPr="00054DAA">
              <w:t>electrical equipment</w:t>
            </w:r>
          </w:p>
          <w:p w:rsidR="00000000" w:rsidRPr="00054DAA" w:rsidP="00054DAA">
            <w:pPr>
              <w:pStyle w:val="ListBullet"/>
            </w:pPr>
            <w:r w:rsidRPr="00054DAA">
              <w:t>humidity, air temperature, radiant heat</w:t>
            </w:r>
          </w:p>
          <w:p w:rsidR="00000000" w:rsidP="00054DAA">
            <w:pPr>
              <w:pStyle w:val="ListBullet"/>
              <w:rPr>
                <w:lang w:val="en-NZ"/>
              </w:rPr>
            </w:pPr>
            <w:r w:rsidRPr="00054DAA">
              <w:t>faulty equipment</w:t>
            </w:r>
          </w:p>
        </w:tc>
      </w:tr>
      <w:tr w:rsidTr="00F769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54DAA">
            <w:pPr>
              <w:pStyle w:val="BodyText"/>
              <w:rPr>
                <w:lang w:val="en-NZ"/>
              </w:rPr>
            </w:pPr>
            <w:r w:rsidRPr="00054DAA">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054DAA" w:rsidP="00054DAA">
            <w:pPr>
              <w:pStyle w:val="ListBullet"/>
            </w:pPr>
            <w:r w:rsidRPr="00054DAA">
              <w:t>gloves</w:t>
            </w:r>
          </w:p>
          <w:p w:rsidR="00000000" w:rsidRPr="00054DAA" w:rsidP="00054DAA">
            <w:pPr>
              <w:pStyle w:val="ListBullet"/>
            </w:pPr>
            <w:r w:rsidRPr="00054DAA">
              <w:t>safety headwear and footwear</w:t>
            </w:r>
          </w:p>
          <w:p w:rsidR="00000000" w:rsidRPr="00054DAA" w:rsidP="00054DAA">
            <w:pPr>
              <w:pStyle w:val="ListBullet"/>
            </w:pPr>
            <w:r w:rsidRPr="00054DAA">
              <w:t>safety glasses</w:t>
            </w:r>
          </w:p>
          <w:p w:rsidR="00000000" w:rsidRPr="00054DAA" w:rsidP="00054DAA">
            <w:pPr>
              <w:pStyle w:val="ListBullet"/>
            </w:pPr>
            <w:r w:rsidRPr="00054DAA">
              <w:t>two-way radios</w:t>
            </w:r>
          </w:p>
          <w:p w:rsidR="00000000" w:rsidRPr="00054DAA" w:rsidP="00054DAA">
            <w:pPr>
              <w:pStyle w:val="ListBullet"/>
            </w:pPr>
            <w:r w:rsidRPr="00054DAA">
              <w:t>protective clothing</w:t>
            </w:r>
          </w:p>
          <w:p w:rsidR="00000000" w:rsidRPr="00054DAA" w:rsidP="00054DAA">
            <w:pPr>
              <w:pStyle w:val="ListBullet"/>
            </w:pPr>
            <w:r w:rsidRPr="00054DAA">
              <w:t>respirators and fume/dust masks</w:t>
            </w:r>
          </w:p>
          <w:p w:rsidR="00000000" w:rsidP="00054DAA">
            <w:pPr>
              <w:pStyle w:val="ListBullet"/>
              <w:rPr>
                <w:lang w:val="en-NZ"/>
              </w:rPr>
            </w:pPr>
            <w:r w:rsidRPr="00054DAA">
              <w:t>high visibility clothing</w:t>
            </w:r>
          </w:p>
        </w:tc>
      </w:tr>
      <w:tr w:rsidTr="00F769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54DAA">
            <w:pPr>
              <w:pStyle w:val="BodyText"/>
              <w:rPr>
                <w:lang w:val="en-NZ"/>
              </w:rPr>
            </w:pPr>
            <w:r w:rsidRPr="00054DAA">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054DAA" w:rsidP="00054DAA">
            <w:pPr>
              <w:pStyle w:val="ListBullet"/>
            </w:pPr>
            <w:r w:rsidRPr="00054DAA">
              <w:t>site restrictions and procedures</w:t>
            </w:r>
          </w:p>
          <w:p w:rsidR="00000000" w:rsidRPr="00054DAA" w:rsidP="00054DAA">
            <w:pPr>
              <w:pStyle w:val="ListBullet"/>
            </w:pPr>
            <w:r w:rsidRPr="00054DAA">
              <w:t>use of safety and personal protective equipment</w:t>
            </w:r>
          </w:p>
          <w:p w:rsidR="00000000" w:rsidRPr="00054DAA" w:rsidP="00054DAA">
            <w:pPr>
              <w:pStyle w:val="ListBullet"/>
            </w:pPr>
            <w:r w:rsidRPr="00054DAA">
              <w:t>communications/recording equipment</w:t>
            </w:r>
          </w:p>
          <w:p w:rsidR="00000000" w:rsidRPr="00054DAA" w:rsidP="00054DAA">
            <w:pPr>
              <w:pStyle w:val="ListBullet"/>
            </w:pPr>
            <w:r w:rsidRPr="00054DAA">
              <w:t>authorities and permits</w:t>
            </w:r>
          </w:p>
          <w:p w:rsidR="00000000" w:rsidRPr="00054DAA" w:rsidP="00054DAA">
            <w:pPr>
              <w:pStyle w:val="ListBullet"/>
            </w:pPr>
            <w:r w:rsidRPr="00054DAA">
              <w:t>breakdown procedures</w:t>
            </w:r>
          </w:p>
          <w:p w:rsidR="00000000" w:rsidP="00054DAA">
            <w:pPr>
              <w:pStyle w:val="ListBullet"/>
              <w:rPr>
                <w:lang w:val="en-NZ"/>
              </w:rPr>
            </w:pPr>
            <w:r w:rsidRPr="00054DAA">
              <w:t>emergency procedures</w:t>
            </w:r>
          </w:p>
        </w:tc>
      </w:tr>
      <w:tr w:rsidTr="00F769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54DAA">
            <w:pPr>
              <w:pStyle w:val="BodyText"/>
              <w:rPr>
                <w:lang w:val="en-NZ"/>
              </w:rPr>
            </w:pPr>
            <w:r w:rsidRPr="00054DAA">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054DAA" w:rsidP="00054DAA">
            <w:pPr>
              <w:pStyle w:val="ListBullet"/>
            </w:pPr>
            <w:r w:rsidRPr="00054DAA">
              <w:t>phone</w:t>
            </w:r>
          </w:p>
          <w:p w:rsidR="00000000" w:rsidRPr="00054DAA" w:rsidP="00054DAA">
            <w:pPr>
              <w:pStyle w:val="ListBullet"/>
            </w:pPr>
            <w:r w:rsidRPr="00054DAA">
              <w:t>fax</w:t>
            </w:r>
          </w:p>
          <w:p w:rsidR="00000000" w:rsidRPr="00054DAA" w:rsidP="00054DAA">
            <w:pPr>
              <w:pStyle w:val="ListBullet"/>
            </w:pPr>
            <w:r w:rsidRPr="00054DAA">
              <w:t>email/internet</w:t>
            </w:r>
          </w:p>
          <w:p w:rsidR="00000000" w:rsidRPr="00054DAA" w:rsidP="00054DAA">
            <w:pPr>
              <w:pStyle w:val="ListBullet"/>
            </w:pPr>
            <w:r w:rsidRPr="00054DAA">
              <w:t>electronic data interchange (EDI)</w:t>
            </w:r>
          </w:p>
          <w:p w:rsidR="00000000" w:rsidRPr="00054DAA" w:rsidP="00054DAA">
            <w:pPr>
              <w:pStyle w:val="ListBullet"/>
            </w:pPr>
            <w:r w:rsidRPr="00054DAA">
              <w:t>RF systems</w:t>
            </w:r>
          </w:p>
          <w:p w:rsidR="00000000" w:rsidP="00054DAA">
            <w:pPr>
              <w:pStyle w:val="ListBullet"/>
              <w:rPr>
                <w:lang w:val="en-NZ"/>
              </w:rPr>
            </w:pPr>
            <w:r w:rsidRPr="00054DAA">
              <w:t>oral, aural or signed communications</w:t>
            </w:r>
          </w:p>
        </w:tc>
      </w:tr>
      <w:tr w:rsidTr="00F769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54DAA">
            <w:pPr>
              <w:pStyle w:val="BodyText"/>
              <w:rPr>
                <w:lang w:val="en-NZ"/>
              </w:rPr>
            </w:pPr>
            <w:r w:rsidRPr="00054DAA">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054DAA" w:rsidP="00054DAA">
            <w:pPr>
              <w:pStyle w:val="ListBullet"/>
            </w:pPr>
            <w:r w:rsidRPr="00054DAA">
              <w:t>workplace personnel</w:t>
            </w:r>
          </w:p>
          <w:p w:rsidR="00000000" w:rsidRPr="00054DAA" w:rsidP="00054DAA">
            <w:pPr>
              <w:pStyle w:val="ListBullet"/>
            </w:pPr>
            <w:r w:rsidRPr="00054DAA">
              <w:t>supervisors and managers</w:t>
            </w:r>
          </w:p>
          <w:p w:rsidR="00000000" w:rsidRPr="00054DAA" w:rsidP="00054DAA">
            <w:pPr>
              <w:pStyle w:val="ListBullet"/>
            </w:pPr>
            <w:r w:rsidRPr="00054DAA">
              <w:t>existing and potential customers/clients</w:t>
            </w:r>
          </w:p>
          <w:p w:rsidR="00000000" w:rsidRPr="00054DAA" w:rsidP="00054DAA">
            <w:pPr>
              <w:pStyle w:val="ListBullet"/>
            </w:pPr>
            <w:r w:rsidRPr="00054DAA">
              <w:t>drivers</w:t>
            </w:r>
          </w:p>
          <w:p w:rsidR="00000000" w:rsidRPr="00054DAA" w:rsidP="00054DAA">
            <w:pPr>
              <w:pStyle w:val="ListBullet"/>
            </w:pPr>
            <w:r w:rsidRPr="00054DAA">
              <w:t>suppliers and contractors</w:t>
            </w:r>
          </w:p>
          <w:p w:rsidR="00000000" w:rsidRPr="00054DAA" w:rsidP="00054DAA">
            <w:pPr>
              <w:pStyle w:val="ListBullet"/>
            </w:pPr>
            <w:r w:rsidRPr="00054DAA">
              <w:t>union representatives</w:t>
            </w:r>
          </w:p>
          <w:p w:rsidR="00000000" w:rsidRPr="00054DAA" w:rsidP="00054DAA">
            <w:pPr>
              <w:pStyle w:val="ListBullet"/>
            </w:pPr>
            <w:r w:rsidRPr="00054DAA">
              <w:t>industrial relations and OH&amp;S specialists</w:t>
            </w:r>
          </w:p>
          <w:p w:rsidR="00000000" w:rsidP="00054DAA">
            <w:pPr>
              <w:pStyle w:val="ListBullet"/>
              <w:rPr>
                <w:lang w:val="en-NZ"/>
              </w:rPr>
            </w:pPr>
            <w:r w:rsidRPr="00054DAA">
              <w:t>maintenance, professional or technical staff</w:t>
            </w:r>
          </w:p>
        </w:tc>
      </w:tr>
      <w:tr w:rsidTr="00F769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54DAA">
            <w:pPr>
              <w:pStyle w:val="BodyText"/>
              <w:rPr>
                <w:lang w:val="en-NZ"/>
              </w:rPr>
            </w:pPr>
            <w:r w:rsidRPr="00054DAA">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054DAA" w:rsidP="00054DAA">
            <w:pPr>
              <w:pStyle w:val="ListBullet"/>
            </w:pPr>
            <w:r w:rsidRPr="00054DAA">
              <w:t>company procedures</w:t>
            </w:r>
          </w:p>
          <w:p w:rsidR="00000000" w:rsidRPr="00054DAA" w:rsidP="00054DAA">
            <w:pPr>
              <w:pStyle w:val="ListBullet"/>
            </w:pPr>
            <w:r w:rsidRPr="00054DAA">
              <w:t>workplace procedures</w:t>
            </w:r>
          </w:p>
          <w:p w:rsidR="00000000" w:rsidRPr="00054DAA" w:rsidP="00054DAA">
            <w:pPr>
              <w:pStyle w:val="ListBullet"/>
            </w:pPr>
            <w:r w:rsidRPr="00054DAA">
              <w:t>organisational procedures</w:t>
            </w:r>
          </w:p>
          <w:p w:rsidR="00000000" w:rsidP="00054DAA">
            <w:pPr>
              <w:pStyle w:val="ListBullet"/>
              <w:rPr>
                <w:lang w:val="en-NZ"/>
              </w:rPr>
            </w:pPr>
            <w:r w:rsidRPr="00054DAA">
              <w:t>established or standard procedures</w:t>
            </w:r>
          </w:p>
        </w:tc>
      </w:tr>
      <w:tr w:rsidTr="00F769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54DAA">
            <w:pPr>
              <w:pStyle w:val="BodyText"/>
              <w:rPr>
                <w:lang w:val="en-NZ"/>
              </w:rPr>
            </w:pPr>
            <w:r w:rsidRPr="00054DAA">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054DAA" w:rsidP="00054DAA">
            <w:pPr>
              <w:pStyle w:val="ListBullet"/>
            </w:pPr>
            <w:r w:rsidRPr="00054DAA">
              <w:t>ope</w:t>
            </w:r>
            <w:r w:rsidRPr="00054DAA">
              <w:t>rations manuals, job specifications and procedures</w:t>
            </w:r>
          </w:p>
          <w:p w:rsidR="00000000" w:rsidRPr="00054DAA" w:rsidP="00054DAA">
            <w:pPr>
              <w:pStyle w:val="ListBullet"/>
            </w:pPr>
            <w:r w:rsidRPr="00054DAA">
              <w:t>induction documentation</w:t>
            </w:r>
          </w:p>
          <w:p w:rsidR="00000000" w:rsidRPr="00054DAA" w:rsidP="00054DAA">
            <w:pPr>
              <w:pStyle w:val="ListBullet"/>
            </w:pPr>
            <w:r w:rsidRPr="00054DAA">
              <w:t>competency standards and training materials</w:t>
            </w:r>
          </w:p>
          <w:p w:rsidR="00000000" w:rsidRPr="00054DAA" w:rsidP="00054DAA">
            <w:pPr>
              <w:pStyle w:val="ListBullet"/>
            </w:pPr>
            <w:r w:rsidRPr="00054DAA">
              <w:t>manufacturers specifications and instructions for the operation of weighbridge equipment</w:t>
            </w:r>
          </w:p>
          <w:p w:rsidR="00000000" w:rsidRPr="00054DAA" w:rsidP="00054DAA">
            <w:pPr>
              <w:pStyle w:val="ListBullet"/>
            </w:pPr>
            <w:r w:rsidRPr="00054DAA">
              <w:t>material safety data sheets</w:t>
            </w:r>
          </w:p>
          <w:p w:rsidR="00000000" w:rsidRPr="00054DAA" w:rsidP="00054DAA">
            <w:pPr>
              <w:pStyle w:val="ListBullet"/>
            </w:pPr>
            <w:r w:rsidRPr="00054DAA">
              <w:t>workplace operating procedures and policies</w:t>
            </w:r>
          </w:p>
          <w:p w:rsidR="00000000" w:rsidRPr="00054DAA" w:rsidP="00054DAA">
            <w:pPr>
              <w:pStyle w:val="ListBullet"/>
            </w:pPr>
            <w:r w:rsidRPr="00054DAA">
              <w:t>supplier and/or client instructions</w:t>
            </w:r>
          </w:p>
          <w:p w:rsidR="00000000" w:rsidRPr="00054DAA" w:rsidP="00054DAA">
            <w:pPr>
              <w:pStyle w:val="ListBullet"/>
            </w:pPr>
            <w:r w:rsidRPr="00054DAA">
              <w:t>Australian and international standards, criteria and certification requirements</w:t>
            </w:r>
          </w:p>
          <w:p w:rsidR="00000000" w:rsidRPr="00054DAA" w:rsidP="00054DAA">
            <w:pPr>
              <w:pStyle w:val="ListBullet"/>
            </w:pPr>
            <w:r w:rsidRPr="00054DAA">
              <w:t>codes of practice including the National Standards for Manual Handling and the Industry Safety C</w:t>
            </w:r>
            <w:r w:rsidRPr="00054DAA">
              <w:t>ode</w:t>
            </w:r>
          </w:p>
          <w:p w:rsidR="00000000" w:rsidRPr="00054DAA" w:rsidP="00054DAA">
            <w:pPr>
              <w:pStyle w:val="ListBullet"/>
            </w:pPr>
            <w:r w:rsidRPr="00054DAA">
              <w:t>relevant regulations including the ADG Code</w:t>
            </w:r>
          </w:p>
          <w:p w:rsidR="00000000" w:rsidRPr="00054DAA" w:rsidP="00054DAA">
            <w:pPr>
              <w:pStyle w:val="ListBullet"/>
            </w:pPr>
            <w:r w:rsidRPr="00054DAA">
              <w:t>award, workplace bargaining agreement, other industrial arrangements</w:t>
            </w:r>
          </w:p>
          <w:p w:rsidR="00000000" w:rsidRPr="00054DAA" w:rsidP="00054DAA">
            <w:pPr>
              <w:pStyle w:val="ListBullet"/>
            </w:pPr>
            <w:r w:rsidRPr="00054DAA">
              <w:t>OH&amp;S procedures</w:t>
            </w:r>
          </w:p>
          <w:p w:rsidR="00000000" w:rsidRPr="00054DAA" w:rsidP="00054DAA">
            <w:pPr>
              <w:pStyle w:val="ListBullet"/>
            </w:pPr>
            <w:r w:rsidRPr="00054DAA">
              <w:t>quality assurance procedures</w:t>
            </w:r>
          </w:p>
          <w:p w:rsidR="00000000" w:rsidP="00054DAA">
            <w:pPr>
              <w:pStyle w:val="ListBullet"/>
              <w:rPr>
                <w:lang w:val="en-NZ"/>
              </w:rPr>
            </w:pPr>
            <w:r w:rsidRPr="00054DAA">
              <w:t>emergency procedures</w:t>
            </w:r>
          </w:p>
        </w:tc>
      </w:tr>
      <w:tr w:rsidTr="00F769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54DAA">
            <w:pPr>
              <w:pStyle w:val="BodyText"/>
              <w:rPr>
                <w:lang w:val="en-NZ"/>
              </w:rPr>
            </w:pPr>
            <w:r w:rsidRPr="00054DAA">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054DAA" w:rsidP="00054DAA">
            <w:pPr>
              <w:pStyle w:val="ListBullet"/>
            </w:pPr>
            <w:r w:rsidRPr="00054DAA">
              <w:t xml:space="preserve">relevant codes and </w:t>
            </w:r>
            <w:r w:rsidRPr="00054DAA">
              <w:t>regulations pertaining to weighbridge operations</w:t>
            </w:r>
          </w:p>
          <w:p w:rsidR="00000000" w:rsidRPr="00054DAA" w:rsidP="00054DAA">
            <w:pPr>
              <w:pStyle w:val="ListBullet"/>
            </w:pPr>
            <w:r w:rsidRPr="00054DAA">
              <w:t>traffic acts and road transport mass and loading regulations</w:t>
            </w:r>
          </w:p>
          <w:p w:rsidR="00000000" w:rsidRPr="00054DAA" w:rsidP="00054DAA">
            <w:pPr>
              <w:pStyle w:val="ListBullet"/>
            </w:pPr>
            <w:r w:rsidRPr="00054DAA">
              <w:t>ADG Code and regulations pertaining to the storage and handling of dangerous and hazardous goods</w:t>
            </w:r>
          </w:p>
          <w:p w:rsidR="00000000" w:rsidRPr="00054DAA" w:rsidP="00054DAA">
            <w:pPr>
              <w:pStyle w:val="ListBullet"/>
            </w:pPr>
            <w:r w:rsidRPr="00054DAA">
              <w:t>relevant state/territory OH&amp;S legislation</w:t>
            </w:r>
          </w:p>
          <w:p w:rsidR="00000000" w:rsidRPr="00054DAA" w:rsidP="00054DAA">
            <w:pPr>
              <w:pStyle w:val="ListBullet"/>
            </w:pPr>
            <w:r w:rsidRPr="00054DAA">
              <w:t>relevant state/territory environmental protection legislation</w:t>
            </w:r>
          </w:p>
          <w:p w:rsidR="00000000" w:rsidRPr="00054DAA" w:rsidP="00054DAA">
            <w:pPr>
              <w:pStyle w:val="ListBullet"/>
            </w:pPr>
            <w:r w:rsidRPr="00054DAA">
              <w:t>relevant Australian and international standards and certification requirements</w:t>
            </w:r>
          </w:p>
          <w:p w:rsidR="00000000" w:rsidRPr="00054DAA" w:rsidP="00054DAA">
            <w:pPr>
              <w:pStyle w:val="ListBullet"/>
            </w:pPr>
            <w:r w:rsidRPr="00054DAA">
              <w:t>workplace relations regulations including equal opportunity, equal employment opportunity and affirmative action le</w:t>
            </w:r>
            <w:r w:rsidRPr="00054DAA">
              <w:t>gislation</w:t>
            </w:r>
          </w:p>
          <w:p w:rsidR="00000000" w:rsidRPr="00054DAA" w:rsidP="00054DAA">
            <w:pPr>
              <w:pStyle w:val="ListBullet"/>
            </w:pPr>
            <w:r w:rsidRPr="00054DAA">
              <w:t>workers compensation regulations</w:t>
            </w:r>
          </w:p>
        </w:tc>
      </w:tr>
    </w:tbl>
    <w:p w:rsidR="00F76927" w:rsidP="00054DAA">
      <w:pPr>
        <w:pStyle w:val="BodyText"/>
      </w:pPr>
    </w:p>
    <w:p w:rsidR="00F76927" w:rsidP="00054DAA">
      <w:pPr>
        <w:pStyle w:val="BodyText"/>
      </w:pPr>
    </w:p>
    <w:p w:rsidR="00000000" w:rsidRPr="00054DAA" w:rsidP="00054DAA">
      <w:pPr>
        <w:pStyle w:val="Heading1"/>
      </w:pPr>
      <w:bookmarkStart w:id="12" w:name="O_295749"/>
      <w:bookmarkEnd w:id="12"/>
      <w:r w:rsidRPr="00054DAA">
        <w:t>Unit Sector(s)</w:t>
      </w:r>
    </w:p>
    <w:p w:rsidR="00000000" w:rsidRPr="00054DAA" w:rsidP="00054DAA">
      <w:pPr>
        <w:pStyle w:val="BodyText"/>
      </w:pPr>
      <w:r w:rsidRPr="00054DAA">
        <w:t>Not Applicable</w:t>
      </w:r>
    </w:p>
    <w:p w:rsidR="00000000" w:rsidRPr="00054DAA" w:rsidP="00054DAA">
      <w:pPr>
        <w:pStyle w:val="AllowPageBreak"/>
      </w:pPr>
    </w:p>
    <w:p w:rsidR="00000000" w:rsidRPr="00054DAA" w:rsidP="00054DAA">
      <w:pPr>
        <w:pStyle w:val="Heading1"/>
      </w:pPr>
      <w:bookmarkStart w:id="13" w:name="O_223297"/>
      <w:bookmarkEnd w:id="13"/>
      <w:r w:rsidRPr="00054DAA">
        <w:t>Competency Field</w:t>
      </w:r>
    </w:p>
    <w:tbl>
      <w:tblPr>
        <w:tblW w:w="9640" w:type="dxa"/>
        <w:tblLayout w:type="fixed"/>
        <w:tblCellMar>
          <w:left w:w="62" w:type="dxa"/>
          <w:right w:w="62" w:type="dxa"/>
        </w:tblCellMar>
        <w:tblLook w:val="0000"/>
      </w:tblPr>
      <w:tblGrid>
        <w:gridCol w:w="2978"/>
        <w:gridCol w:w="6662"/>
      </w:tblGrid>
      <w:tr w:rsidTr="00F7692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54DAA">
            <w:pPr>
              <w:pStyle w:val="BodyText"/>
              <w:rPr>
                <w:lang w:val="en-NZ"/>
              </w:rPr>
            </w:pPr>
            <w:r w:rsidRPr="00054DAA">
              <w:rPr>
                <w:rStyle w:val="SpecialBold"/>
              </w:rPr>
              <w:t>Competency Field</w:t>
            </w:r>
            <w:r w:rsidRPr="00054DAA">
              <w:t xml:space="preserve"> </w:t>
            </w:r>
          </w:p>
        </w:tc>
        <w:tc>
          <w:tcPr>
            <w:tcW w:w="6662" w:type="dxa"/>
            <w:tcBorders>
              <w:top w:val="nil"/>
              <w:left w:val="nil"/>
              <w:bottom w:val="nil"/>
              <w:right w:val="nil"/>
            </w:tcBorders>
            <w:tcMar>
              <w:top w:w="0" w:type="dxa"/>
              <w:left w:w="62" w:type="dxa"/>
              <w:bottom w:w="0" w:type="dxa"/>
              <w:right w:w="62" w:type="dxa"/>
            </w:tcMar>
          </w:tcPr>
          <w:p w:rsidR="00000000" w:rsidRPr="00054DAA" w:rsidP="00054DAA">
            <w:pPr>
              <w:pStyle w:val="BodyText"/>
            </w:pPr>
            <w:r w:rsidRPr="00054DAA">
              <w:t>D - Load Handling</w:t>
            </w:r>
          </w:p>
        </w:tc>
      </w:tr>
    </w:tbl>
    <w:p w:rsidR="00F76927" w:rsidP="00054DAA">
      <w:pPr>
        <w:pStyle w:val="BodyText"/>
      </w:pPr>
    </w:p>
    <w:p w:rsidR="00F76927" w:rsidP="00054DAA">
      <w:pPr>
        <w:pStyle w:val="BodyText"/>
      </w:pPr>
    </w:p>
    <w:p w:rsidR="00000000" w:rsidRPr="00054DAA" w:rsidP="00054DAA"/>
    <w:sectPr w:rsidSect="00054D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D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6927" w:rsidP="00F769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D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927" w:rsidP="00054D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76927" w:rsidP="00054D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76927" w:rsidP="00054D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D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6927" w:rsidP="00F769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D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927" w:rsidP="00054DAA">
    <w:pPr>
      <w:pStyle w:val="Header"/>
      <w:framePr w:wrap="around"/>
    </w:pPr>
    <w:r>
      <w:fldChar w:fldCharType="begin"/>
    </w:r>
    <w:r>
      <w:instrText xml:space="preserve"> TITLE   \* MERGEFORMAT </w:instrText>
    </w:r>
    <w:r>
      <w:fldChar w:fldCharType="separate"/>
    </w:r>
    <w:r>
      <w:t>TLID2022A Conduct weighbridge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6927" w:rsidP="00054D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129B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D09D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AC7E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D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4DAA"/>
    <w:pPr>
      <w:spacing w:before="360" w:after="60"/>
      <w:outlineLvl w:val="0"/>
    </w:pPr>
    <w:rPr>
      <w:sz w:val="32"/>
    </w:rPr>
  </w:style>
  <w:style w:type="paragraph" w:styleId="Heading2">
    <w:name w:val="heading 2"/>
    <w:basedOn w:val="HeadingBase"/>
    <w:next w:val="BodyText"/>
    <w:link w:val="Heading2Char"/>
    <w:qFormat/>
    <w:rsid w:val="00054DAA"/>
    <w:pPr>
      <w:keepLines/>
      <w:spacing w:before="240" w:after="120"/>
      <w:outlineLvl w:val="1"/>
    </w:pPr>
    <w:rPr>
      <w:sz w:val="28"/>
      <w:szCs w:val="40"/>
    </w:rPr>
  </w:style>
  <w:style w:type="paragraph" w:styleId="Heading3">
    <w:name w:val="heading 3"/>
    <w:basedOn w:val="HeadingBase"/>
    <w:next w:val="BodyText"/>
    <w:link w:val="Heading3Char"/>
    <w:qFormat/>
    <w:rsid w:val="00054DAA"/>
    <w:pPr>
      <w:spacing w:before="180" w:after="120"/>
      <w:outlineLvl w:val="2"/>
    </w:pPr>
    <w:rPr>
      <w:spacing w:val="-10"/>
      <w:kern w:val="32"/>
    </w:rPr>
  </w:style>
  <w:style w:type="paragraph" w:styleId="Heading4">
    <w:name w:val="heading 4"/>
    <w:basedOn w:val="HeadingBase"/>
    <w:next w:val="BodyText"/>
    <w:link w:val="Heading4Char"/>
    <w:qFormat/>
    <w:rsid w:val="00054DAA"/>
    <w:pPr>
      <w:spacing w:before="160" w:after="120"/>
      <w:outlineLvl w:val="3"/>
    </w:pPr>
    <w:rPr>
      <w:sz w:val="22"/>
    </w:rPr>
  </w:style>
  <w:style w:type="paragraph" w:styleId="Heading5">
    <w:name w:val="heading 5"/>
    <w:basedOn w:val="HeadingBase"/>
    <w:next w:val="Normal"/>
    <w:link w:val="Heading5Char"/>
    <w:qFormat/>
    <w:rsid w:val="00054DAA"/>
    <w:pPr>
      <w:spacing w:before="80"/>
      <w:outlineLvl w:val="4"/>
    </w:pPr>
    <w:rPr>
      <w:color w:val="918585"/>
      <w:sz w:val="20"/>
    </w:rPr>
  </w:style>
  <w:style w:type="paragraph" w:styleId="Heading6">
    <w:name w:val="heading 6"/>
    <w:basedOn w:val="HeadingBase"/>
    <w:next w:val="Normal"/>
    <w:link w:val="Heading6Char"/>
    <w:qFormat/>
    <w:rsid w:val="00054DAA"/>
    <w:pPr>
      <w:spacing w:before="60"/>
      <w:outlineLvl w:val="5"/>
    </w:pPr>
    <w:rPr>
      <w:color w:val="918585"/>
      <w:sz w:val="20"/>
    </w:rPr>
  </w:style>
  <w:style w:type="paragraph" w:styleId="Heading7">
    <w:name w:val="heading 7"/>
    <w:basedOn w:val="Normal"/>
    <w:next w:val="Normal"/>
    <w:link w:val="Heading7Char"/>
    <w:qFormat/>
    <w:rsid w:val="00054DAA"/>
    <w:pPr>
      <w:ind w:left="720"/>
      <w:outlineLvl w:val="6"/>
    </w:pPr>
    <w:rPr>
      <w:i/>
    </w:rPr>
  </w:style>
  <w:style w:type="paragraph" w:styleId="Heading8">
    <w:name w:val="heading 8"/>
    <w:basedOn w:val="Normal"/>
    <w:next w:val="Normal"/>
    <w:link w:val="Heading8Char"/>
    <w:qFormat/>
    <w:rsid w:val="00054DAA"/>
    <w:pPr>
      <w:ind w:left="720"/>
      <w:outlineLvl w:val="7"/>
    </w:pPr>
    <w:rPr>
      <w:i/>
    </w:rPr>
  </w:style>
  <w:style w:type="paragraph" w:styleId="Heading9">
    <w:name w:val="heading 9"/>
    <w:basedOn w:val="Normal"/>
    <w:next w:val="Normal"/>
    <w:link w:val="Heading9Char"/>
    <w:qFormat/>
    <w:rsid w:val="00054DAA"/>
    <w:pPr>
      <w:ind w:left="720"/>
      <w:outlineLvl w:val="8"/>
    </w:pPr>
    <w:rPr>
      <w:i/>
    </w:rPr>
  </w:style>
  <w:style w:type="character" w:default="1" w:styleId="DefaultParagraphFont">
    <w:name w:val="Default Paragraph Font"/>
    <w:uiPriority w:val="1"/>
    <w:unhideWhenUsed/>
    <w:rsid w:val="00054D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4DAA"/>
  </w:style>
  <w:style w:type="character" w:customStyle="1" w:styleId="Heading1Char">
    <w:name w:val="Heading 1 Char"/>
    <w:basedOn w:val="DefaultParagraphFont"/>
    <w:link w:val="Heading1"/>
    <w:rsid w:val="00054DAA"/>
    <w:rPr>
      <w:rFonts w:ascii="Times New Roman" w:eastAsia="Times New Roman" w:hAnsi="Times New Roman" w:cs="Times New Roman"/>
      <w:b/>
      <w:sz w:val="32"/>
      <w:szCs w:val="20"/>
      <w:lang w:eastAsia="en-US"/>
    </w:rPr>
  </w:style>
  <w:style w:type="paragraph" w:styleId="BodyText">
    <w:name w:val="Body Text"/>
    <w:basedOn w:val="Normal"/>
    <w:link w:val="BodyTextChar"/>
    <w:rsid w:val="00054D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4DAA"/>
    <w:rPr>
      <w:rFonts w:ascii="Times New Roman" w:eastAsia="Times New Roman" w:hAnsi="Times New Roman" w:cs="Times New Roman"/>
      <w:sz w:val="24"/>
      <w:lang w:val="en-US" w:eastAsia="en-US"/>
    </w:rPr>
  </w:style>
  <w:style w:type="paragraph" w:styleId="Footer">
    <w:name w:val="footer"/>
    <w:basedOn w:val="Normal"/>
    <w:link w:val="FooterChar"/>
    <w:rsid w:val="00054D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4DAA"/>
    <w:rPr>
      <w:rFonts w:ascii="Times New Roman" w:eastAsia="Times New Roman" w:hAnsi="Times New Roman" w:cs="Times New Roman"/>
      <w:sz w:val="16"/>
      <w:lang w:val="en-US" w:eastAsia="en-US"/>
    </w:rPr>
  </w:style>
  <w:style w:type="paragraph" w:styleId="List">
    <w:name w:val="List"/>
    <w:basedOn w:val="BodyText"/>
    <w:next w:val="BodyText"/>
    <w:rsid w:val="00054DAA"/>
    <w:pPr>
      <w:tabs>
        <w:tab w:val="left" w:pos="340"/>
      </w:tabs>
      <w:spacing w:before="60" w:after="60"/>
      <w:ind w:left="340" w:hanging="340"/>
    </w:pPr>
  </w:style>
  <w:style w:type="paragraph" w:styleId="ListBullet">
    <w:name w:val="List Bullet"/>
    <w:basedOn w:val="List"/>
    <w:rsid w:val="00054DAA"/>
    <w:pPr>
      <w:numPr>
        <w:numId w:val="13"/>
      </w:numPr>
      <w:tabs>
        <w:tab w:val="clear" w:pos="340"/>
      </w:tabs>
      <w:spacing w:before="40" w:after="40"/>
    </w:pPr>
  </w:style>
  <w:style w:type="character" w:customStyle="1" w:styleId="SpecialBold">
    <w:name w:val="Special Bold"/>
    <w:basedOn w:val="DefaultParagraphFont"/>
    <w:rsid w:val="00054DAA"/>
    <w:rPr>
      <w:b/>
      <w:spacing w:val="0"/>
    </w:rPr>
  </w:style>
  <w:style w:type="paragraph" w:styleId="ListBullet2">
    <w:name w:val="List Bullet 2"/>
    <w:basedOn w:val="List2"/>
    <w:rsid w:val="00054DAA"/>
    <w:pPr>
      <w:numPr>
        <w:numId w:val="14"/>
      </w:numPr>
      <w:tabs>
        <w:tab w:val="clear" w:pos="680"/>
      </w:tabs>
    </w:pPr>
  </w:style>
  <w:style w:type="paragraph" w:styleId="Header">
    <w:name w:val="header"/>
    <w:basedOn w:val="Normal"/>
    <w:link w:val="HeaderChar"/>
    <w:rsid w:val="00054D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4D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4DAA"/>
    <w:pPr>
      <w:spacing w:before="240" w:after="120"/>
      <w:outlineLvl w:val="0"/>
    </w:pPr>
    <w:rPr>
      <w:rFonts w:ascii="Times New Roman" w:hAnsi="Times New Roman"/>
      <w:b/>
      <w:sz w:val="28"/>
    </w:rPr>
  </w:style>
  <w:style w:type="paragraph" w:customStyle="1" w:styleId="AllowPageBreak">
    <w:name w:val="AllowPageBreak"/>
    <w:rsid w:val="00054D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4D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4D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4D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4D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4D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4D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4D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4DAA"/>
    <w:rPr>
      <w:rFonts w:ascii="Courier New" w:eastAsia="Times New Roman" w:hAnsi="Courier New" w:cs="Times New Roman"/>
      <w:i/>
      <w:szCs w:val="20"/>
      <w:lang w:val="en-US" w:eastAsia="en-US"/>
    </w:rPr>
  </w:style>
  <w:style w:type="paragraph" w:customStyle="1" w:styleId="HeadingBase">
    <w:name w:val="Heading Base"/>
    <w:rsid w:val="00054D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4DAA"/>
    <w:pPr>
      <w:tabs>
        <w:tab w:val="right" w:leader="dot" w:pos="9072"/>
      </w:tabs>
      <w:ind w:left="567"/>
    </w:pPr>
    <w:rPr>
      <w:szCs w:val="22"/>
    </w:rPr>
  </w:style>
  <w:style w:type="paragraph" w:customStyle="1" w:styleId="TOCBase">
    <w:name w:val="TOC Base"/>
    <w:rsid w:val="00054D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4DAA"/>
    <w:pPr>
      <w:tabs>
        <w:tab w:val="right" w:leader="dot" w:pos="9072"/>
      </w:tabs>
      <w:spacing w:before="40" w:after="40"/>
      <w:ind w:left="284"/>
    </w:pPr>
    <w:rPr>
      <w:rFonts w:ascii="Times New Roman" w:hAnsi="Times New Roman"/>
    </w:rPr>
  </w:style>
  <w:style w:type="paragraph" w:styleId="TOC1">
    <w:name w:val="toc 1"/>
    <w:basedOn w:val="TOCBase"/>
    <w:next w:val="Normal"/>
    <w:rsid w:val="00054D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4DAA"/>
    <w:pPr>
      <w:spacing w:before="5040"/>
      <w:jc w:val="center"/>
    </w:pPr>
    <w:rPr>
      <w:sz w:val="48"/>
      <w:szCs w:val="72"/>
      <w:lang w:val="en-US"/>
    </w:rPr>
  </w:style>
  <w:style w:type="character" w:customStyle="1" w:styleId="TitleChar">
    <w:name w:val="Title Char"/>
    <w:basedOn w:val="DefaultParagraphFont"/>
    <w:link w:val="Title"/>
    <w:rsid w:val="00054D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4DAA"/>
    <w:pPr>
      <w:tabs>
        <w:tab w:val="left" w:pos="3600"/>
        <w:tab w:val="left" w:pos="3958"/>
      </w:tabs>
    </w:pPr>
  </w:style>
  <w:style w:type="paragraph" w:customStyle="1" w:styleId="Note">
    <w:name w:val="Note"/>
    <w:basedOn w:val="BodyText"/>
    <w:rsid w:val="00054D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4DAA"/>
    <w:pPr>
      <w:framePr w:wrap="auto" w:hAnchor="text" w:y="6049"/>
    </w:pPr>
    <w:rPr>
      <w:color w:val="000000"/>
      <w:sz w:val="40"/>
    </w:rPr>
  </w:style>
  <w:style w:type="paragraph" w:customStyle="1" w:styleId="TOCTitle">
    <w:name w:val="TOCTitle"/>
    <w:basedOn w:val="Heading1"/>
    <w:rsid w:val="00054DAA"/>
    <w:pPr>
      <w:spacing w:after="240"/>
      <w:jc w:val="center"/>
      <w:outlineLvl w:val="9"/>
    </w:pPr>
    <w:rPr>
      <w:caps/>
    </w:rPr>
  </w:style>
  <w:style w:type="paragraph" w:customStyle="1" w:styleId="Version">
    <w:name w:val="Version"/>
    <w:rsid w:val="00054D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4DAA"/>
    <w:pPr>
      <w:keepNext w:val="0"/>
      <w:tabs>
        <w:tab w:val="right" w:pos="4176"/>
      </w:tabs>
      <w:ind w:left="198" w:hanging="198"/>
    </w:pPr>
    <w:rPr>
      <w:rFonts w:ascii="Garamond" w:hAnsi="Garamond"/>
    </w:rPr>
  </w:style>
  <w:style w:type="paragraph" w:styleId="IndexHeading">
    <w:name w:val="index heading"/>
    <w:basedOn w:val="Normal"/>
    <w:next w:val="Index1"/>
    <w:semiHidden/>
    <w:rsid w:val="00054DAA"/>
    <w:pPr>
      <w:spacing w:before="120" w:after="120"/>
    </w:pPr>
    <w:rPr>
      <w:rFonts w:ascii="Arial" w:hAnsi="Arial"/>
      <w:b/>
      <w:color w:val="918585"/>
      <w:sz w:val="24"/>
    </w:rPr>
  </w:style>
  <w:style w:type="paragraph" w:customStyle="1" w:styleId="Chapter">
    <w:name w:val="Chapter"/>
    <w:basedOn w:val="Normal"/>
    <w:rsid w:val="00054DAA"/>
    <w:pPr>
      <w:spacing w:before="240"/>
    </w:pPr>
    <w:rPr>
      <w:rFonts w:ascii="Times New Roman" w:hAnsi="Times New Roman"/>
      <w:smallCaps/>
      <w:spacing w:val="80"/>
      <w:sz w:val="28"/>
    </w:rPr>
  </w:style>
  <w:style w:type="paragraph" w:customStyle="1" w:styleId="InChapter">
    <w:name w:val="InChapter"/>
    <w:basedOn w:val="Heading3"/>
    <w:rsid w:val="00054DAA"/>
    <w:pPr>
      <w:spacing w:after="240"/>
      <w:outlineLvl w:val="9"/>
    </w:pPr>
    <w:rPr>
      <w:noProof/>
    </w:rPr>
  </w:style>
  <w:style w:type="paragraph" w:styleId="Index2">
    <w:name w:val="index 2"/>
    <w:basedOn w:val="Normal"/>
    <w:next w:val="Normal"/>
    <w:semiHidden/>
    <w:rsid w:val="00054DAA"/>
    <w:pPr>
      <w:tabs>
        <w:tab w:val="right" w:pos="4176"/>
      </w:tabs>
      <w:ind w:left="568" w:hanging="284"/>
    </w:pPr>
    <w:rPr>
      <w:rFonts w:ascii="Garamond" w:hAnsi="Garamond"/>
    </w:rPr>
  </w:style>
  <w:style w:type="paragraph" w:customStyle="1" w:styleId="Byline">
    <w:name w:val="Byline"/>
    <w:rsid w:val="00054D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4DAA"/>
    <w:pPr>
      <w:tabs>
        <w:tab w:val="clear" w:pos="3600"/>
        <w:tab w:val="clear" w:pos="3958"/>
      </w:tabs>
      <w:jc w:val="right"/>
    </w:pPr>
  </w:style>
  <w:style w:type="character" w:styleId="Emphasis">
    <w:name w:val="Emphasis"/>
    <w:basedOn w:val="DefaultParagraphFont"/>
    <w:qFormat/>
    <w:rsid w:val="00054DAA"/>
    <w:rPr>
      <w:i/>
    </w:rPr>
  </w:style>
  <w:style w:type="paragraph" w:styleId="Caption">
    <w:name w:val="caption"/>
    <w:basedOn w:val="BodyText"/>
    <w:next w:val="Normal"/>
    <w:qFormat/>
    <w:rsid w:val="00054DAA"/>
    <w:pPr>
      <w:framePr w:w="2268" w:hSpace="181" w:vSpace="181" w:wrap="around" w:vAnchor="text" w:hAnchor="page" w:x="1135" w:y="285" w:anchorLock="1"/>
    </w:pPr>
    <w:rPr>
      <w:i/>
    </w:rPr>
  </w:style>
  <w:style w:type="paragraph" w:customStyle="1" w:styleId="MiniTOCTitle">
    <w:name w:val="MiniTOCTitle"/>
    <w:basedOn w:val="Heading4"/>
    <w:rsid w:val="00054DAA"/>
    <w:pPr>
      <w:spacing w:before="240"/>
      <w:outlineLvl w:val="9"/>
    </w:pPr>
    <w:rPr>
      <w:noProof/>
      <w:sz w:val="24"/>
    </w:rPr>
  </w:style>
  <w:style w:type="paragraph" w:customStyle="1" w:styleId="MiniTOCItem">
    <w:name w:val="MiniTOCItem"/>
    <w:basedOn w:val="ListBullet"/>
    <w:rsid w:val="00054DAA"/>
    <w:pPr>
      <w:numPr>
        <w:numId w:val="0"/>
      </w:numPr>
      <w:tabs>
        <w:tab w:val="right" w:leader="dot" w:pos="6521"/>
      </w:tabs>
      <w:spacing w:before="0" w:after="0"/>
    </w:pPr>
  </w:style>
  <w:style w:type="paragraph" w:customStyle="1" w:styleId="TOFTitle">
    <w:name w:val="TOFTitle"/>
    <w:basedOn w:val="TOCTitle"/>
    <w:rsid w:val="00054DAA"/>
  </w:style>
  <w:style w:type="paragraph" w:styleId="TableofFigures">
    <w:name w:val="table of figures"/>
    <w:basedOn w:val="Normal"/>
    <w:next w:val="Normal"/>
    <w:semiHidden/>
    <w:rsid w:val="00054DAA"/>
    <w:pPr>
      <w:tabs>
        <w:tab w:val="right" w:leader="dot" w:pos="9072"/>
      </w:tabs>
      <w:ind w:left="970" w:hanging="403"/>
    </w:pPr>
    <w:rPr>
      <w:rFonts w:ascii="Times New Roman" w:hAnsi="Times New Roman"/>
      <w:b/>
    </w:rPr>
  </w:style>
  <w:style w:type="paragraph" w:styleId="ListNumber">
    <w:name w:val="List Number"/>
    <w:basedOn w:val="List"/>
    <w:rsid w:val="00054DAA"/>
    <w:pPr>
      <w:numPr>
        <w:numId w:val="11"/>
      </w:numPr>
    </w:pPr>
  </w:style>
  <w:style w:type="character" w:customStyle="1" w:styleId="WingdingSymbols">
    <w:name w:val="Wingding Symbols"/>
    <w:rsid w:val="00054DAA"/>
    <w:rPr>
      <w:rFonts w:ascii="Wingdings" w:hAnsi="Wingdings"/>
    </w:rPr>
  </w:style>
  <w:style w:type="paragraph" w:customStyle="1" w:styleId="TableHeading">
    <w:name w:val="Table Heading"/>
    <w:basedOn w:val="HeadingBase"/>
    <w:rsid w:val="00054DAA"/>
    <w:pPr>
      <w:keepLines/>
      <w:pBdr>
        <w:bottom w:val="single" w:sz="6" w:space="1" w:color="918585"/>
      </w:pBdr>
      <w:spacing w:before="240"/>
    </w:pPr>
  </w:style>
  <w:style w:type="character" w:customStyle="1" w:styleId="HotSpot">
    <w:name w:val="HotSpot"/>
    <w:rsid w:val="00054DAA"/>
    <w:rPr>
      <w:color w:val="0033CC"/>
      <w:u w:val="none"/>
    </w:rPr>
  </w:style>
  <w:style w:type="paragraph" w:customStyle="1" w:styleId="BodyTextRight">
    <w:name w:val="Body Text Right"/>
    <w:basedOn w:val="BodyText"/>
    <w:rsid w:val="00054DAA"/>
    <w:pPr>
      <w:spacing w:before="0" w:after="0"/>
      <w:jc w:val="right"/>
    </w:pPr>
  </w:style>
  <w:style w:type="paragraph" w:styleId="Index3">
    <w:name w:val="index 3"/>
    <w:basedOn w:val="ListNumber2"/>
    <w:next w:val="Normal"/>
    <w:semiHidden/>
    <w:rsid w:val="00054DAA"/>
    <w:pPr>
      <w:numPr>
        <w:numId w:val="0"/>
      </w:numPr>
      <w:tabs>
        <w:tab w:val="right" w:leader="dot" w:pos="4176"/>
      </w:tabs>
    </w:pPr>
  </w:style>
  <w:style w:type="paragraph" w:styleId="ListNumber2">
    <w:name w:val="List Number 2"/>
    <w:basedOn w:val="List2"/>
    <w:rsid w:val="00054DAA"/>
    <w:pPr>
      <w:numPr>
        <w:numId w:val="10"/>
      </w:numPr>
      <w:tabs>
        <w:tab w:val="clear" w:pos="1060"/>
      </w:tabs>
    </w:pPr>
  </w:style>
  <w:style w:type="paragraph" w:customStyle="1" w:styleId="MarginNote">
    <w:name w:val="Margin Note"/>
    <w:basedOn w:val="BodyText"/>
    <w:rsid w:val="00054D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4D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4D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4DAA"/>
    <w:rPr>
      <w:sz w:val="32"/>
    </w:rPr>
  </w:style>
  <w:style w:type="paragraph" w:customStyle="1" w:styleId="HeadingProcedure">
    <w:name w:val="Heading Procedure"/>
    <w:basedOn w:val="HeadingBase"/>
    <w:next w:val="Normal"/>
    <w:rsid w:val="00054DAA"/>
    <w:pPr>
      <w:tabs>
        <w:tab w:val="left" w:pos="0"/>
      </w:tabs>
      <w:spacing w:before="120" w:after="60"/>
    </w:pPr>
    <w:rPr>
      <w:i/>
      <w:color w:val="918585"/>
      <w:sz w:val="22"/>
    </w:rPr>
  </w:style>
  <w:style w:type="paragraph" w:customStyle="1" w:styleId="TableBodyText">
    <w:name w:val="Table Body Text"/>
    <w:basedOn w:val="BodyText"/>
    <w:rsid w:val="00054DAA"/>
    <w:pPr>
      <w:spacing w:before="60" w:after="60"/>
    </w:pPr>
  </w:style>
  <w:style w:type="paragraph" w:styleId="ListContinue">
    <w:name w:val="List Continue"/>
    <w:basedOn w:val="List"/>
    <w:rsid w:val="00054DAA"/>
    <w:pPr>
      <w:ind w:firstLine="0"/>
    </w:pPr>
  </w:style>
  <w:style w:type="paragraph" w:customStyle="1" w:styleId="ListNote">
    <w:name w:val="List Note"/>
    <w:basedOn w:val="List"/>
    <w:rsid w:val="00054DAA"/>
    <w:pPr>
      <w:pBdr>
        <w:top w:val="single" w:sz="6" w:space="2" w:color="918585"/>
        <w:bottom w:val="single" w:sz="6" w:space="2" w:color="918585"/>
      </w:pBdr>
      <w:tabs>
        <w:tab w:val="left" w:pos="1021"/>
      </w:tabs>
      <w:ind w:firstLine="0"/>
    </w:pPr>
  </w:style>
  <w:style w:type="paragraph" w:customStyle="1" w:styleId="Warning">
    <w:name w:val="Warning"/>
    <w:basedOn w:val="BodyText"/>
    <w:rsid w:val="00054DAA"/>
    <w:pPr>
      <w:shd w:val="clear" w:color="auto" w:fill="D9D9D9"/>
      <w:tabs>
        <w:tab w:val="left" w:pos="992"/>
      </w:tabs>
      <w:ind w:left="119" w:right="119"/>
    </w:pPr>
    <w:rPr>
      <w:sz w:val="20"/>
    </w:rPr>
  </w:style>
  <w:style w:type="paragraph" w:customStyle="1" w:styleId="MarginIcons">
    <w:name w:val="Margin Icons"/>
    <w:basedOn w:val="BodyText"/>
    <w:rsid w:val="00054D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4DAA"/>
    <w:rPr>
      <w:rFonts w:ascii="Courier New" w:hAnsi="Courier New"/>
    </w:rPr>
  </w:style>
  <w:style w:type="paragraph" w:customStyle="1" w:styleId="NoteBullet">
    <w:name w:val="Note Bullet"/>
    <w:basedOn w:val="Note"/>
    <w:rsid w:val="00054DAA"/>
    <w:pPr>
      <w:tabs>
        <w:tab w:val="clear" w:pos="680"/>
      </w:tabs>
      <w:spacing w:before="60" w:after="60"/>
    </w:pPr>
  </w:style>
  <w:style w:type="paragraph" w:customStyle="1" w:styleId="SubHeading2">
    <w:name w:val="SubHeading2"/>
    <w:basedOn w:val="HeadingBase"/>
    <w:rsid w:val="00054DAA"/>
    <w:pPr>
      <w:spacing w:before="240" w:after="60"/>
    </w:pPr>
    <w:rPr>
      <w:sz w:val="20"/>
    </w:rPr>
  </w:style>
  <w:style w:type="paragraph" w:customStyle="1" w:styleId="SubHeading1">
    <w:name w:val="SubHeading1"/>
    <w:basedOn w:val="HeadingBase"/>
    <w:rsid w:val="00054DAA"/>
    <w:pPr>
      <w:spacing w:before="240" w:after="60"/>
    </w:pPr>
    <w:rPr>
      <w:color w:val="918585"/>
      <w:sz w:val="22"/>
    </w:rPr>
  </w:style>
  <w:style w:type="paragraph" w:customStyle="1" w:styleId="SideHeading">
    <w:name w:val="Side Heading"/>
    <w:basedOn w:val="HeadingBase"/>
    <w:rsid w:val="00054D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4DAA"/>
    <w:pPr>
      <w:numPr>
        <w:numId w:val="12"/>
      </w:numPr>
    </w:pPr>
  </w:style>
  <w:style w:type="paragraph" w:styleId="PlainText">
    <w:name w:val="Plain Text"/>
    <w:basedOn w:val="Normal"/>
    <w:link w:val="PlainTextChar"/>
    <w:rsid w:val="00054DAA"/>
    <w:rPr>
      <w:sz w:val="20"/>
    </w:rPr>
  </w:style>
  <w:style w:type="character" w:customStyle="1" w:styleId="PlainTextChar">
    <w:name w:val="Plain Text Char"/>
    <w:basedOn w:val="DefaultParagraphFont"/>
    <w:link w:val="PlainText"/>
    <w:rsid w:val="00054D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4DAA"/>
    <w:rPr>
      <w:b/>
      <w:smallCaps/>
    </w:rPr>
  </w:style>
  <w:style w:type="paragraph" w:customStyle="1" w:styleId="TableListNumber">
    <w:name w:val="Table List Number"/>
    <w:basedOn w:val="ListNumber"/>
    <w:rsid w:val="00054DAA"/>
    <w:pPr>
      <w:numPr>
        <w:numId w:val="0"/>
      </w:numPr>
    </w:pPr>
  </w:style>
  <w:style w:type="paragraph" w:styleId="TOC4">
    <w:name w:val="toc 4"/>
    <w:basedOn w:val="TOCBase"/>
    <w:next w:val="Normal"/>
    <w:semiHidden/>
    <w:rsid w:val="00054DAA"/>
    <w:pPr>
      <w:tabs>
        <w:tab w:val="right" w:leader="dot" w:pos="9071"/>
      </w:tabs>
      <w:ind w:left="1701"/>
    </w:pPr>
  </w:style>
  <w:style w:type="paragraph" w:customStyle="1" w:styleId="ListAlpha">
    <w:name w:val="List Alpha"/>
    <w:basedOn w:val="List"/>
    <w:rsid w:val="00054DAA"/>
    <w:pPr>
      <w:numPr>
        <w:numId w:val="9"/>
      </w:numPr>
    </w:pPr>
  </w:style>
  <w:style w:type="paragraph" w:customStyle="1" w:styleId="ListAlpha2">
    <w:name w:val="List Alpha 2"/>
    <w:basedOn w:val="List2"/>
    <w:rsid w:val="00054DAA"/>
    <w:pPr>
      <w:numPr>
        <w:numId w:val="8"/>
      </w:numPr>
    </w:pPr>
  </w:style>
  <w:style w:type="paragraph" w:styleId="List2">
    <w:name w:val="List 2"/>
    <w:basedOn w:val="BodyText"/>
    <w:rsid w:val="00054DAA"/>
    <w:pPr>
      <w:tabs>
        <w:tab w:val="left" w:pos="680"/>
      </w:tabs>
      <w:spacing w:before="60" w:after="60"/>
      <w:ind w:left="680" w:hanging="340"/>
    </w:pPr>
  </w:style>
  <w:style w:type="paragraph" w:styleId="List3">
    <w:name w:val="List 3"/>
    <w:basedOn w:val="BodyText"/>
    <w:rsid w:val="00054DAA"/>
    <w:pPr>
      <w:tabs>
        <w:tab w:val="left" w:pos="1021"/>
      </w:tabs>
      <w:spacing w:before="60" w:after="60"/>
      <w:ind w:left="1020" w:hanging="340"/>
    </w:pPr>
  </w:style>
  <w:style w:type="paragraph" w:styleId="List4">
    <w:name w:val="List 4"/>
    <w:basedOn w:val="BodyText"/>
    <w:rsid w:val="00054DAA"/>
    <w:pPr>
      <w:tabs>
        <w:tab w:val="left" w:pos="1361"/>
      </w:tabs>
      <w:spacing w:before="60" w:after="60"/>
      <w:ind w:left="1361" w:hanging="340"/>
    </w:pPr>
  </w:style>
  <w:style w:type="paragraph" w:styleId="List5">
    <w:name w:val="List 5"/>
    <w:basedOn w:val="BodyText"/>
    <w:rsid w:val="00054DAA"/>
    <w:pPr>
      <w:tabs>
        <w:tab w:val="left" w:pos="1701"/>
      </w:tabs>
      <w:spacing w:before="60" w:after="60"/>
      <w:ind w:left="1701" w:hanging="340"/>
    </w:pPr>
  </w:style>
  <w:style w:type="paragraph" w:styleId="ListBullet3">
    <w:name w:val="List Bullet 3"/>
    <w:basedOn w:val="List3"/>
    <w:rsid w:val="00054DAA"/>
    <w:pPr>
      <w:numPr>
        <w:numId w:val="15"/>
      </w:numPr>
      <w:tabs>
        <w:tab w:val="clear" w:pos="1021"/>
      </w:tabs>
      <w:ind w:left="1037" w:hanging="357"/>
    </w:pPr>
  </w:style>
  <w:style w:type="paragraph" w:styleId="ListBullet4">
    <w:name w:val="List Bullet 4"/>
    <w:basedOn w:val="List4"/>
    <w:rsid w:val="00054DAA"/>
    <w:pPr>
      <w:numPr>
        <w:numId w:val="3"/>
      </w:numPr>
    </w:pPr>
  </w:style>
  <w:style w:type="paragraph" w:styleId="ListBullet5">
    <w:name w:val="List Bullet 5"/>
    <w:basedOn w:val="List5"/>
    <w:rsid w:val="00054DAA"/>
    <w:pPr>
      <w:numPr>
        <w:numId w:val="4"/>
      </w:numPr>
    </w:pPr>
  </w:style>
  <w:style w:type="paragraph" w:styleId="ListContinue2">
    <w:name w:val="List Continue 2"/>
    <w:basedOn w:val="List2"/>
    <w:rsid w:val="00054DAA"/>
    <w:pPr>
      <w:ind w:firstLine="0"/>
    </w:pPr>
  </w:style>
  <w:style w:type="paragraph" w:styleId="ListContinue3">
    <w:name w:val="List Continue 3"/>
    <w:basedOn w:val="List3"/>
    <w:rsid w:val="00054DAA"/>
    <w:pPr>
      <w:ind w:left="1021" w:firstLine="0"/>
    </w:pPr>
  </w:style>
  <w:style w:type="paragraph" w:styleId="ListContinue4">
    <w:name w:val="List Continue 4"/>
    <w:basedOn w:val="List4"/>
    <w:rsid w:val="00054DAA"/>
    <w:pPr>
      <w:ind w:firstLine="0"/>
    </w:pPr>
  </w:style>
  <w:style w:type="paragraph" w:styleId="ListContinue5">
    <w:name w:val="List Continue 5"/>
    <w:basedOn w:val="List5"/>
    <w:rsid w:val="00054DAA"/>
    <w:pPr>
      <w:ind w:firstLine="0"/>
    </w:pPr>
  </w:style>
  <w:style w:type="paragraph" w:styleId="ListNumber3">
    <w:name w:val="List Number 3"/>
    <w:basedOn w:val="List3"/>
    <w:rsid w:val="00054DAA"/>
    <w:pPr>
      <w:numPr>
        <w:numId w:val="5"/>
      </w:numPr>
    </w:pPr>
  </w:style>
  <w:style w:type="paragraph" w:styleId="ListNumber4">
    <w:name w:val="List Number 4"/>
    <w:basedOn w:val="List4"/>
    <w:rsid w:val="00054DAA"/>
    <w:pPr>
      <w:numPr>
        <w:numId w:val="6"/>
      </w:numPr>
    </w:pPr>
  </w:style>
  <w:style w:type="paragraph" w:styleId="ListNumber5">
    <w:name w:val="List Number 5"/>
    <w:basedOn w:val="List5"/>
    <w:rsid w:val="00054DAA"/>
    <w:pPr>
      <w:numPr>
        <w:numId w:val="7"/>
      </w:numPr>
    </w:pPr>
  </w:style>
  <w:style w:type="paragraph" w:styleId="BlockText">
    <w:name w:val="Block Text"/>
    <w:basedOn w:val="Normal"/>
    <w:rsid w:val="00054DAA"/>
    <w:pPr>
      <w:spacing w:after="120"/>
      <w:ind w:left="1440" w:right="1440"/>
    </w:pPr>
  </w:style>
  <w:style w:type="character" w:customStyle="1" w:styleId="Subscript">
    <w:name w:val="Subscript"/>
    <w:basedOn w:val="DefaultParagraphFont"/>
    <w:rsid w:val="00054DAA"/>
    <w:rPr>
      <w:sz w:val="16"/>
      <w:vertAlign w:val="subscript"/>
    </w:rPr>
  </w:style>
  <w:style w:type="character" w:customStyle="1" w:styleId="Superscript">
    <w:name w:val="Superscript"/>
    <w:basedOn w:val="DefaultParagraphFont"/>
    <w:rsid w:val="00054DAA"/>
    <w:rPr>
      <w:sz w:val="16"/>
      <w:vertAlign w:val="superscript"/>
    </w:rPr>
  </w:style>
  <w:style w:type="character" w:customStyle="1" w:styleId="Symbols">
    <w:name w:val="Symbols"/>
    <w:basedOn w:val="DefaultParagraphFont"/>
    <w:rsid w:val="00054DAA"/>
    <w:rPr>
      <w:rFonts w:ascii="Symbol" w:hAnsi="Symbol"/>
    </w:rPr>
  </w:style>
  <w:style w:type="character" w:customStyle="1" w:styleId="MenuOptions">
    <w:name w:val="Menu Options"/>
    <w:basedOn w:val="DefaultParagraphFont"/>
    <w:rsid w:val="00054DAA"/>
    <w:rPr>
      <w:rFonts w:ascii="Arial Narrow" w:hAnsi="Arial Narrow"/>
      <w:smallCaps/>
    </w:rPr>
  </w:style>
  <w:style w:type="character" w:customStyle="1" w:styleId="Buttons">
    <w:name w:val="Buttons"/>
    <w:basedOn w:val="DefaultParagraphFont"/>
    <w:rsid w:val="00054DAA"/>
    <w:rPr>
      <w:b/>
    </w:rPr>
  </w:style>
  <w:style w:type="character" w:customStyle="1" w:styleId="Underlined">
    <w:name w:val="Underlined"/>
    <w:basedOn w:val="DefaultParagraphFont"/>
    <w:rsid w:val="00054DAA"/>
    <w:rPr>
      <w:u w:val="single"/>
    </w:rPr>
  </w:style>
  <w:style w:type="paragraph" w:customStyle="1" w:styleId="TableBodyTextRight">
    <w:name w:val="Table Body Text Right"/>
    <w:basedOn w:val="TableBodyText"/>
    <w:rsid w:val="00054DAA"/>
    <w:pPr>
      <w:widowControl w:val="0"/>
      <w:autoSpaceDE w:val="0"/>
      <w:autoSpaceDN w:val="0"/>
      <w:adjustRightInd w:val="0"/>
      <w:jc w:val="right"/>
    </w:pPr>
    <w:rPr>
      <w:rFonts w:cs="Arial"/>
      <w:szCs w:val="18"/>
    </w:rPr>
  </w:style>
  <w:style w:type="paragraph" w:customStyle="1" w:styleId="CopyrightText">
    <w:name w:val="Copyright Text"/>
    <w:basedOn w:val="BodyText"/>
    <w:rsid w:val="00054DAA"/>
    <w:rPr>
      <w:sz w:val="18"/>
    </w:rPr>
  </w:style>
  <w:style w:type="paragraph" w:customStyle="1" w:styleId="BodySmallRight">
    <w:name w:val="Body Small Right"/>
    <w:basedOn w:val="BodyTextRight"/>
    <w:rsid w:val="00054DAA"/>
    <w:rPr>
      <w:sz w:val="18"/>
      <w:szCs w:val="18"/>
    </w:rPr>
  </w:style>
  <w:style w:type="paragraph" w:customStyle="1" w:styleId="MarginEdition">
    <w:name w:val="Margin Edition"/>
    <w:basedOn w:val="MarginNote"/>
    <w:rsid w:val="00054DAA"/>
    <w:pPr>
      <w:spacing w:before="0" w:after="0"/>
    </w:pPr>
    <w:rPr>
      <w:rFonts w:ascii="Times New Roman" w:hAnsi="Times New Roman"/>
      <w:color w:val="999999"/>
    </w:rPr>
  </w:style>
  <w:style w:type="paragraph" w:customStyle="1" w:styleId="Spacer">
    <w:name w:val="Spacer"/>
    <w:basedOn w:val="Normal"/>
    <w:rsid w:val="00054DAA"/>
    <w:rPr>
      <w:sz w:val="2"/>
      <w:szCs w:val="2"/>
    </w:rPr>
  </w:style>
  <w:style w:type="character" w:customStyle="1" w:styleId="Small">
    <w:name w:val="Small"/>
    <w:basedOn w:val="DefaultParagraphFont"/>
    <w:rsid w:val="00054DAA"/>
    <w:rPr>
      <w:sz w:val="16"/>
    </w:rPr>
  </w:style>
  <w:style w:type="paragraph" w:customStyle="1" w:styleId="WideTable">
    <w:name w:val="Wide Table"/>
    <w:basedOn w:val="Normal"/>
    <w:rsid w:val="00054DAA"/>
    <w:pPr>
      <w:ind w:left="-1418"/>
    </w:pPr>
    <w:rPr>
      <w:sz w:val="2"/>
      <w:szCs w:val="2"/>
    </w:rPr>
  </w:style>
  <w:style w:type="character" w:styleId="PageNumber">
    <w:name w:val="page number"/>
    <w:basedOn w:val="DefaultParagraphFont"/>
    <w:rsid w:val="00054DAA"/>
  </w:style>
  <w:style w:type="paragraph" w:styleId="Quote">
    <w:name w:val="Quote"/>
    <w:basedOn w:val="Heading1"/>
    <w:link w:val="QuoteChar"/>
    <w:qFormat/>
    <w:rsid w:val="00054DAA"/>
    <w:rPr>
      <w:b w:val="0"/>
      <w:sz w:val="72"/>
      <w:szCs w:val="72"/>
      <w:lang w:val="en-NZ"/>
    </w:rPr>
  </w:style>
  <w:style w:type="character" w:customStyle="1" w:styleId="QuoteChar">
    <w:name w:val="Quote Char"/>
    <w:basedOn w:val="DefaultParagraphFont"/>
    <w:link w:val="Quote"/>
    <w:rsid w:val="00054D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4DAA"/>
    <w:pPr>
      <w:pageBreakBefore/>
    </w:pPr>
  </w:style>
  <w:style w:type="paragraph" w:customStyle="1" w:styleId="Border">
    <w:name w:val="Border"/>
    <w:basedOn w:val="Normal"/>
    <w:qFormat/>
    <w:rsid w:val="00054D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4DAA"/>
    <w:rPr>
      <w:b/>
      <w:bCs/>
      <w:i/>
      <w:iCs/>
      <w:color w:val="auto"/>
    </w:rPr>
  </w:style>
  <w:style w:type="paragraph" w:styleId="IntenseQuote">
    <w:name w:val="Intense Quote"/>
    <w:basedOn w:val="Normal"/>
    <w:next w:val="Normal"/>
    <w:link w:val="IntenseQuoteChar"/>
    <w:uiPriority w:val="30"/>
    <w:qFormat/>
    <w:rsid w:val="00054D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4D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4DAA"/>
    <w:rPr>
      <w:smallCaps/>
      <w:color w:val="auto"/>
      <w:u w:val="single"/>
    </w:rPr>
  </w:style>
  <w:style w:type="character" w:styleId="IntenseReference">
    <w:name w:val="Intense Reference"/>
    <w:basedOn w:val="DefaultParagraphFont"/>
    <w:uiPriority w:val="32"/>
    <w:qFormat/>
    <w:rsid w:val="00054DAA"/>
    <w:rPr>
      <w:b/>
      <w:bCs/>
      <w:smallCaps/>
      <w:color w:val="auto"/>
      <w:spacing w:val="5"/>
      <w:u w:val="single"/>
    </w:rPr>
  </w:style>
  <w:style w:type="paragraph" w:customStyle="1" w:styleId="2ColumnHeading">
    <w:name w:val="2Column Heading"/>
    <w:basedOn w:val="BodyText"/>
    <w:qFormat/>
    <w:rsid w:val="00054DAA"/>
    <w:pPr>
      <w:spacing w:after="60"/>
      <w:ind w:left="-2268"/>
    </w:pPr>
    <w:rPr>
      <w:b/>
    </w:rPr>
  </w:style>
  <w:style w:type="paragraph" w:customStyle="1" w:styleId="Heading1TOC">
    <w:name w:val="Heading1 TOC"/>
    <w:basedOn w:val="Normal"/>
    <w:qFormat/>
    <w:rsid w:val="00054DAA"/>
    <w:pPr>
      <w:spacing w:before="240" w:after="120"/>
    </w:pPr>
    <w:rPr>
      <w:rFonts w:ascii="Times New Roman" w:hAnsi="Times New Roman"/>
      <w:b/>
      <w:sz w:val="32"/>
    </w:rPr>
  </w:style>
  <w:style w:type="paragraph" w:customStyle="1" w:styleId="Heading2TOC">
    <w:name w:val="Heading2 TOC"/>
    <w:basedOn w:val="Normal"/>
    <w:qFormat/>
    <w:rsid w:val="00054DAA"/>
    <w:pPr>
      <w:spacing w:before="240" w:after="60"/>
    </w:pPr>
    <w:rPr>
      <w:rFonts w:ascii="Times New Roman" w:hAnsi="Times New Roman"/>
      <w:b/>
      <w:sz w:val="28"/>
    </w:rPr>
  </w:style>
  <w:style w:type="character" w:customStyle="1" w:styleId="Underline">
    <w:name w:val="Underline"/>
    <w:basedOn w:val="DefaultParagraphFont"/>
    <w:qFormat/>
    <w:rsid w:val="00054DAA"/>
    <w:rPr>
      <w:u w:val="single"/>
    </w:rPr>
  </w:style>
  <w:style w:type="character" w:customStyle="1" w:styleId="BoldandItalics">
    <w:name w:val="Bold and Italics"/>
    <w:qFormat/>
    <w:rsid w:val="00054DAA"/>
    <w:rPr>
      <w:b/>
      <w:i/>
      <w:u w:val="none"/>
    </w:rPr>
  </w:style>
  <w:style w:type="paragraph" w:styleId="BalloonText">
    <w:name w:val="Balloon Text"/>
    <w:basedOn w:val="Normal"/>
    <w:link w:val="BalloonTextChar"/>
    <w:rsid w:val="00054DAA"/>
    <w:rPr>
      <w:rFonts w:ascii="Tahoma" w:hAnsi="Tahoma" w:cs="Tahoma"/>
      <w:sz w:val="16"/>
      <w:szCs w:val="16"/>
    </w:rPr>
  </w:style>
  <w:style w:type="character" w:customStyle="1" w:styleId="BalloonTextChar">
    <w:name w:val="Balloon Text Char"/>
    <w:basedOn w:val="DefaultParagraphFont"/>
    <w:link w:val="BalloonText"/>
    <w:rsid w:val="00054D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4D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4D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1498</Words>
  <Characters>10146</Characters>
  <Application>Microsoft Office Word</Application>
  <DocSecurity>0</DocSecurity>
  <Lines>324</Lines>
  <Paragraphs>202</Paragraphs>
  <ScaleCrop>false</ScaleCrop>
  <Company>Author-it Software Corporation Ltd.</Company>
  <LinksUpToDate>false</LinksUpToDate>
  <CharactersWithSpaces>11562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TLID2022A Conduct weighbridge operations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2012-05-27T03:40:00Z</dcterms:created>
  <dcterms:modified xsi:type="dcterms:W3CDTF">2012-05-27T03:40:00Z</dcterms:modified>
</cp:coreProperties>
</file>