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E9C" w:rsidP="009D6E9C">
      <w:pPr>
        <w:pStyle w:val="Title"/>
      </w:pPr>
      <w:r>
        <w:fldChar w:fldCharType="begin"/>
      </w:r>
      <w:r>
        <w:instrText xml:space="preserve"> TITLE   \* MERGEFORMAT </w:instrText>
      </w:r>
      <w:r>
        <w:fldChar w:fldCharType="separate"/>
      </w:r>
      <w:r>
        <w:t>TLID2021A Use specialised bulk transfer equipment (dry)</w:t>
      </w:r>
      <w:r>
        <w:fldChar w:fldCharType="end"/>
      </w:r>
    </w:p>
    <w:p w:rsidR="009D6E9C" w:rsidP="009D6E9C">
      <w:pPr>
        <w:pStyle w:val="Version"/>
        <w:sectPr w:rsidSect="00181F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1FAF" w:rsidP="00181FAF">
      <w:pPr>
        <w:pStyle w:val="SuperHeading"/>
      </w:pPr>
      <w:r w:rsidRPr="00181FAF">
        <w:t>TLID2021A Use specialised bulk transfer equipment (dry)</w:t>
      </w:r>
    </w:p>
    <w:p w:rsidR="00000000" w:rsidRPr="00181FAF" w:rsidP="00181FAF">
      <w:pPr>
        <w:pStyle w:val="Heading1"/>
      </w:pPr>
      <w:bookmarkStart w:id="1" w:name="O_274054"/>
      <w:bookmarkEnd w:id="1"/>
      <w:r w:rsidRPr="00181FAF">
        <w:t>Modification History</w:t>
      </w:r>
    </w:p>
    <w:p w:rsidR="00000000" w:rsidRPr="00181FAF" w:rsidP="00181FAF">
      <w:pPr>
        <w:pStyle w:val="BodyText"/>
      </w:pPr>
      <w:r w:rsidRPr="00181FAF">
        <w:t>Not Applicable</w:t>
      </w:r>
    </w:p>
    <w:p w:rsidR="00000000" w:rsidRPr="00181FAF" w:rsidP="00181FAF">
      <w:pPr>
        <w:pStyle w:val="AllowPageBreak"/>
      </w:pPr>
    </w:p>
    <w:p w:rsidR="00000000" w:rsidRPr="00181FAF" w:rsidP="00181FAF">
      <w:pPr>
        <w:pStyle w:val="Heading1"/>
      </w:pPr>
      <w:bookmarkStart w:id="2" w:name="O_223290"/>
      <w:bookmarkEnd w:id="2"/>
      <w:r w:rsidRPr="00181FAF">
        <w:t>Unit Descriptor</w:t>
      </w:r>
    </w:p>
    <w:tbl>
      <w:tblPr>
        <w:tblW w:w="9640" w:type="dxa"/>
        <w:tblLayout w:type="fixed"/>
        <w:tblCellMar>
          <w:left w:w="62" w:type="dxa"/>
          <w:right w:w="62" w:type="dxa"/>
        </w:tblCellMar>
        <w:tblLook w:val="0000"/>
      </w:tblPr>
      <w:tblGrid>
        <w:gridCol w:w="2978"/>
        <w:gridCol w:w="6662"/>
      </w:tblGrid>
      <w:tr w:rsidTr="009D6E9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81FAF" w:rsidP="00181FAF">
            <w:pPr>
              <w:pStyle w:val="BodyText"/>
            </w:pPr>
            <w:r w:rsidRPr="00181FAF">
              <w:t>This unit involves the skills and knowledge required to use specialised bulk transf</w:t>
            </w:r>
            <w:r w:rsidRPr="00181FAF">
              <w:t>er equipment for dry materials, including planning the work, transferring the material according to regulatory and operational requirements, monitoring and operating controls, and completing all operations, as required. Licensing, legislative, regulatory o</w:t>
            </w:r>
            <w:r w:rsidRPr="00181FAF">
              <w:t>r certification requirements are applicable to this unit.</w:t>
            </w:r>
          </w:p>
        </w:tc>
      </w:tr>
    </w:tbl>
    <w:p w:rsidR="009D6E9C" w:rsidP="00181FAF">
      <w:pPr>
        <w:pStyle w:val="BodyText"/>
      </w:pPr>
    </w:p>
    <w:p w:rsidR="009D6E9C" w:rsidP="00181FAF">
      <w:pPr>
        <w:pStyle w:val="BodyText"/>
      </w:pPr>
    </w:p>
    <w:p w:rsidR="00000000" w:rsidRPr="00181FAF" w:rsidP="00181FAF">
      <w:pPr>
        <w:pStyle w:val="Heading1"/>
      </w:pPr>
      <w:bookmarkStart w:id="3" w:name="O_223292"/>
      <w:bookmarkEnd w:id="3"/>
      <w:r w:rsidRPr="00181FAF">
        <w:t>Application of the Unit</w:t>
      </w:r>
    </w:p>
    <w:tbl>
      <w:tblPr>
        <w:tblW w:w="9640" w:type="dxa"/>
        <w:tblLayout w:type="fixed"/>
        <w:tblCellMar>
          <w:left w:w="62" w:type="dxa"/>
          <w:right w:w="62" w:type="dxa"/>
        </w:tblCellMar>
        <w:tblLook w:val="0000"/>
      </w:tblPr>
      <w:tblGrid>
        <w:gridCol w:w="2978"/>
        <w:gridCol w:w="6662"/>
      </w:tblGrid>
      <w:tr w:rsidTr="009D6E9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81FAF" w:rsidP="00181FAF">
            <w:pPr>
              <w:pStyle w:val="BodyText"/>
            </w:pPr>
            <w:r w:rsidRPr="00181FAF">
              <w:t>Work must be carried out in compliance with the relevant state/territory regulations concerning the use of specialised equipment for the transfer of dry bulk product.</w:t>
            </w:r>
          </w:p>
          <w:p w:rsidR="00000000" w:rsidRPr="00181FAF" w:rsidP="00181FAF">
            <w:pPr>
              <w:pStyle w:val="BodyText"/>
            </w:pPr>
            <w:r w:rsidRPr="00181FAF">
              <w:t>Work is performed under general supervision. It involves the application of basic princip</w:t>
            </w:r>
            <w:r w:rsidRPr="00181FAF">
              <w:t>les, routine procedures and regulatory requirements to the use of specialised bulk transfer equipment to load and unload dry bulk products.</w:t>
            </w:r>
          </w:p>
        </w:tc>
      </w:tr>
    </w:tbl>
    <w:p w:rsidR="009D6E9C" w:rsidP="00181FAF">
      <w:pPr>
        <w:pStyle w:val="BodyText"/>
      </w:pPr>
    </w:p>
    <w:p w:rsidR="009D6E9C" w:rsidP="00181FAF">
      <w:pPr>
        <w:pStyle w:val="BodyText"/>
      </w:pPr>
    </w:p>
    <w:p w:rsidR="00000000" w:rsidRPr="00181FAF" w:rsidP="00181FAF">
      <w:pPr>
        <w:pStyle w:val="Heading1"/>
      </w:pPr>
      <w:bookmarkStart w:id="4" w:name="O_282314"/>
      <w:bookmarkEnd w:id="4"/>
      <w:r w:rsidRPr="00181FAF">
        <w:t>Licensing/Regulatory Information</w:t>
      </w:r>
    </w:p>
    <w:p w:rsidR="00000000" w:rsidRPr="00181FAF" w:rsidP="00181FAF">
      <w:pPr>
        <w:pStyle w:val="BodyText"/>
      </w:pPr>
      <w:r w:rsidRPr="00181FAF">
        <w:t>Refer to Unit Descriptor</w:t>
      </w:r>
    </w:p>
    <w:p w:rsidR="00000000" w:rsidRPr="00181FAF" w:rsidP="00181FAF">
      <w:pPr>
        <w:pStyle w:val="AllowPageBreak"/>
      </w:pPr>
    </w:p>
    <w:p w:rsidR="00000000" w:rsidRPr="00181FAF" w:rsidP="00181FAF">
      <w:pPr>
        <w:pStyle w:val="Heading1"/>
      </w:pPr>
      <w:bookmarkStart w:id="5" w:name="O_284764"/>
      <w:bookmarkEnd w:id="5"/>
      <w:r w:rsidRPr="00181FAF">
        <w:t>Pre-Requisites</w:t>
      </w:r>
    </w:p>
    <w:p w:rsidR="00000000" w:rsidRPr="00181FAF" w:rsidP="00181FAF">
      <w:pPr>
        <w:pStyle w:val="BodyText"/>
      </w:pPr>
      <w:r w:rsidRPr="00181FAF">
        <w:t>Not Applicable</w:t>
      </w:r>
    </w:p>
    <w:p w:rsidR="00000000" w:rsidRPr="00181FAF" w:rsidP="00181FAF">
      <w:pPr>
        <w:pStyle w:val="AllowPageBreak"/>
      </w:pPr>
    </w:p>
    <w:p w:rsidR="00000000" w:rsidRPr="00181FAF" w:rsidP="00181FAF">
      <w:pPr>
        <w:pStyle w:val="Heading1"/>
      </w:pPr>
      <w:bookmarkStart w:id="6" w:name="O_223291"/>
      <w:bookmarkEnd w:id="6"/>
      <w:r w:rsidRPr="00181FAF">
        <w:t>Employability Skills Information</w:t>
      </w:r>
    </w:p>
    <w:tbl>
      <w:tblPr>
        <w:tblW w:w="9640" w:type="dxa"/>
        <w:tblLayout w:type="fixed"/>
        <w:tblCellMar>
          <w:left w:w="62" w:type="dxa"/>
          <w:right w:w="62" w:type="dxa"/>
        </w:tblCellMar>
        <w:tblLook w:val="0000"/>
      </w:tblPr>
      <w:tblGrid>
        <w:gridCol w:w="2978"/>
        <w:gridCol w:w="6662"/>
      </w:tblGrid>
      <w:tr w:rsidTr="009D6E9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81FAF" w:rsidP="00181FAF">
            <w:pPr>
              <w:pStyle w:val="BodyText"/>
            </w:pPr>
            <w:r w:rsidRPr="00181FAF">
              <w:t>This unit contains employability skills.</w:t>
            </w:r>
          </w:p>
        </w:tc>
      </w:tr>
    </w:tbl>
    <w:p w:rsidR="009D6E9C" w:rsidP="00181FAF">
      <w:pPr>
        <w:pStyle w:val="BodyText"/>
      </w:pPr>
    </w:p>
    <w:p w:rsidR="009D6E9C" w:rsidP="00181FAF">
      <w:pPr>
        <w:pStyle w:val="BodyText"/>
      </w:pPr>
    </w:p>
    <w:p w:rsidR="00000000" w:rsidRPr="00181FAF" w:rsidP="00181FAF">
      <w:pPr>
        <w:pStyle w:val="Heading1"/>
      </w:pPr>
      <w:bookmarkStart w:id="7" w:name="O_292100"/>
      <w:bookmarkEnd w:id="7"/>
      <w:r w:rsidRPr="00181FAF">
        <w:t>Elements and Performance Criteria Pre-Content</w:t>
      </w:r>
    </w:p>
    <w:tbl>
      <w:tblPr>
        <w:tblW w:w="9640" w:type="dxa"/>
        <w:tblLayout w:type="fixed"/>
        <w:tblCellMar>
          <w:left w:w="62" w:type="dxa"/>
          <w:right w:w="62" w:type="dxa"/>
        </w:tblCellMar>
        <w:tblLook w:val="0000"/>
      </w:tblPr>
      <w:tblGrid>
        <w:gridCol w:w="2978"/>
        <w:gridCol w:w="6662"/>
      </w:tblGrid>
      <w:tr w:rsidTr="009D6E9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81FAF" w:rsidP="00181FAF">
            <w:pPr>
              <w:pStyle w:val="BodyText"/>
            </w:pPr>
            <w:r w:rsidRPr="00181FAF">
              <w:t>Performance criteria describe the required performance needed to demonstrate achievement of the element. Assessment of performance is to be consistent with the evidence guide.</w:t>
            </w:r>
          </w:p>
        </w:tc>
      </w:tr>
    </w:tbl>
    <w:p w:rsidR="00000000" w:rsidRPr="00181FAF" w:rsidP="00181FAF">
      <w:pPr>
        <w:pStyle w:val="BodyText"/>
      </w:pPr>
    </w:p>
    <w:p w:rsidR="00000000" w:rsidRPr="00181FAF" w:rsidP="00181FAF">
      <w:pPr>
        <w:pStyle w:val="AllowPageBreak"/>
      </w:pPr>
    </w:p>
    <w:p w:rsidR="00000000" w:rsidRPr="00181FAF" w:rsidP="00181FAF">
      <w:pPr>
        <w:pStyle w:val="Heading1"/>
      </w:pPr>
      <w:bookmarkStart w:id="8" w:name="O_238768"/>
      <w:bookmarkEnd w:id="8"/>
      <w:r w:rsidRPr="00181FAF">
        <w:t>Elements and Performance Criteria</w:t>
      </w:r>
    </w:p>
    <w:tbl>
      <w:tblPr>
        <w:tblW w:w="9640" w:type="dxa"/>
        <w:tblLayout w:type="fixed"/>
        <w:tblCellMar>
          <w:left w:w="62" w:type="dxa"/>
          <w:right w:w="62" w:type="dxa"/>
        </w:tblCellMar>
        <w:tblLook w:val="0000"/>
      </w:tblPr>
      <w:tblGrid>
        <w:gridCol w:w="2978"/>
        <w:gridCol w:w="6662"/>
      </w:tblGrid>
      <w:tr w:rsidTr="009D6E9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81FAF" w:rsidP="00181FAF">
            <w:pPr>
              <w:pStyle w:val="List"/>
            </w:pPr>
            <w:r w:rsidRPr="00181FA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81FAF">
            <w:pPr>
              <w:pStyle w:val="List"/>
              <w:rPr>
                <w:lang w:val="en-NZ"/>
              </w:rPr>
            </w:pPr>
            <w:r w:rsidRPr="00181FAF">
              <w:rPr>
                <w:rStyle w:val="SpecialBold"/>
              </w:rPr>
              <w:t>PERFORMANCE CRITERIA</w:t>
            </w:r>
          </w:p>
        </w:tc>
      </w:tr>
      <w:tr w:rsidTr="009D6E9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FAF">
            <w:pPr>
              <w:pStyle w:val="List"/>
              <w:rPr>
                <w:lang w:val="en-NZ"/>
              </w:rPr>
            </w:pPr>
            <w:r w:rsidRPr="00181FAF">
              <w:rPr>
                <w:rStyle w:val="SpecialBold"/>
              </w:rPr>
              <w:t>1</w:t>
            </w:r>
            <w:r w:rsidRPr="00181FAF">
              <w:tab/>
            </w:r>
            <w:r w:rsidRPr="00181FAF">
              <w:rPr>
                <w:rStyle w:val="SpecialBold"/>
              </w:rPr>
              <w:t>Plan work</w:t>
            </w:r>
          </w:p>
        </w:tc>
        <w:tc>
          <w:tcPr>
            <w:tcW w:w="6662" w:type="dxa"/>
            <w:tcBorders>
              <w:top w:val="nil"/>
              <w:left w:val="nil"/>
              <w:bottom w:val="nil"/>
              <w:right w:val="nil"/>
            </w:tcBorders>
            <w:tcMar>
              <w:top w:w="0" w:type="dxa"/>
              <w:left w:w="62" w:type="dxa"/>
              <w:bottom w:w="0" w:type="dxa"/>
              <w:right w:w="62" w:type="dxa"/>
            </w:tcMar>
          </w:tcPr>
          <w:p w:rsidR="00000000" w:rsidRPr="00181FAF" w:rsidP="00181FAF">
            <w:pPr>
              <w:pStyle w:val="List"/>
            </w:pPr>
            <w:r w:rsidRPr="00181FAF">
              <w:t>1.1</w:t>
            </w:r>
            <w:r w:rsidRPr="00181FAF">
              <w:tab/>
              <w:t>Dangerous or hazardous (including regulated waste), or other materials requiring specialised handling are identified and relevant procedures are taken into accou</w:t>
            </w:r>
            <w:r w:rsidRPr="00181FAF">
              <w:t>nt when planning the work</w:t>
            </w:r>
          </w:p>
          <w:p w:rsidR="00000000" w:rsidRPr="00181FAF" w:rsidP="00181FAF">
            <w:pPr>
              <w:pStyle w:val="List"/>
            </w:pPr>
            <w:r w:rsidRPr="00181FAF">
              <w:t>1.2</w:t>
            </w:r>
            <w:r w:rsidRPr="00181FAF">
              <w:tab/>
              <w:t>Traffic flow and work area conditions are assessed and anticipated to ensure safe operation and no injury to people, or damage to equipment, loads, facilities or environment</w:t>
            </w:r>
          </w:p>
          <w:p w:rsidR="00000000" w:rsidRPr="00181FAF" w:rsidP="00181FAF">
            <w:pPr>
              <w:pStyle w:val="List"/>
            </w:pPr>
            <w:r w:rsidRPr="00181FAF">
              <w:t>1.3</w:t>
            </w:r>
            <w:r w:rsidRPr="00181FAF">
              <w:tab/>
              <w:t>Characteristics of the load are taken into accou</w:t>
            </w:r>
            <w:r w:rsidRPr="00181FAF">
              <w:t>nt when selecting method, equipment and, where applicable, appropriate attachments to transfer the load</w:t>
            </w:r>
          </w:p>
          <w:p w:rsidR="00000000" w:rsidRPr="00181FAF" w:rsidP="00181FAF">
            <w:pPr>
              <w:pStyle w:val="List"/>
            </w:pPr>
            <w:r w:rsidRPr="00181FAF">
              <w:t>1.4</w:t>
            </w:r>
            <w:r w:rsidRPr="00181FAF">
              <w:tab/>
              <w:t>Any potential occurrences in the work area that may affect the safety and efficiency of operations are reported to the appropriate personnel</w:t>
            </w:r>
          </w:p>
          <w:p w:rsidR="00000000" w:rsidRPr="00181FAF" w:rsidP="00181FAF">
            <w:pPr>
              <w:pStyle w:val="List"/>
            </w:pPr>
            <w:r w:rsidRPr="00181FAF">
              <w:t>1.5</w:t>
            </w:r>
            <w:r w:rsidRPr="00181FAF">
              <w:tab/>
              <w:t>Bul</w:t>
            </w:r>
            <w:r w:rsidRPr="00181FAF">
              <w:t>k transfer of dry materials is planned, taking into account the requirements of the load, transfer method, storage facility and transport mode, load weight and dimensions and the capacity of the equipment</w:t>
            </w:r>
          </w:p>
          <w:p w:rsidR="00000000" w:rsidRPr="00181FAF" w:rsidP="00181FAF">
            <w:pPr>
              <w:pStyle w:val="List"/>
            </w:pPr>
            <w:r w:rsidRPr="00181FAF">
              <w:t>1.6</w:t>
            </w:r>
            <w:r w:rsidRPr="00181FAF">
              <w:tab/>
              <w:t>Required personal safety equipment, signage, ba</w:t>
            </w:r>
            <w:r w:rsidRPr="00181FAF">
              <w:t>rriers and special precautions are identified in the plan and utilised</w:t>
            </w:r>
          </w:p>
          <w:p w:rsidR="00000000" w:rsidRPr="00181FAF" w:rsidP="00181FAF">
            <w:pPr>
              <w:pStyle w:val="List"/>
            </w:pPr>
            <w:r w:rsidRPr="00181FAF">
              <w:t>1.7</w:t>
            </w:r>
            <w:r w:rsidRPr="00181FAF">
              <w:tab/>
              <w:t>Procedures to deal with spills, leakages and ruptures are identified</w:t>
            </w:r>
          </w:p>
          <w:p w:rsidR="00000000" w:rsidP="00181FAF">
            <w:pPr>
              <w:pStyle w:val="List"/>
              <w:rPr>
                <w:lang w:val="en-NZ"/>
              </w:rPr>
            </w:pPr>
            <w:r w:rsidRPr="00181FAF">
              <w:t>1.8</w:t>
            </w:r>
            <w:r w:rsidRPr="00181FAF">
              <w:tab/>
              <w:t>Customer requests for variation to agreed operations are actioned within scope of authority or referred to a</w:t>
            </w:r>
            <w:r w:rsidRPr="00181FAF">
              <w:t>ppropriate personnel</w:t>
            </w:r>
          </w:p>
        </w:tc>
      </w:tr>
      <w:tr w:rsidTr="009D6E9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FAF">
            <w:pPr>
              <w:pStyle w:val="List"/>
              <w:rPr>
                <w:lang w:val="en-NZ"/>
              </w:rPr>
            </w:pPr>
            <w:r w:rsidRPr="00181FAF">
              <w:rPr>
                <w:rStyle w:val="SpecialBold"/>
              </w:rPr>
              <w:t>2</w:t>
            </w:r>
            <w:r w:rsidRPr="00181FAF">
              <w:tab/>
            </w:r>
            <w:r w:rsidRPr="00181FAF">
              <w:rPr>
                <w:rStyle w:val="SpecialBold"/>
              </w:rPr>
              <w:t>Transfer material</w:t>
            </w:r>
          </w:p>
        </w:tc>
        <w:tc>
          <w:tcPr>
            <w:tcW w:w="6662" w:type="dxa"/>
            <w:tcBorders>
              <w:top w:val="nil"/>
              <w:left w:val="nil"/>
              <w:bottom w:val="nil"/>
              <w:right w:val="nil"/>
            </w:tcBorders>
            <w:tcMar>
              <w:top w:w="0" w:type="dxa"/>
              <w:left w:w="62" w:type="dxa"/>
              <w:bottom w:w="0" w:type="dxa"/>
              <w:right w:w="62" w:type="dxa"/>
            </w:tcMar>
          </w:tcPr>
          <w:p w:rsidR="00000000" w:rsidRPr="00181FAF" w:rsidP="00181FAF">
            <w:pPr>
              <w:pStyle w:val="List"/>
            </w:pPr>
            <w:r w:rsidRPr="00181FAF">
              <w:t>2.1</w:t>
            </w:r>
            <w:r w:rsidRPr="00181FAF">
              <w:tab/>
              <w:t>Equipment is prepared and any appropriate attachment fitted</w:t>
            </w:r>
          </w:p>
          <w:p w:rsidR="00000000" w:rsidRPr="00181FAF" w:rsidP="00181FAF">
            <w:pPr>
              <w:pStyle w:val="List"/>
            </w:pPr>
            <w:r w:rsidRPr="00181FAF">
              <w:t>2.2</w:t>
            </w:r>
            <w:r w:rsidRPr="00181FAF">
              <w:tab/>
              <w:t>Equipment controls are checked for correct operational status before commencing transfer</w:t>
            </w:r>
          </w:p>
          <w:p w:rsidR="00000000" w:rsidRPr="00181FAF" w:rsidP="00181FAF">
            <w:pPr>
              <w:pStyle w:val="List"/>
            </w:pPr>
            <w:r w:rsidRPr="00181FAF">
              <w:t>2.3</w:t>
            </w:r>
            <w:r w:rsidRPr="00181FAF">
              <w:tab/>
              <w:t>Adjustments are made to process to accommodate specia</w:t>
            </w:r>
            <w:r w:rsidRPr="00181FAF">
              <w:t>l requirements such as temperature control, combustion etc.</w:t>
            </w:r>
          </w:p>
          <w:p w:rsidR="00000000" w:rsidRPr="00181FAF" w:rsidP="00181FAF">
            <w:pPr>
              <w:pStyle w:val="List"/>
            </w:pPr>
            <w:r w:rsidRPr="00181FAF">
              <w:t>2.4</w:t>
            </w:r>
            <w:r w:rsidRPr="00181FAF">
              <w:tab/>
              <w:t>Instruments and gauges are monitored during operations to ensure that operation is consistent with workplace procedures, manufacturers specifications and enterprise schedule and safety require</w:t>
            </w:r>
            <w:r w:rsidRPr="00181FAF">
              <w:t>ments</w:t>
            </w:r>
          </w:p>
          <w:p w:rsidR="00000000" w:rsidRPr="00181FAF" w:rsidP="00181FAF">
            <w:pPr>
              <w:pStyle w:val="List"/>
            </w:pPr>
            <w:r w:rsidRPr="00181FAF">
              <w:t>2.5</w:t>
            </w:r>
            <w:r w:rsidRPr="00181FAF">
              <w:tab/>
              <w:t>Speed of operation is managed for safety and efficiency of materials movement and equipment operations</w:t>
            </w:r>
          </w:p>
          <w:p w:rsidR="00000000" w:rsidP="00181FAF">
            <w:pPr>
              <w:pStyle w:val="List"/>
              <w:rPr>
                <w:lang w:val="en-NZ"/>
              </w:rPr>
            </w:pPr>
            <w:r w:rsidRPr="00181FAF">
              <w:t>2.6</w:t>
            </w:r>
            <w:r w:rsidRPr="00181FAF">
              <w:tab/>
              <w:t>Any faults or damage to equipment are immediately reported to the appropriate personnel</w:t>
            </w:r>
          </w:p>
        </w:tc>
      </w:tr>
      <w:tr w:rsidTr="009D6E9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FAF">
            <w:pPr>
              <w:pStyle w:val="List"/>
              <w:rPr>
                <w:lang w:val="en-NZ"/>
              </w:rPr>
            </w:pPr>
            <w:r w:rsidRPr="00181FAF">
              <w:rPr>
                <w:rStyle w:val="SpecialBold"/>
              </w:rPr>
              <w:t>3</w:t>
            </w:r>
            <w:r w:rsidRPr="00181FAF">
              <w:tab/>
            </w:r>
            <w:r w:rsidRPr="00181FAF">
              <w:rPr>
                <w:rStyle w:val="SpecialBold"/>
              </w:rPr>
              <w:t>Monitor and operate controls</w:t>
            </w:r>
          </w:p>
        </w:tc>
        <w:tc>
          <w:tcPr>
            <w:tcW w:w="6662" w:type="dxa"/>
            <w:tcBorders>
              <w:top w:val="nil"/>
              <w:left w:val="nil"/>
              <w:bottom w:val="nil"/>
              <w:right w:val="nil"/>
            </w:tcBorders>
            <w:tcMar>
              <w:top w:w="0" w:type="dxa"/>
              <w:left w:w="62" w:type="dxa"/>
              <w:bottom w:w="0" w:type="dxa"/>
              <w:right w:w="62" w:type="dxa"/>
            </w:tcMar>
          </w:tcPr>
          <w:p w:rsidR="00000000" w:rsidRPr="00181FAF" w:rsidP="00181FAF">
            <w:pPr>
              <w:pStyle w:val="List"/>
            </w:pPr>
            <w:r w:rsidRPr="00181FAF">
              <w:t>3.1</w:t>
            </w:r>
            <w:r w:rsidRPr="00181FAF">
              <w:tab/>
            </w:r>
            <w:r w:rsidRPr="00181FAF">
              <w:t>Equipment controls are monitored and operated in accordance with manufacturers operating instructions</w:t>
            </w:r>
          </w:p>
          <w:p w:rsidR="00000000" w:rsidRPr="00181FAF" w:rsidP="00181FAF">
            <w:pPr>
              <w:pStyle w:val="List"/>
            </w:pPr>
            <w:r w:rsidRPr="00181FAF">
              <w:t>3.2</w:t>
            </w:r>
            <w:r w:rsidRPr="00181FAF">
              <w:tab/>
              <w:t>Control systems are monitored to ensure that operation is consistent with workplace procedures, manufacturers specifications, workplace schedule, safe</w:t>
            </w:r>
            <w:r w:rsidRPr="00181FAF">
              <w:t>ty requirements and statutory regulations</w:t>
            </w:r>
          </w:p>
          <w:p w:rsidR="00000000" w:rsidRPr="00181FAF" w:rsidP="00181FAF">
            <w:pPr>
              <w:pStyle w:val="List"/>
            </w:pPr>
            <w:r w:rsidRPr="00181FAF">
              <w:t>3.3</w:t>
            </w:r>
            <w:r w:rsidRPr="00181FAF">
              <w:tab/>
              <w:t>Materials are moved ensuring no injury to personnel or damage to equipment or goods</w:t>
            </w:r>
          </w:p>
          <w:p w:rsidR="00000000" w:rsidP="00181FAF">
            <w:pPr>
              <w:pStyle w:val="List"/>
              <w:rPr>
                <w:lang w:val="en-NZ"/>
              </w:rPr>
            </w:pPr>
            <w:r w:rsidRPr="00181FAF">
              <w:t>3.4</w:t>
            </w:r>
            <w:r w:rsidRPr="00181FAF">
              <w:tab/>
              <w:t>Faults are identified and reported in accordance with enterprise guidelines</w:t>
            </w:r>
          </w:p>
        </w:tc>
      </w:tr>
      <w:tr w:rsidTr="009D6E9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81FAF">
            <w:pPr>
              <w:pStyle w:val="List"/>
              <w:rPr>
                <w:lang w:val="en-NZ"/>
              </w:rPr>
            </w:pPr>
            <w:r w:rsidRPr="00181FAF">
              <w:rPr>
                <w:rStyle w:val="SpecialBold"/>
              </w:rPr>
              <w:t>4</w:t>
            </w:r>
            <w:r w:rsidRPr="00181FAF">
              <w:tab/>
            </w:r>
            <w:r w:rsidRPr="00181FAF">
              <w:rPr>
                <w:rStyle w:val="SpecialBold"/>
              </w:rPr>
              <w:t>Complete operations</w:t>
            </w:r>
          </w:p>
        </w:tc>
        <w:tc>
          <w:tcPr>
            <w:tcW w:w="6662" w:type="dxa"/>
            <w:tcBorders>
              <w:top w:val="nil"/>
              <w:left w:val="nil"/>
              <w:bottom w:val="nil"/>
              <w:right w:val="nil"/>
            </w:tcBorders>
            <w:tcMar>
              <w:top w:w="0" w:type="dxa"/>
              <w:left w:w="62" w:type="dxa"/>
              <w:bottom w:w="0" w:type="dxa"/>
              <w:right w:w="62" w:type="dxa"/>
            </w:tcMar>
          </w:tcPr>
          <w:p w:rsidR="00000000" w:rsidRPr="00181FAF" w:rsidP="00181FAF">
            <w:pPr>
              <w:pStyle w:val="List"/>
            </w:pPr>
            <w:r w:rsidRPr="00181FAF">
              <w:t>4.1</w:t>
            </w:r>
            <w:r w:rsidRPr="00181FAF">
              <w:tab/>
              <w:t>Equipment is shut d</w:t>
            </w:r>
            <w:r w:rsidRPr="00181FAF">
              <w:t>own within manufacturers guidelines without injury to personnel or damage to equipment, loads or facilities in accordance with enterprise procedures]</w:t>
            </w:r>
          </w:p>
          <w:p w:rsidR="00000000" w:rsidRPr="00181FAF" w:rsidP="00181FAF">
            <w:pPr>
              <w:pStyle w:val="List"/>
            </w:pPr>
            <w:r w:rsidRPr="00181FAF">
              <w:t>4.2</w:t>
            </w:r>
            <w:r w:rsidRPr="00181FAF">
              <w:tab/>
              <w:t>Clean up methods for transfer equipment are completed following workplace procedures</w:t>
            </w:r>
          </w:p>
          <w:p w:rsidR="00000000" w:rsidRPr="00181FAF" w:rsidP="00181FAF">
            <w:pPr>
              <w:pStyle w:val="List"/>
            </w:pPr>
            <w:r w:rsidRPr="00181FAF">
              <w:t>4.3</w:t>
            </w:r>
            <w:r w:rsidRPr="00181FAF">
              <w:tab/>
              <w:t xml:space="preserve">Equipment is </w:t>
            </w:r>
            <w:r w:rsidRPr="00181FAF">
              <w:t>secured in accordance with securing procedures for the appropriate equipment</w:t>
            </w:r>
          </w:p>
          <w:p w:rsidR="00000000" w:rsidRPr="00181FAF" w:rsidP="00181FAF">
            <w:pPr>
              <w:pStyle w:val="List"/>
            </w:pPr>
            <w:r w:rsidRPr="00181FAF">
              <w:t>4.4</w:t>
            </w:r>
            <w:r w:rsidRPr="00181FAF">
              <w:tab/>
              <w:t>Workplace documentation is completed and filed following workplace procedures</w:t>
            </w:r>
          </w:p>
        </w:tc>
      </w:tr>
    </w:tbl>
    <w:p w:rsidR="009D6E9C" w:rsidP="00181FAF">
      <w:pPr>
        <w:pStyle w:val="BodyText"/>
      </w:pPr>
    </w:p>
    <w:p w:rsidR="009D6E9C" w:rsidP="00181FAF">
      <w:pPr>
        <w:pStyle w:val="BodyText"/>
      </w:pPr>
    </w:p>
    <w:p w:rsidR="00000000" w:rsidRPr="00181FAF" w:rsidP="00181FAF">
      <w:pPr>
        <w:pStyle w:val="Heading1"/>
      </w:pPr>
      <w:bookmarkStart w:id="9" w:name="O_262559"/>
      <w:bookmarkEnd w:id="9"/>
      <w:r w:rsidRPr="00181FAF">
        <w:t>Required Skills and Knowledge</w:t>
      </w:r>
    </w:p>
    <w:tbl>
      <w:tblPr>
        <w:tblW w:w="9640" w:type="dxa"/>
        <w:tblLayout w:type="fixed"/>
        <w:tblCellMar>
          <w:left w:w="62" w:type="dxa"/>
          <w:right w:w="62" w:type="dxa"/>
        </w:tblCellMar>
        <w:tblLook w:val="0000"/>
      </w:tblPr>
      <w:tblGrid>
        <w:gridCol w:w="9640"/>
      </w:tblGrid>
      <w:tr w:rsidTr="009D6E9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rPr>
                <w:rStyle w:val="SpecialBold"/>
              </w:rPr>
              <w:t>REQUIRED KNOWLEDGE AND SKILLS</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This describes the essential knowledge and skills and their level required for this unit.</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rPr>
                <w:rStyle w:val="SpecialBold"/>
              </w:rPr>
              <w:t>Required knowledge</w:t>
            </w:r>
            <w:r w:rsidRPr="00181FAF">
              <w:t>:</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Australian Dangerous Goods Code and relevant state/territory mass and loading regulations as they apply to vehicles transporting dry bulk produ</w:t>
            </w:r>
            <w:r w:rsidRPr="00181FAF">
              <w:t>ct</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OH&amp;S procedures and guidelines concerning the use of specialised bulk transfer equipment</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Risks when transferring dry bulk product and related precautions to control the risk</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Workplace procedures and po</w:t>
            </w:r>
            <w:r w:rsidRPr="00181FAF">
              <w:t>licies for the efficient use of specialised equipment to transfer dry bulk loads</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Housekeeping standards procedures required in the workplace</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Methods of securing a vehicle following transfer of dry bulk product</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 xml:space="preserve">Relevant regulatory, permit and licence </w:t>
            </w:r>
            <w:r w:rsidRPr="00181FAF">
              <w:t>requirements including ADG Code</w:t>
            </w:r>
          </w:p>
        </w:tc>
      </w:tr>
    </w:tbl>
    <w:p w:rsidR="00000000" w:rsidRPr="00181FAF" w:rsidP="00181FAF">
      <w:pPr>
        <w:pStyle w:val="BodyText"/>
      </w:pPr>
    </w:p>
    <w:tbl>
      <w:tblPr>
        <w:tblW w:w="9640" w:type="dxa"/>
        <w:tblLayout w:type="fixed"/>
        <w:tblCellMar>
          <w:left w:w="62" w:type="dxa"/>
          <w:right w:w="62" w:type="dxa"/>
        </w:tblCellMar>
        <w:tblLook w:val="0000"/>
      </w:tblPr>
      <w:tblGrid>
        <w:gridCol w:w="9640"/>
      </w:tblGrid>
      <w:tr w:rsidTr="009D6E9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rPr>
                <w:rStyle w:val="SpecialBold"/>
              </w:rPr>
              <w:t>Required skills</w:t>
            </w:r>
            <w:r w:rsidRPr="00181FAF">
              <w:t>:</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Communicate effectively with others when using specialised equipment to transfer dry bulk product</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 xml:space="preserve">Read and interpret instructions, procedures, information and signs relevant to the </w:t>
            </w:r>
            <w:r w:rsidRPr="00181FAF">
              <w:t>transfer of dry bulk product using specialised equipment</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Identify goods coding, IMDG markings and, where applicable, emergency information panels</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Interpret and follow operational instructions and prioritise work</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 xml:space="preserve">Complete documentation related to the </w:t>
            </w:r>
            <w:r w:rsidRPr="00181FAF">
              <w:t>transfer of dry bulk product using specialised equipment</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Operate electronic communication equipment to required protocol</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Estimate the mass, volume and special requirements of dry bulk products</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Work collaboratively with others when using specialised equipment to transfer dry bulk product</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Adapt appropriately to cultural differences in the workplace, including modes of behaviour and interactions with others</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Promptly report and/or rectify any id</w:t>
            </w:r>
            <w:r w:rsidRPr="00181FAF">
              <w:t>entified problems, faults or malfunctions that may occur when using specialised equipment to transfer dry bulk product in accordance with regulatory requirements and workplace procedures</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Implement contingency plans for unexpected events when using specia</w:t>
            </w:r>
            <w:r w:rsidRPr="00181FAF">
              <w:t>lised equipment to transfer dry bulk product</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Apply precautions and required action to minimise, control or eliminate hazards that may exist during the transfer of dry bulk product using specialised equipment</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 xml:space="preserve">Monitor work activities in terms of planned </w:t>
            </w:r>
            <w:r w:rsidRPr="00181FAF">
              <w:t>schedule</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Modify activities depending on differing operational contingencies, risk situations and environments</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Work systematically with required attention to detail without injury to self or others, or damage to product or equipment</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Operate and adapt to differences in equipment in accordance with standard operating procedures</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Identify and correctly use equipment required to transfer dry bulk product</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Monitor performance of equipment</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Service equipment in terms of maintenance sched</w:t>
            </w:r>
            <w:r w:rsidRPr="00181FAF">
              <w:t>ule and standard operating procedures</w:t>
            </w:r>
          </w:p>
        </w:tc>
      </w:tr>
      <w:tr w:rsidTr="009D6E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Select and use required personal protective equipment conforming to industry and OH&amp;S standards</w:t>
            </w:r>
          </w:p>
        </w:tc>
      </w:tr>
    </w:tbl>
    <w:p w:rsidR="009D6E9C" w:rsidP="00181FAF">
      <w:pPr>
        <w:pStyle w:val="BodyText"/>
      </w:pPr>
    </w:p>
    <w:p w:rsidR="009D6E9C" w:rsidP="00181FAF">
      <w:pPr>
        <w:pStyle w:val="BodyText"/>
      </w:pPr>
    </w:p>
    <w:p w:rsidR="00000000" w:rsidRPr="00181FAF" w:rsidP="00181FAF">
      <w:pPr>
        <w:pStyle w:val="Heading1"/>
      </w:pPr>
      <w:bookmarkStart w:id="10" w:name="O_246752"/>
      <w:bookmarkEnd w:id="10"/>
      <w:r w:rsidRPr="00181FAF">
        <w:t>Evidence Guide</w:t>
      </w:r>
    </w:p>
    <w:tbl>
      <w:tblPr>
        <w:tblW w:w="9499" w:type="dxa"/>
        <w:tblLayout w:type="fixed"/>
        <w:tblCellMar>
          <w:left w:w="62" w:type="dxa"/>
          <w:right w:w="62" w:type="dxa"/>
        </w:tblCellMar>
        <w:tblLook w:val="0000"/>
      </w:tblPr>
      <w:tblGrid>
        <w:gridCol w:w="3524"/>
        <w:gridCol w:w="5975"/>
      </w:tblGrid>
      <w:tr w:rsidTr="009D6E9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rPr>
                <w:rStyle w:val="SpecialBold"/>
              </w:rPr>
              <w:t>EVIDENCE GUIDE</w:t>
            </w:r>
          </w:p>
        </w:tc>
      </w:tr>
      <w:tr w:rsidTr="009D6E9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The evidence guide provides advice on assessment and must be read in conjunction with the performance criteria, required knowledge and skills, the range statement and the assessment guidelines for this Training Package.</w:t>
            </w:r>
          </w:p>
        </w:tc>
      </w:tr>
      <w:tr w:rsidTr="009D6E9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rPr>
                <w:rStyle w:val="SpecialBold"/>
              </w:rPr>
              <w:t>Critical aspects for assessment an</w:t>
            </w:r>
            <w:r w:rsidRPr="00181FA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The evidence required to demonstrate competency in this unit must be relevant to and satisfy all of the requirements of the elements and performance criteria of this unit and include demonstration</w:t>
            </w:r>
            <w:r w:rsidRPr="00181FAF">
              <w:t xml:space="preserve"> of applying:</w:t>
            </w:r>
          </w:p>
          <w:p w:rsidR="00000000" w:rsidRPr="00181FAF" w:rsidP="00181FAF">
            <w:pPr>
              <w:pStyle w:val="ListBullet2"/>
            </w:pPr>
            <w:r w:rsidRPr="00181FAF">
              <w:t>the underpinning knowledge and skills</w:t>
            </w:r>
          </w:p>
          <w:p w:rsidR="00000000" w:rsidRPr="00181FAF" w:rsidP="00181FAF">
            <w:pPr>
              <w:pStyle w:val="ListBullet2"/>
            </w:pPr>
            <w:r w:rsidRPr="00181FAF">
              <w:t>relevant legislation and workplace procedures</w:t>
            </w:r>
          </w:p>
          <w:p w:rsidR="00000000" w:rsidP="00181FAF">
            <w:pPr>
              <w:pStyle w:val="ListBullet2"/>
              <w:rPr>
                <w:lang w:val="en-NZ"/>
              </w:rPr>
            </w:pPr>
            <w:r w:rsidRPr="00181FAF">
              <w:t>other relevant aspects of the range statement</w:t>
            </w:r>
          </w:p>
        </w:tc>
      </w:tr>
      <w:tr w:rsidTr="009D6E9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Performance is demonstrated consistently over a period of time and in a suitable range of contexts</w:t>
            </w:r>
          </w:p>
          <w:p w:rsidR="00000000" w:rsidRPr="00181FAF" w:rsidP="00181FAF">
            <w:pPr>
              <w:pStyle w:val="ListBullet"/>
            </w:pPr>
            <w:r w:rsidRPr="00181FAF">
              <w:t>Resources for assessment include:</w:t>
            </w:r>
          </w:p>
          <w:p w:rsidR="00000000" w:rsidRPr="00181FAF" w:rsidP="00181FAF">
            <w:pPr>
              <w:pStyle w:val="ListBullet2"/>
            </w:pPr>
            <w:r w:rsidRPr="00181FAF">
              <w:t>a range of relevant exercises, case studies and/or other simulated practical and knowledge assessment, and/or</w:t>
            </w:r>
          </w:p>
          <w:p w:rsidR="00000000" w:rsidRPr="00181FAF" w:rsidP="00181FAF">
            <w:pPr>
              <w:pStyle w:val="ListBullet2"/>
            </w:pPr>
            <w:r w:rsidRPr="00181FAF">
              <w:t>access to an appropriate range of relevant operational situations in the workplace</w:t>
            </w:r>
          </w:p>
          <w:p w:rsidR="00000000" w:rsidRPr="00181FAF" w:rsidP="00181FAF">
            <w:pPr>
              <w:pStyle w:val="ListBullet"/>
            </w:pPr>
            <w:r w:rsidRPr="00181FAF">
              <w:t>In both real and simulated environments, access is required to:</w:t>
            </w:r>
          </w:p>
          <w:p w:rsidR="00000000" w:rsidRPr="00181FAF" w:rsidP="00181FAF">
            <w:pPr>
              <w:pStyle w:val="ListBullet2"/>
            </w:pPr>
            <w:r w:rsidRPr="00181FAF">
              <w:t>relevant and appropriate materials and equipment, and</w:t>
            </w:r>
          </w:p>
          <w:p w:rsidR="00000000" w:rsidP="00181FAF">
            <w:pPr>
              <w:pStyle w:val="ListBullet2"/>
              <w:rPr>
                <w:lang w:val="en-NZ"/>
              </w:rPr>
            </w:pPr>
            <w:r w:rsidRPr="00181FAF">
              <w:t>applicable documentation including workplace procedur</w:t>
            </w:r>
            <w:r w:rsidRPr="00181FAF">
              <w:t>es, regulations, codes of practice and operation manuals</w:t>
            </w:r>
          </w:p>
        </w:tc>
      </w:tr>
      <w:tr w:rsidTr="009D6E9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Assessment of this unit must be undertaken by a registered training organisation</w:t>
            </w:r>
          </w:p>
          <w:p w:rsidR="00000000" w:rsidRPr="00181FAF" w:rsidP="00181FAF">
            <w:pPr>
              <w:pStyle w:val="ListBullet"/>
            </w:pPr>
            <w:r w:rsidRPr="00181FAF">
              <w:t>As a minimum, assessment of knowledge must be conducted through appropriate written/oral tests</w:t>
            </w:r>
          </w:p>
          <w:p w:rsidR="00000000" w:rsidRPr="00181FAF" w:rsidP="00181FAF">
            <w:pPr>
              <w:pStyle w:val="ListBullet"/>
            </w:pPr>
            <w:r w:rsidRPr="00181FAF">
              <w:t>Practical assessment must occur:</w:t>
            </w:r>
          </w:p>
          <w:p w:rsidR="00000000" w:rsidRPr="00181FAF" w:rsidP="00181FAF">
            <w:pPr>
              <w:pStyle w:val="ListBullet2"/>
            </w:pPr>
            <w:r w:rsidRPr="00181FAF">
              <w:t>through activities in an appropriately simulated environment at the registered training organisation, and/or</w:t>
            </w:r>
          </w:p>
          <w:p w:rsidR="00000000" w:rsidRPr="00181FAF" w:rsidP="00181FAF">
            <w:pPr>
              <w:pStyle w:val="ListBullet2"/>
            </w:pPr>
            <w:r w:rsidRPr="00181FAF">
              <w:t>in an appropriate range of situations in the workplace</w:t>
            </w:r>
          </w:p>
        </w:tc>
      </w:tr>
    </w:tbl>
    <w:p w:rsidR="009D6E9C" w:rsidP="00181FAF">
      <w:pPr>
        <w:pStyle w:val="BodyText"/>
      </w:pPr>
    </w:p>
    <w:p w:rsidR="009D6E9C" w:rsidP="00181FAF">
      <w:pPr>
        <w:pStyle w:val="BodyText"/>
      </w:pPr>
    </w:p>
    <w:p w:rsidR="00000000" w:rsidRPr="00181FAF" w:rsidP="00181FAF">
      <w:pPr>
        <w:pStyle w:val="Heading1"/>
      </w:pPr>
      <w:bookmarkStart w:id="11" w:name="O_254735"/>
      <w:bookmarkEnd w:id="11"/>
      <w:r w:rsidRPr="00181FAF">
        <w:t>Range Statement</w:t>
      </w:r>
    </w:p>
    <w:tbl>
      <w:tblPr>
        <w:tblW w:w="9640" w:type="dxa"/>
        <w:tblLayout w:type="fixed"/>
        <w:tblCellMar>
          <w:left w:w="62" w:type="dxa"/>
          <w:right w:w="62" w:type="dxa"/>
        </w:tblCellMar>
        <w:tblLook w:val="0000"/>
      </w:tblPr>
      <w:tblGrid>
        <w:gridCol w:w="3486"/>
        <w:gridCol w:w="6154"/>
      </w:tblGrid>
      <w:tr w:rsidTr="009D6E9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rPr>
                <w:rStyle w:val="SpecialBold"/>
              </w:rPr>
              <w:t>RANGE STATEMENT</w:t>
            </w:r>
            <w:r w:rsidRPr="00181FAF">
              <w:t xml:space="preserve"> </w:t>
            </w:r>
          </w:p>
        </w:tc>
      </w:tr>
      <w:tr w:rsidTr="009D6E9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The range statement relates to the unit of competency as a whole. It allows for different work environments and situations that may affect performance.</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in a range of work environments</w:t>
            </w:r>
          </w:p>
          <w:p w:rsidR="00000000" w:rsidP="00181FAF">
            <w:pPr>
              <w:pStyle w:val="ListBullet"/>
              <w:rPr>
                <w:lang w:val="en-NZ"/>
              </w:rPr>
            </w:pPr>
            <w:r w:rsidRPr="00181FAF">
              <w:t>by day or night</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Customers may be:</w:t>
            </w:r>
          </w:p>
        </w:tc>
        <w:tc>
          <w:tcPr>
            <w:tcW w:w="6154"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internal or external</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Workplaces may comprise:</w:t>
            </w:r>
          </w:p>
        </w:tc>
        <w:tc>
          <w:tcPr>
            <w:tcW w:w="6154"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large, medium or small worksites</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Work may be conducted in:</w:t>
            </w:r>
          </w:p>
        </w:tc>
        <w:tc>
          <w:tcPr>
            <w:tcW w:w="6154"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restricted spaces</w:t>
            </w:r>
          </w:p>
          <w:p w:rsidR="00000000" w:rsidRPr="00181FAF" w:rsidP="00181FAF">
            <w:pPr>
              <w:pStyle w:val="ListBullet"/>
            </w:pPr>
            <w:r w:rsidRPr="00181FAF">
              <w:t>exposed conditions</w:t>
            </w:r>
          </w:p>
          <w:p w:rsidR="00000000" w:rsidP="00181FAF">
            <w:pPr>
              <w:pStyle w:val="ListBullet"/>
              <w:rPr>
                <w:lang w:val="en-NZ"/>
              </w:rPr>
            </w:pPr>
            <w:r w:rsidRPr="00181FAF">
              <w:t>controlled or open environments</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Dry bulk product to be transferred may require:</w:t>
            </w:r>
          </w:p>
        </w:tc>
        <w:tc>
          <w:tcPr>
            <w:tcW w:w="6154"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special precautions</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hazardous or dangerous materials</w:t>
            </w:r>
          </w:p>
          <w:p w:rsidR="00000000" w:rsidRPr="00181FAF" w:rsidP="00181FAF">
            <w:pPr>
              <w:pStyle w:val="ListBullet"/>
            </w:pPr>
            <w:r w:rsidRPr="00181FAF">
              <w:t>contamination of, or from, materials being handled</w:t>
            </w:r>
          </w:p>
          <w:p w:rsidR="00000000" w:rsidRPr="00181FAF" w:rsidP="00181FAF">
            <w:pPr>
              <w:pStyle w:val="ListBullet"/>
            </w:pPr>
            <w:r w:rsidRPr="00181FAF">
              <w:t>noise, light, energy sources</w:t>
            </w:r>
          </w:p>
          <w:p w:rsidR="00000000" w:rsidRPr="00181FAF" w:rsidP="00181FAF">
            <w:pPr>
              <w:pStyle w:val="ListBullet"/>
            </w:pPr>
            <w:r w:rsidRPr="00181FAF">
              <w:t>stationary and moving machinery, parts or components</w:t>
            </w:r>
          </w:p>
          <w:p w:rsidR="00000000" w:rsidRPr="00181FAF" w:rsidP="00181FAF">
            <w:pPr>
              <w:pStyle w:val="ListBullet"/>
            </w:pPr>
            <w:r w:rsidRPr="00181FAF">
              <w:t>service lines</w:t>
            </w:r>
          </w:p>
          <w:p w:rsidR="00000000" w:rsidRPr="00181FAF" w:rsidP="00181FAF">
            <w:pPr>
              <w:pStyle w:val="ListBullet"/>
            </w:pPr>
            <w:r w:rsidRPr="00181FAF">
              <w:t>spills, leakages, ruptures</w:t>
            </w:r>
          </w:p>
          <w:p w:rsidR="00000000" w:rsidP="00181FAF">
            <w:pPr>
              <w:pStyle w:val="ListBullet"/>
              <w:rPr>
                <w:lang w:val="en-NZ"/>
              </w:rPr>
            </w:pPr>
            <w:r w:rsidRPr="00181FAF">
              <w:t>dust/vapours</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gloves</w:t>
            </w:r>
          </w:p>
          <w:p w:rsidR="00000000" w:rsidRPr="00181FAF" w:rsidP="00181FAF">
            <w:pPr>
              <w:pStyle w:val="ListBullet"/>
            </w:pPr>
            <w:r w:rsidRPr="00181FAF">
              <w:t>safety headwear and footwear</w:t>
            </w:r>
          </w:p>
          <w:p w:rsidR="00000000" w:rsidRPr="00181FAF" w:rsidP="00181FAF">
            <w:pPr>
              <w:pStyle w:val="ListBullet"/>
            </w:pPr>
            <w:r w:rsidRPr="00181FAF">
              <w:t>safety glasses</w:t>
            </w:r>
          </w:p>
          <w:p w:rsidR="00000000" w:rsidRPr="00181FAF" w:rsidP="00181FAF">
            <w:pPr>
              <w:pStyle w:val="ListBullet"/>
            </w:pPr>
            <w:r w:rsidRPr="00181FAF">
              <w:t>mask or respirator</w:t>
            </w:r>
          </w:p>
          <w:p w:rsidR="00000000" w:rsidP="00181FAF">
            <w:pPr>
              <w:pStyle w:val="ListBullet"/>
              <w:rPr>
                <w:lang w:val="en-NZ"/>
              </w:rPr>
            </w:pPr>
            <w:r w:rsidRPr="00181FAF">
              <w:t>high visibility clothing</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Hazard management is:</w:t>
            </w:r>
          </w:p>
        </w:tc>
        <w:tc>
          <w:tcPr>
            <w:tcW w:w="6154" w:type="dxa"/>
            <w:tcBorders>
              <w:top w:val="nil"/>
              <w:left w:val="nil"/>
              <w:bottom w:val="nil"/>
              <w:right w:val="nil"/>
            </w:tcBorders>
            <w:tcMar>
              <w:top w:w="0" w:type="dxa"/>
              <w:left w:w="62" w:type="dxa"/>
              <w:bottom w:w="0" w:type="dxa"/>
              <w:right w:w="62" w:type="dxa"/>
            </w:tcMar>
          </w:tcPr>
          <w:p w:rsidR="00000000" w:rsidP="00181FAF">
            <w:pPr>
              <w:pStyle w:val="ListBullet"/>
              <w:rPr>
                <w:lang w:val="en-NZ"/>
              </w:rPr>
            </w:pPr>
            <w:r w:rsidRPr="00181FAF">
              <w:t>consistent with the principle of hierarchy of contro</w:t>
            </w:r>
            <w:r w:rsidRPr="00181FAF">
              <w:t>l with elimination, substitution, isolation and engineering control measures being selected before safe working practices and personal protective equipment</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Exposure during work operations may be to:</w:t>
            </w:r>
          </w:p>
        </w:tc>
        <w:tc>
          <w:tcPr>
            <w:tcW w:w="6154"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corrosive chemicals</w:t>
            </w:r>
          </w:p>
          <w:p w:rsidR="00000000" w:rsidRPr="00181FAF" w:rsidP="00181FAF">
            <w:pPr>
              <w:pStyle w:val="ListBullet"/>
            </w:pPr>
            <w:r w:rsidRPr="00181FAF">
              <w:t>solvents and adhesives</w:t>
            </w:r>
          </w:p>
          <w:p w:rsidR="00000000" w:rsidRPr="00181FAF" w:rsidP="00181FAF">
            <w:pPr>
              <w:pStyle w:val="ListBullet"/>
            </w:pPr>
            <w:r w:rsidRPr="00181FAF">
              <w:t>toxic, explosive and other harmful substances</w:t>
            </w:r>
          </w:p>
          <w:p w:rsidR="00000000" w:rsidP="00181FAF">
            <w:pPr>
              <w:pStyle w:val="ListBullet"/>
              <w:rPr>
                <w:lang w:val="en-NZ"/>
              </w:rPr>
            </w:pPr>
            <w:r w:rsidRPr="00181FAF">
              <w:t>movement of equipment, goods, vehicles</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Regulatory controls and enterprise procedures may govern requirements for:</w:t>
            </w:r>
          </w:p>
        </w:tc>
        <w:tc>
          <w:tcPr>
            <w:tcW w:w="6154"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transport</w:t>
            </w:r>
          </w:p>
          <w:p w:rsidR="00000000" w:rsidRPr="00181FAF" w:rsidP="00181FAF">
            <w:pPr>
              <w:pStyle w:val="ListBullet"/>
            </w:pPr>
            <w:r w:rsidRPr="00181FAF">
              <w:t>storage</w:t>
            </w:r>
          </w:p>
          <w:p w:rsidR="00000000" w:rsidRPr="00181FAF" w:rsidP="00181FAF">
            <w:pPr>
              <w:pStyle w:val="ListBullet"/>
            </w:pPr>
            <w:r w:rsidRPr="00181FAF">
              <w:t>volume</w:t>
            </w:r>
          </w:p>
          <w:p w:rsidR="00000000" w:rsidRPr="00181FAF" w:rsidP="00181FAF">
            <w:pPr>
              <w:pStyle w:val="ListBullet"/>
            </w:pPr>
            <w:r w:rsidRPr="00181FAF">
              <w:t>mass</w:t>
            </w:r>
          </w:p>
          <w:p w:rsidR="00000000" w:rsidP="00181FAF">
            <w:pPr>
              <w:pStyle w:val="ListBullet"/>
              <w:rPr>
                <w:lang w:val="en-NZ"/>
              </w:rPr>
            </w:pPr>
            <w:r w:rsidRPr="00181FAF">
              <w:t>required controls</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Relevant transfer systems may include:</w:t>
            </w:r>
          </w:p>
        </w:tc>
        <w:tc>
          <w:tcPr>
            <w:tcW w:w="6154"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ducte</w:t>
            </w:r>
            <w:r w:rsidRPr="00181FAF">
              <w:t>d</w:t>
            </w:r>
          </w:p>
          <w:p w:rsidR="00000000" w:rsidRPr="00181FAF" w:rsidP="00181FAF">
            <w:pPr>
              <w:pStyle w:val="ListBullet"/>
            </w:pPr>
            <w:r w:rsidRPr="00181FAF">
              <w:t>conveyor</w:t>
            </w:r>
          </w:p>
          <w:p w:rsidR="00000000" w:rsidRPr="00181FAF" w:rsidP="00181FAF">
            <w:pPr>
              <w:pStyle w:val="ListBullet"/>
            </w:pPr>
            <w:r w:rsidRPr="00181FAF">
              <w:t>mobile plant</w:t>
            </w:r>
          </w:p>
          <w:p w:rsidR="00000000" w:rsidRPr="00181FAF" w:rsidP="00181FAF">
            <w:pPr>
              <w:pStyle w:val="ListBullet"/>
            </w:pPr>
            <w:r w:rsidRPr="00181FAF">
              <w:t>pipelines</w:t>
            </w:r>
          </w:p>
          <w:p w:rsidR="00000000" w:rsidRPr="00181FAF" w:rsidP="00181FAF">
            <w:pPr>
              <w:pStyle w:val="ListBullet"/>
            </w:pPr>
            <w:r w:rsidRPr="00181FAF">
              <w:t>elevators</w:t>
            </w:r>
          </w:p>
          <w:p w:rsidR="00000000" w:rsidP="00181FAF">
            <w:pPr>
              <w:pStyle w:val="ListBullet"/>
              <w:rPr>
                <w:lang w:val="en-NZ"/>
              </w:rPr>
            </w:pPr>
            <w:r w:rsidRPr="00181FAF">
              <w:t>augers</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site restrictions and procedures</w:t>
            </w:r>
          </w:p>
          <w:p w:rsidR="00000000" w:rsidRPr="00181FAF" w:rsidP="00181FAF">
            <w:pPr>
              <w:pStyle w:val="ListBullet"/>
            </w:pPr>
            <w:r w:rsidRPr="00181FAF">
              <w:t>use of safety and personal protective equipment</w:t>
            </w:r>
          </w:p>
          <w:p w:rsidR="00000000" w:rsidRPr="00181FAF" w:rsidP="00181FAF">
            <w:pPr>
              <w:pStyle w:val="ListBullet"/>
            </w:pPr>
            <w:r w:rsidRPr="00181FAF">
              <w:t>communications equipment</w:t>
            </w:r>
          </w:p>
          <w:p w:rsidR="00000000" w:rsidRPr="00181FAF" w:rsidP="00181FAF">
            <w:pPr>
              <w:pStyle w:val="ListBullet"/>
            </w:pPr>
            <w:r w:rsidRPr="00181FAF">
              <w:t>specialised lifting and/or handling equipment</w:t>
            </w:r>
          </w:p>
          <w:p w:rsidR="00000000" w:rsidRPr="00181FAF" w:rsidP="00181FAF">
            <w:pPr>
              <w:pStyle w:val="ListBullet"/>
            </w:pPr>
            <w:r w:rsidRPr="00181FAF">
              <w:t>incident breakdown procedures</w:t>
            </w:r>
          </w:p>
          <w:p w:rsidR="00000000" w:rsidRPr="00181FAF" w:rsidP="00181FAF">
            <w:pPr>
              <w:pStyle w:val="ListBullet"/>
            </w:pPr>
            <w:r w:rsidRPr="00181FAF">
              <w:t>additional gear and equipment</w:t>
            </w:r>
          </w:p>
          <w:p w:rsidR="00000000" w:rsidRPr="00181FAF" w:rsidP="00181FAF">
            <w:pPr>
              <w:pStyle w:val="ListBullet"/>
            </w:pPr>
            <w:r w:rsidRPr="00181FAF">
              <w:t>noise restrictions</w:t>
            </w:r>
          </w:p>
          <w:p w:rsidR="00000000" w:rsidRPr="00181FAF" w:rsidP="00181FAF">
            <w:pPr>
              <w:pStyle w:val="ListBullet"/>
            </w:pPr>
            <w:r w:rsidRPr="00181FAF">
              <w:t>hours of operation</w:t>
            </w:r>
          </w:p>
          <w:p w:rsidR="00000000" w:rsidP="00181FAF">
            <w:pPr>
              <w:pStyle w:val="ListBullet"/>
              <w:rPr>
                <w:lang w:val="en-NZ"/>
              </w:rPr>
            </w:pPr>
            <w:r w:rsidRPr="00181FAF">
              <w:t>authorities and permits</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other employees and supervisors</w:t>
            </w:r>
          </w:p>
          <w:p w:rsidR="00000000" w:rsidRPr="00181FAF" w:rsidP="00181FAF">
            <w:pPr>
              <w:pStyle w:val="ListBullet"/>
            </w:pPr>
            <w:r w:rsidRPr="00181FAF">
              <w:t>suppliers, potential customers and existing clients</w:t>
            </w:r>
          </w:p>
          <w:p w:rsidR="00000000" w:rsidRPr="00181FAF" w:rsidP="00181FAF">
            <w:pPr>
              <w:pStyle w:val="ListBullet"/>
            </w:pPr>
            <w:r w:rsidRPr="00181FAF">
              <w:t>management and union representatives</w:t>
            </w:r>
          </w:p>
          <w:p w:rsidR="00000000" w:rsidP="00181FAF">
            <w:pPr>
              <w:pStyle w:val="ListBullet"/>
              <w:rPr>
                <w:lang w:val="en-NZ"/>
              </w:rPr>
            </w:pPr>
            <w:r w:rsidRPr="00181FAF">
              <w:t>industrial relations, OH&amp;S specialists, and other maintenance, professional or technical staff</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phone</w:t>
            </w:r>
          </w:p>
          <w:p w:rsidR="00000000" w:rsidRPr="00181FAF" w:rsidP="00181FAF">
            <w:pPr>
              <w:pStyle w:val="ListBullet"/>
            </w:pPr>
            <w:r w:rsidRPr="00181FAF">
              <w:t>electronic data interchange</w:t>
            </w:r>
          </w:p>
          <w:p w:rsidR="00000000" w:rsidRPr="00181FAF" w:rsidP="00181FAF">
            <w:pPr>
              <w:pStyle w:val="ListBullet"/>
            </w:pPr>
            <w:r w:rsidRPr="00181FAF">
              <w:t>fax</w:t>
            </w:r>
          </w:p>
          <w:p w:rsidR="00000000" w:rsidRPr="00181FAF" w:rsidP="00181FAF">
            <w:pPr>
              <w:pStyle w:val="ListBullet"/>
            </w:pPr>
            <w:r w:rsidRPr="00181FAF">
              <w:t>email</w:t>
            </w:r>
          </w:p>
          <w:p w:rsidR="00000000" w:rsidRPr="00181FAF" w:rsidP="00181FAF">
            <w:pPr>
              <w:pStyle w:val="ListBullet"/>
            </w:pPr>
            <w:r w:rsidRPr="00181FAF">
              <w:t>internet</w:t>
            </w:r>
          </w:p>
          <w:p w:rsidR="00000000" w:rsidRPr="00181FAF" w:rsidP="00181FAF">
            <w:pPr>
              <w:pStyle w:val="ListBullet"/>
            </w:pPr>
            <w:r w:rsidRPr="00181FAF">
              <w:t>radio</w:t>
            </w:r>
          </w:p>
          <w:p w:rsidR="00000000" w:rsidP="00181FAF">
            <w:pPr>
              <w:pStyle w:val="ListBullet"/>
              <w:rPr>
                <w:lang w:val="en-NZ"/>
              </w:rPr>
            </w:pPr>
            <w:r w:rsidRPr="00181FAF">
              <w:t>oral, aural or sign</w:t>
            </w:r>
            <w:r w:rsidRPr="00181FAF">
              <w:t>ed communications</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company procedures</w:t>
            </w:r>
          </w:p>
          <w:p w:rsidR="00000000" w:rsidRPr="00181FAF" w:rsidP="00181FAF">
            <w:pPr>
              <w:pStyle w:val="ListBullet"/>
            </w:pPr>
            <w:r w:rsidRPr="00181FAF">
              <w:t>enterprise procedures</w:t>
            </w:r>
          </w:p>
          <w:p w:rsidR="00000000" w:rsidRPr="00181FAF" w:rsidP="00181FAF">
            <w:pPr>
              <w:pStyle w:val="ListBullet"/>
            </w:pPr>
            <w:r w:rsidRPr="00181FAF">
              <w:t>organisational procedures</w:t>
            </w:r>
          </w:p>
          <w:p w:rsidR="00000000" w:rsidRPr="00181FAF" w:rsidP="00181FAF">
            <w:pPr>
              <w:pStyle w:val="ListBullet"/>
            </w:pPr>
            <w:r w:rsidRPr="00181FAF">
              <w:t>established procedures</w:t>
            </w:r>
          </w:p>
          <w:p w:rsidR="00000000" w:rsidP="00181FAF">
            <w:pPr>
              <w:pStyle w:val="ListBullet"/>
              <w:rPr>
                <w:lang w:val="en-NZ"/>
              </w:rPr>
            </w:pPr>
            <w:r w:rsidRPr="00181FAF">
              <w:t>site procedures</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Infor</w:t>
            </w:r>
            <w:r w:rsidRPr="00181FAF">
              <w:t>mation/documents may include:</w:t>
            </w:r>
          </w:p>
        </w:tc>
        <w:tc>
          <w:tcPr>
            <w:tcW w:w="6154"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Safe Working Load (SWL) and Working Load Limit (WLL)</w:t>
            </w:r>
          </w:p>
          <w:p w:rsidR="00000000" w:rsidRPr="00181FAF" w:rsidP="00181FAF">
            <w:pPr>
              <w:pStyle w:val="ListBullet"/>
            </w:pPr>
            <w:r w:rsidRPr="00181FAF">
              <w:t>manifests, bar codes, goods and product identification</w:t>
            </w:r>
          </w:p>
          <w:p w:rsidR="00000000" w:rsidRPr="00181FAF" w:rsidP="00181FAF">
            <w:pPr>
              <w:pStyle w:val="ListBullet"/>
            </w:pPr>
            <w:r w:rsidRPr="00181FAF">
              <w:t>manufacturers specifications for equipment/tools</w:t>
            </w:r>
          </w:p>
          <w:p w:rsidR="00000000" w:rsidRPr="00181FAF" w:rsidP="00181FAF">
            <w:pPr>
              <w:pStyle w:val="ListBullet"/>
            </w:pPr>
            <w:r w:rsidRPr="00181FAF">
              <w:t>workplace procedures and policies for the transfer of dry bulk produ</w:t>
            </w:r>
            <w:r w:rsidRPr="00181FAF">
              <w:t>ct</w:t>
            </w:r>
          </w:p>
          <w:p w:rsidR="00000000" w:rsidRPr="00181FAF" w:rsidP="00181FAF">
            <w:pPr>
              <w:pStyle w:val="ListBullet"/>
            </w:pPr>
            <w:r w:rsidRPr="00181FAF">
              <w:t>supplier and/or client instructions</w:t>
            </w:r>
          </w:p>
          <w:p w:rsidR="00000000" w:rsidRPr="00181FAF" w:rsidP="00181FAF">
            <w:pPr>
              <w:pStyle w:val="ListBullet"/>
            </w:pPr>
            <w:r w:rsidRPr="00181FAF">
              <w:t>material safety data sheets</w:t>
            </w:r>
          </w:p>
          <w:p w:rsidR="00000000" w:rsidRPr="00181FAF" w:rsidP="00181FAF">
            <w:pPr>
              <w:pStyle w:val="ListBullet"/>
            </w:pPr>
            <w:r w:rsidRPr="00181FAF">
              <w:t>codes of practice including the National Standards for Manual Handling and the Industry Safety Code</w:t>
            </w:r>
          </w:p>
          <w:p w:rsidR="00000000" w:rsidRPr="00181FAF" w:rsidP="00181FAF">
            <w:pPr>
              <w:pStyle w:val="ListBullet"/>
            </w:pPr>
            <w:r w:rsidRPr="00181FAF">
              <w:t>award, enterprise bargaining agreement, other industrial arrangements</w:t>
            </w:r>
          </w:p>
          <w:p w:rsidR="00000000" w:rsidRPr="00181FAF" w:rsidP="00181FAF">
            <w:pPr>
              <w:pStyle w:val="ListBullet"/>
            </w:pPr>
            <w:r w:rsidRPr="00181FAF">
              <w:t>relevant standards and certification requirements</w:t>
            </w:r>
          </w:p>
          <w:p w:rsidR="00000000" w:rsidRPr="00181FAF" w:rsidP="00181FAF">
            <w:pPr>
              <w:pStyle w:val="ListBullet"/>
            </w:pPr>
            <w:r w:rsidRPr="00181FAF">
              <w:t>quality assurance procedures</w:t>
            </w:r>
          </w:p>
          <w:p w:rsidR="00000000" w:rsidP="00181FAF">
            <w:pPr>
              <w:pStyle w:val="ListBullet"/>
              <w:rPr>
                <w:lang w:val="en-NZ"/>
              </w:rPr>
            </w:pPr>
            <w:r w:rsidRPr="00181FAF">
              <w:t>emergency procedures</w:t>
            </w:r>
          </w:p>
        </w:tc>
      </w:tr>
      <w:tr w:rsidTr="009D6E9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81FAF" w:rsidP="00181FAF">
            <w:pPr>
              <w:pStyle w:val="ListBullet"/>
            </w:pPr>
            <w:r w:rsidRPr="00181FAF">
              <w:t>state/territory mass and loading regulations</w:t>
            </w:r>
          </w:p>
          <w:p w:rsidR="00000000" w:rsidRPr="00181FAF" w:rsidP="00181FAF">
            <w:pPr>
              <w:pStyle w:val="ListBullet"/>
            </w:pPr>
            <w:r w:rsidRPr="00181FAF">
              <w:t>Australian regulations relevant to the transfer of dry bu</w:t>
            </w:r>
            <w:r w:rsidRPr="00181FAF">
              <w:t>lk product</w:t>
            </w:r>
          </w:p>
          <w:p w:rsidR="00000000" w:rsidRPr="00181FAF" w:rsidP="00181FAF">
            <w:pPr>
              <w:pStyle w:val="ListBullet"/>
            </w:pPr>
            <w:r w:rsidRPr="00181FAF">
              <w:t>Australian and international regulations and codes of practice for the handling and transport of dangerous goods and hazardous substances, including:</w:t>
            </w:r>
          </w:p>
          <w:p w:rsidR="00000000" w:rsidRPr="00181FAF" w:rsidP="00181FAF">
            <w:pPr>
              <w:pStyle w:val="ListBullet2"/>
            </w:pPr>
            <w:r w:rsidRPr="00181FAF">
              <w:t>Australian and International Dangerous Goods Codes</w:t>
            </w:r>
          </w:p>
          <w:p w:rsidR="00000000" w:rsidRPr="00181FAF" w:rsidP="00181FAF">
            <w:pPr>
              <w:pStyle w:val="ListBullet2"/>
            </w:pPr>
            <w:r w:rsidRPr="00181FAF">
              <w:t>Australian Marine Orders and the International Maritime Dangerous Goods Code</w:t>
            </w:r>
          </w:p>
          <w:p w:rsidR="00000000" w:rsidRPr="00181FAF" w:rsidP="00181FAF">
            <w:pPr>
              <w:pStyle w:val="ListBullet2"/>
            </w:pPr>
            <w:r w:rsidRPr="00181FAF">
              <w:t>IATA Dangerous Goods by Air regulations</w:t>
            </w:r>
          </w:p>
          <w:p w:rsidR="00000000" w:rsidRPr="00181FAF" w:rsidP="00181FAF">
            <w:pPr>
              <w:pStyle w:val="ListBullet"/>
            </w:pPr>
            <w:r w:rsidRPr="00181FAF">
              <w:t>relevant state/territory environmental protection legislation</w:t>
            </w:r>
          </w:p>
          <w:p w:rsidR="00000000" w:rsidRPr="00181FAF" w:rsidP="00181FAF">
            <w:pPr>
              <w:pStyle w:val="ListBullet"/>
            </w:pPr>
            <w:r w:rsidRPr="00181FAF">
              <w:t>relevant state/territory OH&amp;S legislation</w:t>
            </w:r>
          </w:p>
        </w:tc>
      </w:tr>
    </w:tbl>
    <w:p w:rsidR="009D6E9C" w:rsidP="00181FAF">
      <w:pPr>
        <w:pStyle w:val="BodyText"/>
      </w:pPr>
    </w:p>
    <w:p w:rsidR="009D6E9C" w:rsidP="00181FAF">
      <w:pPr>
        <w:pStyle w:val="BodyText"/>
      </w:pPr>
    </w:p>
    <w:p w:rsidR="00000000" w:rsidRPr="00181FAF" w:rsidP="00181FAF">
      <w:pPr>
        <w:pStyle w:val="Heading1"/>
      </w:pPr>
      <w:bookmarkStart w:id="12" w:name="O_295748"/>
      <w:bookmarkEnd w:id="12"/>
      <w:r w:rsidRPr="00181FAF">
        <w:t>Unit Sector(s)</w:t>
      </w:r>
    </w:p>
    <w:p w:rsidR="00000000" w:rsidRPr="00181FAF" w:rsidP="00181FAF">
      <w:pPr>
        <w:pStyle w:val="BodyText"/>
      </w:pPr>
      <w:r w:rsidRPr="00181FAF">
        <w:t>Not Applicable</w:t>
      </w:r>
    </w:p>
    <w:p w:rsidR="00000000" w:rsidRPr="00181FAF" w:rsidP="00181FAF">
      <w:pPr>
        <w:pStyle w:val="AllowPageBreak"/>
      </w:pPr>
    </w:p>
    <w:p w:rsidR="00000000" w:rsidRPr="00181FAF" w:rsidP="00181FAF">
      <w:pPr>
        <w:pStyle w:val="Heading1"/>
      </w:pPr>
      <w:bookmarkStart w:id="13" w:name="O_223293"/>
      <w:bookmarkEnd w:id="13"/>
      <w:r w:rsidRPr="00181FAF">
        <w:t>Competency Field</w:t>
      </w:r>
    </w:p>
    <w:tbl>
      <w:tblPr>
        <w:tblW w:w="9640" w:type="dxa"/>
        <w:tblLayout w:type="fixed"/>
        <w:tblCellMar>
          <w:left w:w="62" w:type="dxa"/>
          <w:right w:w="62" w:type="dxa"/>
        </w:tblCellMar>
        <w:tblLook w:val="0000"/>
      </w:tblPr>
      <w:tblGrid>
        <w:gridCol w:w="2978"/>
        <w:gridCol w:w="6662"/>
      </w:tblGrid>
      <w:tr w:rsidTr="009D6E9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81FAF">
            <w:pPr>
              <w:pStyle w:val="BodyText"/>
              <w:rPr>
                <w:lang w:val="en-NZ"/>
              </w:rPr>
            </w:pPr>
            <w:r w:rsidRPr="00181FAF">
              <w:rPr>
                <w:rStyle w:val="SpecialBold"/>
              </w:rPr>
              <w:t>Competency Field</w:t>
            </w:r>
            <w:r w:rsidRPr="00181FAF">
              <w:t xml:space="preserve"> </w:t>
            </w:r>
          </w:p>
        </w:tc>
        <w:tc>
          <w:tcPr>
            <w:tcW w:w="6662" w:type="dxa"/>
            <w:tcBorders>
              <w:top w:val="nil"/>
              <w:left w:val="nil"/>
              <w:bottom w:val="nil"/>
              <w:right w:val="nil"/>
            </w:tcBorders>
            <w:tcMar>
              <w:top w:w="0" w:type="dxa"/>
              <w:left w:w="62" w:type="dxa"/>
              <w:bottom w:w="0" w:type="dxa"/>
              <w:right w:w="62" w:type="dxa"/>
            </w:tcMar>
          </w:tcPr>
          <w:p w:rsidR="00000000" w:rsidRPr="00181FAF" w:rsidP="00181FAF">
            <w:pPr>
              <w:pStyle w:val="BodyText"/>
            </w:pPr>
            <w:r w:rsidRPr="00181FAF">
              <w:t>D - Load Handling</w:t>
            </w:r>
          </w:p>
        </w:tc>
      </w:tr>
    </w:tbl>
    <w:p w:rsidR="009D6E9C" w:rsidP="00181FAF">
      <w:pPr>
        <w:pStyle w:val="BodyText"/>
      </w:pPr>
    </w:p>
    <w:p w:rsidR="009D6E9C" w:rsidP="00181FAF">
      <w:pPr>
        <w:pStyle w:val="BodyText"/>
      </w:pPr>
    </w:p>
    <w:p w:rsidR="00000000" w:rsidRPr="00181FAF" w:rsidP="00181FAF"/>
    <w:sectPr w:rsidSect="00181F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E9C" w:rsidP="009D6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E9C" w:rsidP="00181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D6E9C" w:rsidP="00181F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D6E9C" w:rsidP="00181F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E9C" w:rsidP="009D6E9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E9C" w:rsidP="00181FAF">
    <w:pPr>
      <w:pStyle w:val="Header"/>
      <w:framePr w:wrap="around"/>
    </w:pPr>
    <w:r>
      <w:fldChar w:fldCharType="begin"/>
    </w:r>
    <w:r>
      <w:instrText xml:space="preserve"> TITLE   \* MERGEFORMAT </w:instrText>
    </w:r>
    <w:r>
      <w:fldChar w:fldCharType="separate"/>
    </w:r>
    <w:r>
      <w:t>TLID2021A Use specialised bulk transfer equipment (dry)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6E9C" w:rsidP="00181F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A25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9AB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EA4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F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1FAF"/>
    <w:pPr>
      <w:spacing w:before="360" w:after="60"/>
      <w:outlineLvl w:val="0"/>
    </w:pPr>
    <w:rPr>
      <w:sz w:val="32"/>
    </w:rPr>
  </w:style>
  <w:style w:type="paragraph" w:styleId="Heading2">
    <w:name w:val="heading 2"/>
    <w:basedOn w:val="HeadingBase"/>
    <w:next w:val="BodyText"/>
    <w:link w:val="Heading2Char"/>
    <w:qFormat/>
    <w:rsid w:val="00181FAF"/>
    <w:pPr>
      <w:keepLines/>
      <w:spacing w:before="240" w:after="120"/>
      <w:outlineLvl w:val="1"/>
    </w:pPr>
    <w:rPr>
      <w:sz w:val="28"/>
      <w:szCs w:val="40"/>
    </w:rPr>
  </w:style>
  <w:style w:type="paragraph" w:styleId="Heading3">
    <w:name w:val="heading 3"/>
    <w:basedOn w:val="HeadingBase"/>
    <w:next w:val="BodyText"/>
    <w:link w:val="Heading3Char"/>
    <w:qFormat/>
    <w:rsid w:val="00181FAF"/>
    <w:pPr>
      <w:spacing w:before="180" w:after="120"/>
      <w:outlineLvl w:val="2"/>
    </w:pPr>
    <w:rPr>
      <w:spacing w:val="-10"/>
      <w:kern w:val="32"/>
    </w:rPr>
  </w:style>
  <w:style w:type="paragraph" w:styleId="Heading4">
    <w:name w:val="heading 4"/>
    <w:basedOn w:val="HeadingBase"/>
    <w:next w:val="BodyText"/>
    <w:link w:val="Heading4Char"/>
    <w:qFormat/>
    <w:rsid w:val="00181FAF"/>
    <w:pPr>
      <w:spacing w:before="160" w:after="120"/>
      <w:outlineLvl w:val="3"/>
    </w:pPr>
    <w:rPr>
      <w:sz w:val="22"/>
    </w:rPr>
  </w:style>
  <w:style w:type="paragraph" w:styleId="Heading5">
    <w:name w:val="heading 5"/>
    <w:basedOn w:val="HeadingBase"/>
    <w:next w:val="Normal"/>
    <w:link w:val="Heading5Char"/>
    <w:qFormat/>
    <w:rsid w:val="00181FAF"/>
    <w:pPr>
      <w:spacing w:before="80"/>
      <w:outlineLvl w:val="4"/>
    </w:pPr>
    <w:rPr>
      <w:color w:val="918585"/>
      <w:sz w:val="20"/>
    </w:rPr>
  </w:style>
  <w:style w:type="paragraph" w:styleId="Heading6">
    <w:name w:val="heading 6"/>
    <w:basedOn w:val="HeadingBase"/>
    <w:next w:val="Normal"/>
    <w:link w:val="Heading6Char"/>
    <w:qFormat/>
    <w:rsid w:val="00181FAF"/>
    <w:pPr>
      <w:spacing w:before="60"/>
      <w:outlineLvl w:val="5"/>
    </w:pPr>
    <w:rPr>
      <w:color w:val="918585"/>
      <w:sz w:val="20"/>
    </w:rPr>
  </w:style>
  <w:style w:type="paragraph" w:styleId="Heading7">
    <w:name w:val="heading 7"/>
    <w:basedOn w:val="Normal"/>
    <w:next w:val="Normal"/>
    <w:link w:val="Heading7Char"/>
    <w:qFormat/>
    <w:rsid w:val="00181FAF"/>
    <w:pPr>
      <w:ind w:left="720"/>
      <w:outlineLvl w:val="6"/>
    </w:pPr>
    <w:rPr>
      <w:i/>
    </w:rPr>
  </w:style>
  <w:style w:type="paragraph" w:styleId="Heading8">
    <w:name w:val="heading 8"/>
    <w:basedOn w:val="Normal"/>
    <w:next w:val="Normal"/>
    <w:link w:val="Heading8Char"/>
    <w:qFormat/>
    <w:rsid w:val="00181FAF"/>
    <w:pPr>
      <w:ind w:left="720"/>
      <w:outlineLvl w:val="7"/>
    </w:pPr>
    <w:rPr>
      <w:i/>
    </w:rPr>
  </w:style>
  <w:style w:type="paragraph" w:styleId="Heading9">
    <w:name w:val="heading 9"/>
    <w:basedOn w:val="Normal"/>
    <w:next w:val="Normal"/>
    <w:link w:val="Heading9Char"/>
    <w:qFormat/>
    <w:rsid w:val="00181FAF"/>
    <w:pPr>
      <w:ind w:left="720"/>
      <w:outlineLvl w:val="8"/>
    </w:pPr>
    <w:rPr>
      <w:i/>
    </w:rPr>
  </w:style>
  <w:style w:type="character" w:default="1" w:styleId="DefaultParagraphFont">
    <w:name w:val="Default Paragraph Font"/>
    <w:uiPriority w:val="1"/>
    <w:unhideWhenUsed/>
    <w:rsid w:val="00181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FAF"/>
  </w:style>
  <w:style w:type="character" w:customStyle="1" w:styleId="Heading1Char">
    <w:name w:val="Heading 1 Char"/>
    <w:link w:val="Heading1"/>
    <w:rsid w:val="00181FAF"/>
    <w:rPr>
      <w:rFonts w:ascii="Times New Roman" w:eastAsia="Times New Roman" w:hAnsi="Times New Roman" w:cs="Times New Roman"/>
      <w:b/>
      <w:sz w:val="32"/>
      <w:szCs w:val="20"/>
      <w:lang w:eastAsia="en-US"/>
    </w:rPr>
  </w:style>
  <w:style w:type="paragraph" w:styleId="BodyText">
    <w:name w:val="Body Text"/>
    <w:basedOn w:val="Normal"/>
    <w:link w:val="BodyTextChar"/>
    <w:rsid w:val="00181FAF"/>
    <w:pPr>
      <w:spacing w:before="120" w:after="120"/>
      <w:contextualSpacing/>
    </w:pPr>
    <w:rPr>
      <w:rFonts w:ascii="Times New Roman" w:hAnsi="Times New Roman"/>
      <w:sz w:val="24"/>
      <w:szCs w:val="22"/>
    </w:rPr>
  </w:style>
  <w:style w:type="character" w:customStyle="1" w:styleId="BodyTextChar">
    <w:name w:val="Body Text Char"/>
    <w:link w:val="BodyText"/>
    <w:rsid w:val="00181FAF"/>
    <w:rPr>
      <w:rFonts w:ascii="Times New Roman" w:eastAsia="Times New Roman" w:hAnsi="Times New Roman" w:cs="Times New Roman"/>
      <w:sz w:val="24"/>
      <w:lang w:val="en-US" w:eastAsia="en-US"/>
    </w:rPr>
  </w:style>
  <w:style w:type="paragraph" w:styleId="Footer">
    <w:name w:val="footer"/>
    <w:basedOn w:val="Normal"/>
    <w:link w:val="FooterChar"/>
    <w:rsid w:val="00181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81FAF"/>
    <w:rPr>
      <w:rFonts w:ascii="Times New Roman" w:eastAsia="Times New Roman" w:hAnsi="Times New Roman" w:cs="Times New Roman"/>
      <w:sz w:val="16"/>
      <w:lang w:val="en-US" w:eastAsia="en-US"/>
    </w:rPr>
  </w:style>
  <w:style w:type="paragraph" w:styleId="List">
    <w:name w:val="List"/>
    <w:basedOn w:val="BodyText"/>
    <w:next w:val="BodyText"/>
    <w:rsid w:val="00181FAF"/>
    <w:pPr>
      <w:tabs>
        <w:tab w:val="left" w:pos="340"/>
      </w:tabs>
      <w:spacing w:before="60" w:after="60"/>
      <w:ind w:left="340" w:hanging="340"/>
    </w:pPr>
  </w:style>
  <w:style w:type="paragraph" w:styleId="ListBullet">
    <w:name w:val="List Bullet"/>
    <w:basedOn w:val="List"/>
    <w:rsid w:val="00181FAF"/>
    <w:pPr>
      <w:numPr>
        <w:numId w:val="13"/>
      </w:numPr>
      <w:tabs>
        <w:tab w:val="clear" w:pos="340"/>
      </w:tabs>
      <w:spacing w:before="40" w:after="40"/>
    </w:pPr>
  </w:style>
  <w:style w:type="character" w:customStyle="1" w:styleId="SpecialBold">
    <w:name w:val="Special Bold"/>
    <w:rsid w:val="00181FAF"/>
    <w:rPr>
      <w:b/>
      <w:spacing w:val="0"/>
    </w:rPr>
  </w:style>
  <w:style w:type="paragraph" w:styleId="ListBullet2">
    <w:name w:val="List Bullet 2"/>
    <w:basedOn w:val="List2"/>
    <w:rsid w:val="00181FAF"/>
    <w:pPr>
      <w:numPr>
        <w:numId w:val="14"/>
      </w:numPr>
      <w:tabs>
        <w:tab w:val="clear" w:pos="680"/>
      </w:tabs>
    </w:pPr>
  </w:style>
  <w:style w:type="paragraph" w:styleId="Header">
    <w:name w:val="header"/>
    <w:basedOn w:val="Normal"/>
    <w:link w:val="HeaderChar"/>
    <w:rsid w:val="00181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81F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1FAF"/>
    <w:pPr>
      <w:spacing w:before="240" w:after="120"/>
      <w:outlineLvl w:val="0"/>
    </w:pPr>
    <w:rPr>
      <w:rFonts w:ascii="Times New Roman" w:hAnsi="Times New Roman"/>
      <w:b/>
      <w:sz w:val="28"/>
    </w:rPr>
  </w:style>
  <w:style w:type="paragraph" w:customStyle="1" w:styleId="AllowPageBreak">
    <w:name w:val="AllowPageBreak"/>
    <w:rsid w:val="00181F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81FAF"/>
    <w:rPr>
      <w:rFonts w:ascii="Times New Roman" w:eastAsia="Times New Roman" w:hAnsi="Times New Roman" w:cs="Times New Roman"/>
      <w:b/>
      <w:sz w:val="28"/>
      <w:szCs w:val="40"/>
      <w:lang w:eastAsia="en-US"/>
    </w:rPr>
  </w:style>
  <w:style w:type="character" w:customStyle="1" w:styleId="Heading3Char">
    <w:name w:val="Heading 3 Char"/>
    <w:link w:val="Heading3"/>
    <w:rsid w:val="00181FA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81FAF"/>
    <w:rPr>
      <w:rFonts w:ascii="Times New Roman" w:eastAsia="Times New Roman" w:hAnsi="Times New Roman" w:cs="Times New Roman"/>
      <w:b/>
      <w:szCs w:val="20"/>
      <w:lang w:eastAsia="en-US"/>
    </w:rPr>
  </w:style>
  <w:style w:type="character" w:customStyle="1" w:styleId="Heading5Char">
    <w:name w:val="Heading 5 Char"/>
    <w:link w:val="Heading5"/>
    <w:rsid w:val="00181FA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81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F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1F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1FAF"/>
    <w:rPr>
      <w:rFonts w:ascii="Courier New" w:eastAsia="Times New Roman" w:hAnsi="Courier New" w:cs="Times New Roman"/>
      <w:i/>
      <w:szCs w:val="20"/>
      <w:lang w:val="en-US" w:eastAsia="en-US"/>
    </w:rPr>
  </w:style>
  <w:style w:type="paragraph" w:customStyle="1" w:styleId="HeadingBase">
    <w:name w:val="Heading Base"/>
    <w:rsid w:val="00181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FAF"/>
    <w:pPr>
      <w:tabs>
        <w:tab w:val="right" w:leader="dot" w:pos="9072"/>
      </w:tabs>
      <w:ind w:left="567"/>
    </w:pPr>
    <w:rPr>
      <w:szCs w:val="22"/>
    </w:rPr>
  </w:style>
  <w:style w:type="paragraph" w:customStyle="1" w:styleId="TOCBase">
    <w:name w:val="TOC Base"/>
    <w:rsid w:val="00181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FAF"/>
    <w:pPr>
      <w:tabs>
        <w:tab w:val="right" w:leader="dot" w:pos="9072"/>
      </w:tabs>
      <w:spacing w:before="40" w:after="40"/>
      <w:ind w:left="284"/>
    </w:pPr>
    <w:rPr>
      <w:rFonts w:ascii="Times New Roman" w:hAnsi="Times New Roman"/>
    </w:rPr>
  </w:style>
  <w:style w:type="paragraph" w:styleId="TOC1">
    <w:name w:val="toc 1"/>
    <w:basedOn w:val="TOCBase"/>
    <w:next w:val="Normal"/>
    <w:rsid w:val="00181F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FAF"/>
    <w:pPr>
      <w:spacing w:before="5040"/>
      <w:jc w:val="center"/>
    </w:pPr>
    <w:rPr>
      <w:sz w:val="48"/>
      <w:szCs w:val="72"/>
      <w:lang w:val="en-US"/>
    </w:rPr>
  </w:style>
  <w:style w:type="character" w:customStyle="1" w:styleId="TitleChar">
    <w:name w:val="Title Char"/>
    <w:link w:val="Title"/>
    <w:rsid w:val="00181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FAF"/>
    <w:pPr>
      <w:tabs>
        <w:tab w:val="left" w:pos="3600"/>
        <w:tab w:val="left" w:pos="3958"/>
      </w:tabs>
    </w:pPr>
  </w:style>
  <w:style w:type="paragraph" w:customStyle="1" w:styleId="Note">
    <w:name w:val="Note"/>
    <w:basedOn w:val="BodyText"/>
    <w:rsid w:val="00181F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FAF"/>
    <w:pPr>
      <w:framePr w:wrap="auto" w:hAnchor="text" w:y="6049"/>
    </w:pPr>
    <w:rPr>
      <w:color w:val="000000"/>
      <w:sz w:val="40"/>
    </w:rPr>
  </w:style>
  <w:style w:type="paragraph" w:customStyle="1" w:styleId="TOCTitle">
    <w:name w:val="TOCTitle"/>
    <w:basedOn w:val="Heading1"/>
    <w:rsid w:val="00181FAF"/>
    <w:pPr>
      <w:spacing w:after="240"/>
      <w:jc w:val="center"/>
      <w:outlineLvl w:val="9"/>
    </w:pPr>
    <w:rPr>
      <w:caps/>
    </w:rPr>
  </w:style>
  <w:style w:type="paragraph" w:customStyle="1" w:styleId="Version">
    <w:name w:val="Version"/>
    <w:rsid w:val="00181F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FAF"/>
    <w:pPr>
      <w:keepNext w:val="0"/>
      <w:tabs>
        <w:tab w:val="right" w:pos="4176"/>
      </w:tabs>
      <w:ind w:left="198" w:hanging="198"/>
    </w:pPr>
    <w:rPr>
      <w:rFonts w:ascii="Garamond" w:hAnsi="Garamond"/>
    </w:rPr>
  </w:style>
  <w:style w:type="paragraph" w:styleId="IndexHeading">
    <w:name w:val="index heading"/>
    <w:basedOn w:val="Normal"/>
    <w:next w:val="Index1"/>
    <w:semiHidden/>
    <w:rsid w:val="00181FAF"/>
    <w:pPr>
      <w:spacing w:before="120" w:after="120"/>
    </w:pPr>
    <w:rPr>
      <w:rFonts w:ascii="Arial" w:hAnsi="Arial"/>
      <w:b/>
      <w:color w:val="918585"/>
      <w:sz w:val="24"/>
    </w:rPr>
  </w:style>
  <w:style w:type="paragraph" w:customStyle="1" w:styleId="Chapter">
    <w:name w:val="Chapter"/>
    <w:basedOn w:val="Normal"/>
    <w:rsid w:val="00181FAF"/>
    <w:pPr>
      <w:spacing w:before="240"/>
    </w:pPr>
    <w:rPr>
      <w:rFonts w:ascii="Times New Roman" w:hAnsi="Times New Roman"/>
      <w:smallCaps/>
      <w:spacing w:val="80"/>
      <w:sz w:val="28"/>
    </w:rPr>
  </w:style>
  <w:style w:type="paragraph" w:customStyle="1" w:styleId="InChapter">
    <w:name w:val="InChapter"/>
    <w:basedOn w:val="Heading3"/>
    <w:rsid w:val="00181FAF"/>
    <w:pPr>
      <w:spacing w:after="240"/>
      <w:outlineLvl w:val="9"/>
    </w:pPr>
    <w:rPr>
      <w:noProof/>
    </w:rPr>
  </w:style>
  <w:style w:type="paragraph" w:styleId="Index2">
    <w:name w:val="index 2"/>
    <w:basedOn w:val="Normal"/>
    <w:next w:val="Normal"/>
    <w:semiHidden/>
    <w:rsid w:val="00181FAF"/>
    <w:pPr>
      <w:tabs>
        <w:tab w:val="right" w:pos="4176"/>
      </w:tabs>
      <w:ind w:left="568" w:hanging="284"/>
    </w:pPr>
    <w:rPr>
      <w:rFonts w:ascii="Garamond" w:hAnsi="Garamond"/>
    </w:rPr>
  </w:style>
  <w:style w:type="paragraph" w:customStyle="1" w:styleId="Byline">
    <w:name w:val="Byline"/>
    <w:rsid w:val="00181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FAF"/>
    <w:pPr>
      <w:tabs>
        <w:tab w:val="clear" w:pos="3600"/>
        <w:tab w:val="clear" w:pos="3958"/>
      </w:tabs>
      <w:jc w:val="right"/>
    </w:pPr>
  </w:style>
  <w:style w:type="character" w:styleId="Emphasis">
    <w:name w:val="Emphasis"/>
    <w:qFormat/>
    <w:rsid w:val="00181FAF"/>
    <w:rPr>
      <w:i/>
    </w:rPr>
  </w:style>
  <w:style w:type="paragraph" w:styleId="Caption">
    <w:name w:val="caption"/>
    <w:basedOn w:val="BodyText"/>
    <w:next w:val="Normal"/>
    <w:qFormat/>
    <w:rsid w:val="00181FAF"/>
    <w:pPr>
      <w:framePr w:w="2268" w:hSpace="181" w:vSpace="181" w:wrap="around" w:vAnchor="text" w:hAnchor="page" w:x="1135" w:y="285" w:anchorLock="1"/>
    </w:pPr>
    <w:rPr>
      <w:i/>
    </w:rPr>
  </w:style>
  <w:style w:type="paragraph" w:customStyle="1" w:styleId="MiniTOCTitle">
    <w:name w:val="MiniTOCTitle"/>
    <w:basedOn w:val="Heading4"/>
    <w:rsid w:val="00181FAF"/>
    <w:pPr>
      <w:spacing w:before="240"/>
      <w:outlineLvl w:val="9"/>
    </w:pPr>
    <w:rPr>
      <w:noProof/>
      <w:sz w:val="24"/>
    </w:rPr>
  </w:style>
  <w:style w:type="paragraph" w:customStyle="1" w:styleId="MiniTOCItem">
    <w:name w:val="MiniTOCItem"/>
    <w:basedOn w:val="ListBullet"/>
    <w:rsid w:val="00181FAF"/>
    <w:pPr>
      <w:numPr>
        <w:numId w:val="0"/>
      </w:numPr>
      <w:tabs>
        <w:tab w:val="right" w:leader="dot" w:pos="6521"/>
      </w:tabs>
      <w:spacing w:before="0" w:after="0"/>
    </w:pPr>
  </w:style>
  <w:style w:type="paragraph" w:customStyle="1" w:styleId="TOFTitle">
    <w:name w:val="TOFTitle"/>
    <w:basedOn w:val="TOCTitle"/>
    <w:rsid w:val="00181FAF"/>
  </w:style>
  <w:style w:type="paragraph" w:styleId="TableofFigures">
    <w:name w:val="table of figures"/>
    <w:basedOn w:val="Normal"/>
    <w:next w:val="Normal"/>
    <w:semiHidden/>
    <w:rsid w:val="00181FAF"/>
    <w:pPr>
      <w:tabs>
        <w:tab w:val="right" w:leader="dot" w:pos="9072"/>
      </w:tabs>
      <w:ind w:left="970" w:hanging="403"/>
    </w:pPr>
    <w:rPr>
      <w:rFonts w:ascii="Times New Roman" w:hAnsi="Times New Roman"/>
      <w:b/>
    </w:rPr>
  </w:style>
  <w:style w:type="paragraph" w:styleId="ListNumber">
    <w:name w:val="List Number"/>
    <w:basedOn w:val="List"/>
    <w:rsid w:val="00181FAF"/>
    <w:pPr>
      <w:numPr>
        <w:numId w:val="11"/>
      </w:numPr>
    </w:pPr>
  </w:style>
  <w:style w:type="character" w:customStyle="1" w:styleId="WingdingSymbols">
    <w:name w:val="Wingding Symbols"/>
    <w:rsid w:val="00181FAF"/>
    <w:rPr>
      <w:rFonts w:ascii="Wingdings" w:hAnsi="Wingdings"/>
    </w:rPr>
  </w:style>
  <w:style w:type="paragraph" w:customStyle="1" w:styleId="TableHeading">
    <w:name w:val="Table Heading"/>
    <w:basedOn w:val="HeadingBase"/>
    <w:rsid w:val="00181FAF"/>
    <w:pPr>
      <w:keepLines/>
      <w:pBdr>
        <w:bottom w:val="single" w:sz="6" w:space="1" w:color="918585"/>
      </w:pBdr>
      <w:spacing w:before="240"/>
    </w:pPr>
  </w:style>
  <w:style w:type="character" w:customStyle="1" w:styleId="HotSpot">
    <w:name w:val="HotSpot"/>
    <w:rsid w:val="00181FAF"/>
    <w:rPr>
      <w:color w:val="0033CC"/>
      <w:u w:val="none"/>
    </w:rPr>
  </w:style>
  <w:style w:type="paragraph" w:customStyle="1" w:styleId="BodyTextRight">
    <w:name w:val="Body Text Right"/>
    <w:basedOn w:val="BodyText"/>
    <w:rsid w:val="00181FAF"/>
    <w:pPr>
      <w:spacing w:before="0" w:after="0"/>
      <w:jc w:val="right"/>
    </w:pPr>
  </w:style>
  <w:style w:type="paragraph" w:styleId="Index3">
    <w:name w:val="index 3"/>
    <w:basedOn w:val="ListNumber2"/>
    <w:next w:val="Normal"/>
    <w:semiHidden/>
    <w:rsid w:val="00181FAF"/>
    <w:pPr>
      <w:numPr>
        <w:numId w:val="0"/>
      </w:numPr>
      <w:tabs>
        <w:tab w:val="right" w:leader="dot" w:pos="4176"/>
      </w:tabs>
    </w:pPr>
  </w:style>
  <w:style w:type="paragraph" w:styleId="ListNumber2">
    <w:name w:val="List Number 2"/>
    <w:basedOn w:val="List2"/>
    <w:rsid w:val="00181FAF"/>
    <w:pPr>
      <w:numPr>
        <w:numId w:val="10"/>
      </w:numPr>
      <w:tabs>
        <w:tab w:val="clear" w:pos="1060"/>
      </w:tabs>
    </w:pPr>
  </w:style>
  <w:style w:type="paragraph" w:customStyle="1" w:styleId="MarginNote">
    <w:name w:val="Margin Note"/>
    <w:basedOn w:val="BodyText"/>
    <w:rsid w:val="00181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81F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1FAF"/>
    <w:rPr>
      <w:sz w:val="32"/>
    </w:rPr>
  </w:style>
  <w:style w:type="paragraph" w:customStyle="1" w:styleId="HeadingProcedure">
    <w:name w:val="Heading Procedure"/>
    <w:basedOn w:val="HeadingBase"/>
    <w:next w:val="Normal"/>
    <w:rsid w:val="00181FAF"/>
    <w:pPr>
      <w:tabs>
        <w:tab w:val="left" w:pos="0"/>
      </w:tabs>
      <w:spacing w:before="120" w:after="60"/>
    </w:pPr>
    <w:rPr>
      <w:i/>
      <w:color w:val="918585"/>
      <w:sz w:val="22"/>
    </w:rPr>
  </w:style>
  <w:style w:type="paragraph" w:customStyle="1" w:styleId="TableBodyText">
    <w:name w:val="Table Body Text"/>
    <w:basedOn w:val="BodyText"/>
    <w:rsid w:val="00181FAF"/>
    <w:pPr>
      <w:spacing w:before="60" w:after="60"/>
    </w:pPr>
  </w:style>
  <w:style w:type="paragraph" w:styleId="ListContinue">
    <w:name w:val="List Continue"/>
    <w:basedOn w:val="List"/>
    <w:rsid w:val="00181FAF"/>
    <w:pPr>
      <w:ind w:firstLine="0"/>
    </w:pPr>
  </w:style>
  <w:style w:type="paragraph" w:customStyle="1" w:styleId="ListNote">
    <w:name w:val="List Note"/>
    <w:basedOn w:val="List"/>
    <w:rsid w:val="00181FAF"/>
    <w:pPr>
      <w:pBdr>
        <w:top w:val="single" w:sz="6" w:space="2" w:color="918585"/>
        <w:bottom w:val="single" w:sz="6" w:space="2" w:color="918585"/>
      </w:pBdr>
      <w:tabs>
        <w:tab w:val="left" w:pos="1021"/>
      </w:tabs>
      <w:ind w:firstLine="0"/>
    </w:pPr>
  </w:style>
  <w:style w:type="paragraph" w:customStyle="1" w:styleId="Warning">
    <w:name w:val="Warning"/>
    <w:basedOn w:val="BodyText"/>
    <w:rsid w:val="00181FAF"/>
    <w:pPr>
      <w:shd w:val="clear" w:color="auto" w:fill="D9D9D9"/>
      <w:tabs>
        <w:tab w:val="left" w:pos="992"/>
      </w:tabs>
      <w:ind w:left="119" w:right="119"/>
    </w:pPr>
    <w:rPr>
      <w:sz w:val="20"/>
    </w:rPr>
  </w:style>
  <w:style w:type="paragraph" w:customStyle="1" w:styleId="MarginIcons">
    <w:name w:val="Margin Icons"/>
    <w:basedOn w:val="BodyText"/>
    <w:rsid w:val="00181FA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81FAF"/>
    <w:rPr>
      <w:rFonts w:ascii="Courier New" w:hAnsi="Courier New"/>
    </w:rPr>
  </w:style>
  <w:style w:type="paragraph" w:customStyle="1" w:styleId="NoteBullet">
    <w:name w:val="Note Bullet"/>
    <w:basedOn w:val="Note"/>
    <w:rsid w:val="00181FAF"/>
    <w:pPr>
      <w:tabs>
        <w:tab w:val="clear" w:pos="680"/>
      </w:tabs>
      <w:spacing w:before="60" w:after="60"/>
    </w:pPr>
  </w:style>
  <w:style w:type="paragraph" w:customStyle="1" w:styleId="SubHeading2">
    <w:name w:val="SubHeading2"/>
    <w:basedOn w:val="HeadingBase"/>
    <w:rsid w:val="00181FAF"/>
    <w:pPr>
      <w:spacing w:before="240" w:after="60"/>
    </w:pPr>
    <w:rPr>
      <w:sz w:val="20"/>
    </w:rPr>
  </w:style>
  <w:style w:type="paragraph" w:customStyle="1" w:styleId="SubHeading1">
    <w:name w:val="SubHeading1"/>
    <w:basedOn w:val="HeadingBase"/>
    <w:rsid w:val="00181FAF"/>
    <w:pPr>
      <w:spacing w:before="240" w:after="60"/>
    </w:pPr>
    <w:rPr>
      <w:color w:val="918585"/>
      <w:sz w:val="22"/>
    </w:rPr>
  </w:style>
  <w:style w:type="paragraph" w:customStyle="1" w:styleId="SideHeading">
    <w:name w:val="Side Heading"/>
    <w:basedOn w:val="HeadingBase"/>
    <w:rsid w:val="00181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FAF"/>
    <w:pPr>
      <w:numPr>
        <w:numId w:val="12"/>
      </w:numPr>
    </w:pPr>
  </w:style>
  <w:style w:type="paragraph" w:styleId="PlainText">
    <w:name w:val="Plain Text"/>
    <w:basedOn w:val="Normal"/>
    <w:link w:val="PlainTextChar"/>
    <w:rsid w:val="00181FAF"/>
    <w:rPr>
      <w:sz w:val="20"/>
    </w:rPr>
  </w:style>
  <w:style w:type="character" w:customStyle="1" w:styleId="PlainTextChar">
    <w:name w:val="Plain Text Char"/>
    <w:basedOn w:val="DefaultParagraphFont"/>
    <w:link w:val="PlainText"/>
    <w:rsid w:val="00181FAF"/>
    <w:rPr>
      <w:rFonts w:ascii="Courier New" w:eastAsia="Times New Roman" w:hAnsi="Courier New" w:cs="Times New Roman"/>
      <w:sz w:val="20"/>
      <w:szCs w:val="20"/>
      <w:lang w:val="en-US" w:eastAsia="en-US"/>
    </w:rPr>
  </w:style>
  <w:style w:type="character" w:customStyle="1" w:styleId="MenuOption">
    <w:name w:val="Menu Option"/>
    <w:rsid w:val="00181FAF"/>
    <w:rPr>
      <w:b/>
      <w:smallCaps/>
    </w:rPr>
  </w:style>
  <w:style w:type="paragraph" w:customStyle="1" w:styleId="TableListNumber">
    <w:name w:val="Table List Number"/>
    <w:basedOn w:val="ListNumber"/>
    <w:rsid w:val="00181FAF"/>
    <w:pPr>
      <w:numPr>
        <w:numId w:val="0"/>
      </w:numPr>
    </w:pPr>
  </w:style>
  <w:style w:type="paragraph" w:styleId="TOC4">
    <w:name w:val="toc 4"/>
    <w:basedOn w:val="TOCBase"/>
    <w:next w:val="Normal"/>
    <w:semiHidden/>
    <w:rsid w:val="00181FAF"/>
    <w:pPr>
      <w:tabs>
        <w:tab w:val="right" w:leader="dot" w:pos="9071"/>
      </w:tabs>
      <w:ind w:left="1701"/>
    </w:pPr>
  </w:style>
  <w:style w:type="paragraph" w:customStyle="1" w:styleId="ListAlpha">
    <w:name w:val="List Alpha"/>
    <w:basedOn w:val="List"/>
    <w:rsid w:val="00181FAF"/>
    <w:pPr>
      <w:numPr>
        <w:numId w:val="9"/>
      </w:numPr>
    </w:pPr>
  </w:style>
  <w:style w:type="paragraph" w:customStyle="1" w:styleId="ListAlpha2">
    <w:name w:val="List Alpha 2"/>
    <w:basedOn w:val="List2"/>
    <w:rsid w:val="00181FAF"/>
    <w:pPr>
      <w:numPr>
        <w:numId w:val="8"/>
      </w:numPr>
    </w:pPr>
  </w:style>
  <w:style w:type="paragraph" w:styleId="List2">
    <w:name w:val="List 2"/>
    <w:basedOn w:val="BodyText"/>
    <w:rsid w:val="00181FAF"/>
    <w:pPr>
      <w:tabs>
        <w:tab w:val="left" w:pos="680"/>
      </w:tabs>
      <w:spacing w:before="60" w:after="60"/>
      <w:ind w:left="680" w:hanging="340"/>
    </w:pPr>
  </w:style>
  <w:style w:type="paragraph" w:styleId="List3">
    <w:name w:val="List 3"/>
    <w:basedOn w:val="BodyText"/>
    <w:rsid w:val="00181FAF"/>
    <w:pPr>
      <w:tabs>
        <w:tab w:val="left" w:pos="1021"/>
      </w:tabs>
      <w:spacing w:before="60" w:after="60"/>
      <w:ind w:left="1020" w:hanging="340"/>
    </w:pPr>
  </w:style>
  <w:style w:type="paragraph" w:styleId="List4">
    <w:name w:val="List 4"/>
    <w:basedOn w:val="BodyText"/>
    <w:rsid w:val="00181FAF"/>
    <w:pPr>
      <w:tabs>
        <w:tab w:val="left" w:pos="1361"/>
      </w:tabs>
      <w:spacing w:before="60" w:after="60"/>
      <w:ind w:left="1361" w:hanging="340"/>
    </w:pPr>
  </w:style>
  <w:style w:type="paragraph" w:styleId="List5">
    <w:name w:val="List 5"/>
    <w:basedOn w:val="BodyText"/>
    <w:rsid w:val="00181FAF"/>
    <w:pPr>
      <w:tabs>
        <w:tab w:val="left" w:pos="1701"/>
      </w:tabs>
      <w:spacing w:before="60" w:after="60"/>
      <w:ind w:left="1701" w:hanging="340"/>
    </w:pPr>
  </w:style>
  <w:style w:type="paragraph" w:styleId="ListBullet3">
    <w:name w:val="List Bullet 3"/>
    <w:basedOn w:val="List3"/>
    <w:rsid w:val="00181FAF"/>
    <w:pPr>
      <w:numPr>
        <w:numId w:val="15"/>
      </w:numPr>
      <w:tabs>
        <w:tab w:val="clear" w:pos="1021"/>
      </w:tabs>
      <w:ind w:left="1037" w:hanging="357"/>
    </w:pPr>
  </w:style>
  <w:style w:type="paragraph" w:styleId="ListBullet4">
    <w:name w:val="List Bullet 4"/>
    <w:basedOn w:val="List4"/>
    <w:rsid w:val="00181FAF"/>
    <w:pPr>
      <w:numPr>
        <w:numId w:val="3"/>
      </w:numPr>
    </w:pPr>
  </w:style>
  <w:style w:type="paragraph" w:styleId="ListBullet5">
    <w:name w:val="List Bullet 5"/>
    <w:basedOn w:val="List5"/>
    <w:rsid w:val="00181FAF"/>
    <w:pPr>
      <w:numPr>
        <w:numId w:val="4"/>
      </w:numPr>
    </w:pPr>
  </w:style>
  <w:style w:type="paragraph" w:styleId="ListContinue2">
    <w:name w:val="List Continue 2"/>
    <w:basedOn w:val="List2"/>
    <w:rsid w:val="00181FAF"/>
    <w:pPr>
      <w:ind w:firstLine="0"/>
    </w:pPr>
  </w:style>
  <w:style w:type="paragraph" w:styleId="ListContinue3">
    <w:name w:val="List Continue 3"/>
    <w:basedOn w:val="List3"/>
    <w:rsid w:val="00181FAF"/>
    <w:pPr>
      <w:ind w:left="1021" w:firstLine="0"/>
    </w:pPr>
  </w:style>
  <w:style w:type="paragraph" w:styleId="ListContinue4">
    <w:name w:val="List Continue 4"/>
    <w:basedOn w:val="List4"/>
    <w:rsid w:val="00181FAF"/>
    <w:pPr>
      <w:ind w:firstLine="0"/>
    </w:pPr>
  </w:style>
  <w:style w:type="paragraph" w:styleId="ListContinue5">
    <w:name w:val="List Continue 5"/>
    <w:basedOn w:val="List5"/>
    <w:rsid w:val="00181FAF"/>
    <w:pPr>
      <w:ind w:firstLine="0"/>
    </w:pPr>
  </w:style>
  <w:style w:type="paragraph" w:styleId="ListNumber3">
    <w:name w:val="List Number 3"/>
    <w:basedOn w:val="List3"/>
    <w:rsid w:val="00181FAF"/>
    <w:pPr>
      <w:numPr>
        <w:numId w:val="5"/>
      </w:numPr>
    </w:pPr>
  </w:style>
  <w:style w:type="paragraph" w:styleId="ListNumber4">
    <w:name w:val="List Number 4"/>
    <w:basedOn w:val="List4"/>
    <w:rsid w:val="00181FAF"/>
    <w:pPr>
      <w:numPr>
        <w:numId w:val="6"/>
      </w:numPr>
    </w:pPr>
  </w:style>
  <w:style w:type="paragraph" w:styleId="ListNumber5">
    <w:name w:val="List Number 5"/>
    <w:basedOn w:val="List5"/>
    <w:rsid w:val="00181FAF"/>
    <w:pPr>
      <w:numPr>
        <w:numId w:val="7"/>
      </w:numPr>
    </w:pPr>
  </w:style>
  <w:style w:type="paragraph" w:styleId="BlockText">
    <w:name w:val="Block Text"/>
    <w:basedOn w:val="Normal"/>
    <w:rsid w:val="00181FAF"/>
    <w:pPr>
      <w:spacing w:after="120"/>
      <w:ind w:left="1440" w:right="1440"/>
    </w:pPr>
  </w:style>
  <w:style w:type="character" w:customStyle="1" w:styleId="Subscript">
    <w:name w:val="Subscript"/>
    <w:rsid w:val="00181FAF"/>
    <w:rPr>
      <w:sz w:val="16"/>
      <w:vertAlign w:val="subscript"/>
    </w:rPr>
  </w:style>
  <w:style w:type="character" w:customStyle="1" w:styleId="Superscript">
    <w:name w:val="Superscript"/>
    <w:rsid w:val="00181FAF"/>
    <w:rPr>
      <w:sz w:val="16"/>
      <w:vertAlign w:val="superscript"/>
    </w:rPr>
  </w:style>
  <w:style w:type="character" w:customStyle="1" w:styleId="Symbols">
    <w:name w:val="Symbols"/>
    <w:rsid w:val="00181FAF"/>
    <w:rPr>
      <w:rFonts w:ascii="Symbol" w:hAnsi="Symbol"/>
    </w:rPr>
  </w:style>
  <w:style w:type="character" w:customStyle="1" w:styleId="MenuOptions">
    <w:name w:val="Menu Options"/>
    <w:rsid w:val="00181FAF"/>
    <w:rPr>
      <w:rFonts w:ascii="Arial Narrow" w:hAnsi="Arial Narrow"/>
      <w:smallCaps/>
    </w:rPr>
  </w:style>
  <w:style w:type="character" w:customStyle="1" w:styleId="Buttons">
    <w:name w:val="Buttons"/>
    <w:rsid w:val="00181FAF"/>
    <w:rPr>
      <w:b/>
    </w:rPr>
  </w:style>
  <w:style w:type="character" w:customStyle="1" w:styleId="Underlined">
    <w:name w:val="Underlined"/>
    <w:rsid w:val="00181FAF"/>
    <w:rPr>
      <w:u w:val="single"/>
    </w:rPr>
  </w:style>
  <w:style w:type="paragraph" w:customStyle="1" w:styleId="TableBodyTextRight">
    <w:name w:val="Table Body Text Right"/>
    <w:basedOn w:val="TableBodyText"/>
    <w:rsid w:val="00181FAF"/>
    <w:pPr>
      <w:widowControl w:val="0"/>
      <w:autoSpaceDE w:val="0"/>
      <w:autoSpaceDN w:val="0"/>
      <w:adjustRightInd w:val="0"/>
      <w:jc w:val="right"/>
    </w:pPr>
    <w:rPr>
      <w:rFonts w:cs="Arial"/>
      <w:szCs w:val="18"/>
    </w:rPr>
  </w:style>
  <w:style w:type="paragraph" w:customStyle="1" w:styleId="CopyrightText">
    <w:name w:val="Copyright Text"/>
    <w:basedOn w:val="BodyText"/>
    <w:rsid w:val="00181FAF"/>
    <w:rPr>
      <w:sz w:val="18"/>
    </w:rPr>
  </w:style>
  <w:style w:type="paragraph" w:customStyle="1" w:styleId="BodySmallRight">
    <w:name w:val="Body Small Right"/>
    <w:basedOn w:val="BodyTextRight"/>
    <w:rsid w:val="00181FAF"/>
    <w:rPr>
      <w:sz w:val="18"/>
      <w:szCs w:val="18"/>
    </w:rPr>
  </w:style>
  <w:style w:type="paragraph" w:customStyle="1" w:styleId="MarginEdition">
    <w:name w:val="Margin Edition"/>
    <w:basedOn w:val="MarginNote"/>
    <w:rsid w:val="00181FAF"/>
    <w:pPr>
      <w:spacing w:before="0" w:after="0"/>
    </w:pPr>
    <w:rPr>
      <w:rFonts w:ascii="Times New Roman" w:hAnsi="Times New Roman"/>
      <w:color w:val="999999"/>
    </w:rPr>
  </w:style>
  <w:style w:type="paragraph" w:customStyle="1" w:styleId="Spacer">
    <w:name w:val="Spacer"/>
    <w:basedOn w:val="Normal"/>
    <w:rsid w:val="00181FAF"/>
    <w:rPr>
      <w:sz w:val="2"/>
      <w:szCs w:val="2"/>
    </w:rPr>
  </w:style>
  <w:style w:type="character" w:customStyle="1" w:styleId="Small">
    <w:name w:val="Small"/>
    <w:rsid w:val="00181FAF"/>
    <w:rPr>
      <w:sz w:val="16"/>
    </w:rPr>
  </w:style>
  <w:style w:type="paragraph" w:customStyle="1" w:styleId="WideTable">
    <w:name w:val="Wide Table"/>
    <w:basedOn w:val="Normal"/>
    <w:rsid w:val="00181FAF"/>
    <w:pPr>
      <w:ind w:left="-1418"/>
    </w:pPr>
    <w:rPr>
      <w:sz w:val="2"/>
      <w:szCs w:val="2"/>
    </w:rPr>
  </w:style>
  <w:style w:type="character" w:styleId="PageNumber">
    <w:name w:val="page number"/>
    <w:rsid w:val="00181FAF"/>
  </w:style>
  <w:style w:type="paragraph" w:styleId="Quote">
    <w:name w:val="Quote"/>
    <w:basedOn w:val="Heading1"/>
    <w:link w:val="QuoteChar"/>
    <w:qFormat/>
    <w:rsid w:val="00181FAF"/>
    <w:rPr>
      <w:b w:val="0"/>
      <w:sz w:val="72"/>
      <w:szCs w:val="72"/>
      <w:lang w:val="en-NZ"/>
    </w:rPr>
  </w:style>
  <w:style w:type="character" w:customStyle="1" w:styleId="QuoteChar">
    <w:name w:val="Quote Char"/>
    <w:link w:val="Quote"/>
    <w:rsid w:val="00181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FAF"/>
    <w:pPr>
      <w:pageBreakBefore/>
    </w:pPr>
  </w:style>
  <w:style w:type="paragraph" w:customStyle="1" w:styleId="Border">
    <w:name w:val="Border"/>
    <w:basedOn w:val="Normal"/>
    <w:qFormat/>
    <w:rsid w:val="00181FAF"/>
    <w:pPr>
      <w:pBdr>
        <w:top w:val="single" w:sz="18" w:space="1" w:color="auto"/>
      </w:pBdr>
    </w:pPr>
    <w:rPr>
      <w:rFonts w:ascii="Times New Roman" w:hAnsi="Times New Roman"/>
      <w:color w:val="FFFFFF"/>
      <w:sz w:val="2"/>
    </w:rPr>
  </w:style>
  <w:style w:type="character" w:styleId="IntenseEmphasis">
    <w:name w:val="Intense Emphasis"/>
    <w:uiPriority w:val="21"/>
    <w:qFormat/>
    <w:rsid w:val="00181FAF"/>
    <w:rPr>
      <w:b/>
      <w:bCs/>
      <w:i/>
      <w:iCs/>
      <w:color w:val="auto"/>
    </w:rPr>
  </w:style>
  <w:style w:type="paragraph" w:styleId="IntenseQuote">
    <w:name w:val="Intense Quote"/>
    <w:basedOn w:val="Normal"/>
    <w:next w:val="Normal"/>
    <w:link w:val="IntenseQuoteChar"/>
    <w:uiPriority w:val="30"/>
    <w:qFormat/>
    <w:rsid w:val="00181FA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81FAF"/>
    <w:rPr>
      <w:rFonts w:ascii="Courier New" w:eastAsia="Times New Roman" w:hAnsi="Courier New" w:cs="Times New Roman"/>
      <w:b/>
      <w:bCs/>
      <w:i/>
      <w:iCs/>
      <w:szCs w:val="20"/>
      <w:lang w:val="en-US" w:eastAsia="en-US"/>
    </w:rPr>
  </w:style>
  <w:style w:type="character" w:styleId="SubtleReference">
    <w:name w:val="Subtle Reference"/>
    <w:uiPriority w:val="31"/>
    <w:qFormat/>
    <w:rsid w:val="00181FAF"/>
    <w:rPr>
      <w:smallCaps/>
      <w:color w:val="auto"/>
      <w:u w:val="single"/>
    </w:rPr>
  </w:style>
  <w:style w:type="character" w:styleId="IntenseReference">
    <w:name w:val="Intense Reference"/>
    <w:uiPriority w:val="32"/>
    <w:qFormat/>
    <w:rsid w:val="00181FAF"/>
    <w:rPr>
      <w:b/>
      <w:bCs/>
      <w:smallCaps/>
      <w:color w:val="auto"/>
      <w:spacing w:val="5"/>
      <w:u w:val="single"/>
    </w:rPr>
  </w:style>
  <w:style w:type="paragraph" w:customStyle="1" w:styleId="2ColumnHeading">
    <w:name w:val="2Column Heading"/>
    <w:basedOn w:val="BodyText"/>
    <w:qFormat/>
    <w:rsid w:val="00181FAF"/>
    <w:pPr>
      <w:spacing w:after="60"/>
      <w:ind w:left="-2268"/>
    </w:pPr>
    <w:rPr>
      <w:b/>
    </w:rPr>
  </w:style>
  <w:style w:type="paragraph" w:customStyle="1" w:styleId="Heading1TOC">
    <w:name w:val="Heading1 TOC"/>
    <w:basedOn w:val="Normal"/>
    <w:qFormat/>
    <w:rsid w:val="00181FAF"/>
    <w:pPr>
      <w:spacing w:before="240" w:after="120"/>
    </w:pPr>
    <w:rPr>
      <w:rFonts w:ascii="Times New Roman" w:hAnsi="Times New Roman"/>
      <w:b/>
      <w:sz w:val="32"/>
    </w:rPr>
  </w:style>
  <w:style w:type="paragraph" w:customStyle="1" w:styleId="Heading2TOC">
    <w:name w:val="Heading2 TOC"/>
    <w:basedOn w:val="Normal"/>
    <w:qFormat/>
    <w:rsid w:val="00181FAF"/>
    <w:pPr>
      <w:spacing w:before="240" w:after="60"/>
    </w:pPr>
    <w:rPr>
      <w:rFonts w:ascii="Times New Roman" w:hAnsi="Times New Roman"/>
      <w:b/>
      <w:sz w:val="28"/>
    </w:rPr>
  </w:style>
  <w:style w:type="character" w:customStyle="1" w:styleId="Underline">
    <w:name w:val="Underline"/>
    <w:qFormat/>
    <w:rsid w:val="00181FAF"/>
    <w:rPr>
      <w:u w:val="single"/>
    </w:rPr>
  </w:style>
  <w:style w:type="character" w:customStyle="1" w:styleId="BoldandItalics">
    <w:name w:val="Bold and Italics"/>
    <w:qFormat/>
    <w:rsid w:val="00181FAF"/>
    <w:rPr>
      <w:b/>
      <w:i/>
      <w:u w:val="none"/>
    </w:rPr>
  </w:style>
  <w:style w:type="paragraph" w:styleId="BalloonText">
    <w:name w:val="Balloon Text"/>
    <w:basedOn w:val="Normal"/>
    <w:link w:val="BalloonTextChar"/>
    <w:rsid w:val="00181FAF"/>
    <w:rPr>
      <w:rFonts w:ascii="Tahoma" w:hAnsi="Tahoma" w:cs="Tahoma"/>
      <w:sz w:val="16"/>
      <w:szCs w:val="16"/>
    </w:rPr>
  </w:style>
  <w:style w:type="character" w:customStyle="1" w:styleId="BalloonTextChar">
    <w:name w:val="Balloon Text Char"/>
    <w:link w:val="BalloonText"/>
    <w:rsid w:val="00181F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1FA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81FA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1716</Words>
  <Characters>11080</Characters>
  <Application>Microsoft Office Word</Application>
  <DocSecurity>0</DocSecurity>
  <Lines>348</Lines>
  <Paragraphs>210</Paragraphs>
  <ScaleCrop>false</ScaleCrop>
  <Company>Author-it Software Corporation Ltd.</Company>
  <LinksUpToDate>false</LinksUpToDate>
  <CharactersWithSpaces>12710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TLID2021A Use specialised bulk transfer equipment (dry)</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2012-05-27T03:40:00Z</dcterms:created>
  <dcterms:modified xsi:type="dcterms:W3CDTF">2012-05-27T03:40:00Z</dcterms:modified>
</cp:coreProperties>
</file>