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783B" w:rsidP="00DF783B">
      <w:pPr>
        <w:pStyle w:val="Title"/>
      </w:pPr>
      <w:r>
        <w:fldChar w:fldCharType="begin"/>
      </w:r>
      <w:r>
        <w:instrText xml:space="preserve"> TITLE   \* MERGEFORMAT </w:instrText>
      </w:r>
      <w:r>
        <w:fldChar w:fldCharType="separate"/>
      </w:r>
      <w:r>
        <w:t>TLID2016A Load and unload explosives and dangerous goods</w:t>
      </w:r>
      <w:r>
        <w:fldChar w:fldCharType="end"/>
      </w:r>
    </w:p>
    <w:p w:rsidR="00DF783B" w:rsidP="00DF783B">
      <w:pPr>
        <w:pStyle w:val="Version"/>
        <w:sectPr w:rsidSect="00C429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299E" w:rsidP="00C4299E">
      <w:pPr>
        <w:pStyle w:val="SuperHeading"/>
      </w:pPr>
      <w:r w:rsidRPr="00C4299E">
        <w:t>TLID2016A Load and unload explosives and dangerous goods</w:t>
      </w:r>
    </w:p>
    <w:p w:rsidR="00000000" w:rsidRPr="00C4299E" w:rsidP="00C4299E">
      <w:pPr>
        <w:pStyle w:val="Heading1"/>
      </w:pPr>
      <w:bookmarkStart w:id="1" w:name="O_274051"/>
      <w:bookmarkEnd w:id="1"/>
      <w:r w:rsidRPr="00C4299E">
        <w:t>Modification History</w:t>
      </w:r>
    </w:p>
    <w:p w:rsidR="00000000" w:rsidRPr="00C4299E" w:rsidP="00C4299E">
      <w:pPr>
        <w:pStyle w:val="BodyText"/>
      </w:pPr>
      <w:r w:rsidRPr="00C4299E">
        <w:t>Not Applicable</w:t>
      </w:r>
    </w:p>
    <w:p w:rsidR="00000000" w:rsidRPr="00C4299E" w:rsidP="00C4299E">
      <w:pPr>
        <w:pStyle w:val="AllowPageBreak"/>
      </w:pPr>
    </w:p>
    <w:p w:rsidR="00000000" w:rsidRPr="00C4299E" w:rsidP="00C4299E">
      <w:pPr>
        <w:pStyle w:val="Heading1"/>
      </w:pPr>
      <w:bookmarkStart w:id="2" w:name="O_223278"/>
      <w:bookmarkEnd w:id="2"/>
      <w:r w:rsidRPr="00C4299E">
        <w:t>Unit Descriptor</w:t>
      </w:r>
    </w:p>
    <w:tbl>
      <w:tblPr>
        <w:tblW w:w="9640" w:type="dxa"/>
        <w:tblLayout w:type="fixed"/>
        <w:tblCellMar>
          <w:left w:w="62" w:type="dxa"/>
          <w:right w:w="62" w:type="dxa"/>
        </w:tblCellMar>
        <w:tblLook w:val="0000"/>
      </w:tblPr>
      <w:tblGrid>
        <w:gridCol w:w="2978"/>
        <w:gridCol w:w="6662"/>
      </w:tblGrid>
      <w:tr w:rsidTr="00DF783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4299E">
            <w:pPr>
              <w:pStyle w:val="BodyText"/>
              <w:rPr>
                <w:lang w:val="en-NZ"/>
              </w:rPr>
            </w:pPr>
            <w:r w:rsidRPr="00C4299E">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C4299E" w:rsidP="00C4299E">
            <w:pPr>
              <w:pStyle w:val="BodyText"/>
            </w:pPr>
            <w:r w:rsidRPr="00C4299E">
              <w:t>This unit involves the skills and knowledge required to load and unload explosives and dangero</w:t>
            </w:r>
            <w:r w:rsidRPr="00C4299E">
              <w:t>us goods, including identifying explosives/dangerous goods; loading and unloading explosives/dangerous goods using appropriate equipment; securing and protecting the vehicle load; and checking the vehicle to ensure the load is secure and the vehicle is mar</w:t>
            </w:r>
            <w:r w:rsidRPr="00C4299E">
              <w:t>ked in accordance with regulatory requirements. Licensing, legislative, regulatory or certification requirements are applicable to this unit.</w:t>
            </w:r>
          </w:p>
        </w:tc>
      </w:tr>
    </w:tbl>
    <w:p w:rsidR="00DF783B" w:rsidP="00C4299E">
      <w:pPr>
        <w:pStyle w:val="BodyText"/>
      </w:pPr>
    </w:p>
    <w:p w:rsidR="00DF783B" w:rsidP="00C4299E">
      <w:pPr>
        <w:pStyle w:val="BodyText"/>
      </w:pPr>
    </w:p>
    <w:p w:rsidR="00000000" w:rsidRPr="00C4299E" w:rsidP="00C4299E">
      <w:pPr>
        <w:pStyle w:val="Heading1"/>
      </w:pPr>
      <w:bookmarkStart w:id="3" w:name="O_223280"/>
      <w:bookmarkEnd w:id="3"/>
      <w:r w:rsidRPr="00C4299E">
        <w:t>Application of the Unit</w:t>
      </w:r>
    </w:p>
    <w:tbl>
      <w:tblPr>
        <w:tblW w:w="9640" w:type="dxa"/>
        <w:tblLayout w:type="fixed"/>
        <w:tblCellMar>
          <w:left w:w="62" w:type="dxa"/>
          <w:right w:w="62" w:type="dxa"/>
        </w:tblCellMar>
        <w:tblLook w:val="0000"/>
      </w:tblPr>
      <w:tblGrid>
        <w:gridCol w:w="2978"/>
        <w:gridCol w:w="6662"/>
      </w:tblGrid>
      <w:tr w:rsidTr="00DF783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4299E">
            <w:pPr>
              <w:pStyle w:val="BodyText"/>
              <w:rPr>
                <w:lang w:val="en-NZ"/>
              </w:rPr>
            </w:pPr>
            <w:r w:rsidRPr="00C4299E">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C4299E" w:rsidP="00C4299E">
            <w:pPr>
              <w:pStyle w:val="BodyText"/>
            </w:pPr>
            <w:r w:rsidRPr="00C4299E">
              <w:t>Work must be carried out in compliance with the relevant Australian and state/territory regulations including the current Australian Dangerous Goods (ADG) Code, the current Australian Explosives Code, and mass and loading regulations.</w:t>
            </w:r>
          </w:p>
          <w:p w:rsidR="00000000" w:rsidRPr="00C4299E" w:rsidP="00C4299E">
            <w:pPr>
              <w:pStyle w:val="BodyText"/>
            </w:pPr>
            <w:r w:rsidRPr="00C4299E">
              <w:t>Work is performed und</w:t>
            </w:r>
            <w:r w:rsidRPr="00C4299E">
              <w:t>er limited or minimum supervision. It involves the application of the basic principles, routine procedures and specific regulatory requirements to the loading and unloading of explosives and dangerous goods in a range of operational situations.</w:t>
            </w:r>
          </w:p>
        </w:tc>
      </w:tr>
    </w:tbl>
    <w:p w:rsidR="00DF783B" w:rsidP="00C4299E">
      <w:pPr>
        <w:pStyle w:val="BodyText"/>
      </w:pPr>
    </w:p>
    <w:p w:rsidR="00DF783B" w:rsidP="00C4299E">
      <w:pPr>
        <w:pStyle w:val="BodyText"/>
      </w:pPr>
    </w:p>
    <w:p w:rsidR="00000000" w:rsidRPr="00C4299E" w:rsidP="00C4299E">
      <w:pPr>
        <w:pStyle w:val="Heading1"/>
      </w:pPr>
      <w:bookmarkStart w:id="4" w:name="O_282311"/>
      <w:bookmarkEnd w:id="4"/>
      <w:r w:rsidRPr="00C4299E">
        <w:t>Licensing/Regulatory Information</w:t>
      </w:r>
    </w:p>
    <w:p w:rsidR="00000000" w:rsidRPr="00C4299E" w:rsidP="00C4299E">
      <w:pPr>
        <w:pStyle w:val="BodyText"/>
      </w:pPr>
      <w:r w:rsidRPr="00C4299E">
        <w:t>Refer to Unit Descriptor</w:t>
      </w:r>
    </w:p>
    <w:p w:rsidR="00000000" w:rsidRPr="00C4299E" w:rsidP="00C4299E">
      <w:pPr>
        <w:pStyle w:val="AllowPageBreak"/>
      </w:pPr>
    </w:p>
    <w:p w:rsidR="00000000" w:rsidRPr="00C4299E" w:rsidP="00C4299E">
      <w:pPr>
        <w:pStyle w:val="Heading1"/>
      </w:pPr>
      <w:bookmarkStart w:id="5" w:name="O_284761"/>
      <w:bookmarkEnd w:id="5"/>
      <w:r w:rsidRPr="00C4299E">
        <w:t>Pre-Requisites</w:t>
      </w:r>
    </w:p>
    <w:p w:rsidR="00000000" w:rsidRPr="00C4299E" w:rsidP="00C4299E">
      <w:pPr>
        <w:pStyle w:val="BodyText"/>
      </w:pPr>
      <w:r w:rsidRPr="00C4299E">
        <w:t>Not Applicable</w:t>
      </w:r>
    </w:p>
    <w:p w:rsidR="00000000" w:rsidRPr="00C4299E" w:rsidP="00C4299E">
      <w:pPr>
        <w:pStyle w:val="AllowPageBreak"/>
      </w:pPr>
    </w:p>
    <w:p w:rsidR="00000000" w:rsidRPr="00C4299E" w:rsidP="00C4299E">
      <w:pPr>
        <w:pStyle w:val="Heading1"/>
      </w:pPr>
      <w:bookmarkStart w:id="6" w:name="O_223279"/>
      <w:bookmarkEnd w:id="6"/>
      <w:r w:rsidRPr="00C4299E">
        <w:t>Employability Skills Information</w:t>
      </w:r>
    </w:p>
    <w:tbl>
      <w:tblPr>
        <w:tblW w:w="9640" w:type="dxa"/>
        <w:tblLayout w:type="fixed"/>
        <w:tblCellMar>
          <w:left w:w="62" w:type="dxa"/>
          <w:right w:w="62" w:type="dxa"/>
        </w:tblCellMar>
        <w:tblLook w:val="0000"/>
      </w:tblPr>
      <w:tblGrid>
        <w:gridCol w:w="2978"/>
        <w:gridCol w:w="6662"/>
      </w:tblGrid>
      <w:tr w:rsidTr="00DF783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4299E">
            <w:pPr>
              <w:pStyle w:val="BodyText"/>
              <w:rPr>
                <w:lang w:val="en-NZ"/>
              </w:rPr>
            </w:pPr>
            <w:r w:rsidRPr="00C4299E">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C4299E" w:rsidP="00C4299E">
            <w:pPr>
              <w:pStyle w:val="BodyText"/>
            </w:pPr>
            <w:r w:rsidRPr="00C4299E">
              <w:t>This unit contains employability skills.</w:t>
            </w:r>
          </w:p>
        </w:tc>
      </w:tr>
    </w:tbl>
    <w:p w:rsidR="00DF783B" w:rsidP="00C4299E">
      <w:pPr>
        <w:pStyle w:val="BodyText"/>
      </w:pPr>
    </w:p>
    <w:p w:rsidR="00DF783B" w:rsidP="00C4299E">
      <w:pPr>
        <w:pStyle w:val="BodyText"/>
      </w:pPr>
    </w:p>
    <w:p w:rsidR="00000000" w:rsidRPr="00C4299E" w:rsidP="00C4299E">
      <w:pPr>
        <w:pStyle w:val="Heading1"/>
      </w:pPr>
      <w:bookmarkStart w:id="7" w:name="O_292097"/>
      <w:bookmarkEnd w:id="7"/>
      <w:r w:rsidRPr="00C4299E">
        <w:t>Elements and Performance Criteria Pre-Content</w:t>
      </w:r>
    </w:p>
    <w:tbl>
      <w:tblPr>
        <w:tblW w:w="9640" w:type="dxa"/>
        <w:tblLayout w:type="fixed"/>
        <w:tblCellMar>
          <w:left w:w="62" w:type="dxa"/>
          <w:right w:w="62" w:type="dxa"/>
        </w:tblCellMar>
        <w:tblLook w:val="0000"/>
      </w:tblPr>
      <w:tblGrid>
        <w:gridCol w:w="2978"/>
        <w:gridCol w:w="6662"/>
      </w:tblGrid>
      <w:tr w:rsidTr="00DF783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4299E">
            <w:pPr>
              <w:pStyle w:val="BodyText"/>
              <w:rPr>
                <w:lang w:val="en-NZ"/>
              </w:rPr>
            </w:pPr>
            <w:r w:rsidRPr="00C4299E">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C4299E" w:rsidP="00C4299E">
            <w:pPr>
              <w:pStyle w:val="BodyText"/>
            </w:pPr>
            <w:r w:rsidRPr="00C4299E">
              <w:t>Performance criteria describe the required performance needed to demonstrate achievement of the element. Assessment of performance is to be cons</w:t>
            </w:r>
            <w:r w:rsidRPr="00C4299E">
              <w:t>istent with the evidence guide.</w:t>
            </w:r>
          </w:p>
        </w:tc>
      </w:tr>
    </w:tbl>
    <w:p w:rsidR="00000000" w:rsidRPr="00C4299E" w:rsidP="00C4299E">
      <w:pPr>
        <w:pStyle w:val="BodyText"/>
      </w:pPr>
    </w:p>
    <w:p w:rsidR="00000000" w:rsidRPr="00C4299E" w:rsidP="00C4299E">
      <w:pPr>
        <w:pStyle w:val="AllowPageBreak"/>
      </w:pPr>
    </w:p>
    <w:p w:rsidR="00000000" w:rsidRPr="00C4299E" w:rsidP="00C4299E">
      <w:pPr>
        <w:pStyle w:val="Heading1"/>
      </w:pPr>
      <w:bookmarkStart w:id="8" w:name="O_238765"/>
      <w:bookmarkEnd w:id="8"/>
      <w:r w:rsidRPr="00C4299E">
        <w:t>Elements and Performance Criteria</w:t>
      </w:r>
    </w:p>
    <w:tbl>
      <w:tblPr>
        <w:tblW w:w="9640" w:type="dxa"/>
        <w:tblLayout w:type="fixed"/>
        <w:tblCellMar>
          <w:left w:w="62" w:type="dxa"/>
          <w:right w:w="62" w:type="dxa"/>
        </w:tblCellMar>
        <w:tblLook w:val="0000"/>
      </w:tblPr>
      <w:tblGrid>
        <w:gridCol w:w="2978"/>
        <w:gridCol w:w="6662"/>
      </w:tblGrid>
      <w:tr w:rsidTr="00DF783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C4299E" w:rsidP="00C4299E">
            <w:pPr>
              <w:pStyle w:val="List"/>
            </w:pPr>
            <w:r w:rsidRPr="00C4299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C4299E">
            <w:pPr>
              <w:pStyle w:val="List"/>
              <w:rPr>
                <w:lang w:val="en-NZ"/>
              </w:rPr>
            </w:pPr>
            <w:r w:rsidRPr="00C4299E">
              <w:rPr>
                <w:rStyle w:val="SpecialBold"/>
              </w:rPr>
              <w:t>PERFORMANCE CRITERIA</w:t>
            </w:r>
          </w:p>
        </w:tc>
      </w:tr>
      <w:tr w:rsidTr="00DF783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4299E">
            <w:pPr>
              <w:pStyle w:val="List"/>
              <w:rPr>
                <w:lang w:val="en-NZ"/>
              </w:rPr>
            </w:pPr>
            <w:r w:rsidRPr="00C4299E">
              <w:rPr>
                <w:rStyle w:val="SpecialBold"/>
              </w:rPr>
              <w:t>1</w:t>
            </w:r>
            <w:r w:rsidRPr="00C4299E">
              <w:tab/>
            </w:r>
            <w:r w:rsidRPr="00C4299E">
              <w:rPr>
                <w:rStyle w:val="SpecialBold"/>
              </w:rPr>
              <w:t>Prepare to load and unload vehicle</w:t>
            </w:r>
          </w:p>
        </w:tc>
        <w:tc>
          <w:tcPr>
            <w:tcW w:w="6662" w:type="dxa"/>
            <w:tcBorders>
              <w:top w:val="nil"/>
              <w:left w:val="nil"/>
              <w:bottom w:val="nil"/>
              <w:right w:val="nil"/>
            </w:tcBorders>
            <w:tcMar>
              <w:top w:w="0" w:type="dxa"/>
              <w:left w:w="62" w:type="dxa"/>
              <w:bottom w:w="0" w:type="dxa"/>
              <w:right w:w="62" w:type="dxa"/>
            </w:tcMar>
          </w:tcPr>
          <w:p w:rsidR="00000000" w:rsidRPr="00C4299E" w:rsidP="00C4299E">
            <w:pPr>
              <w:pStyle w:val="List"/>
            </w:pPr>
            <w:r w:rsidRPr="00C4299E">
              <w:t>1.1</w:t>
            </w:r>
            <w:r w:rsidRPr="00C4299E">
              <w:tab/>
            </w:r>
            <w:r w:rsidRPr="00C4299E">
              <w:t>Explosives and/or dangerous goods are identified and their characteristics taken into account when determining appropriate handling, loading and storage procedures including confirmation that the relevant emergency procedures are being carried out</w:t>
            </w:r>
          </w:p>
          <w:p w:rsidR="00000000" w:rsidRPr="00C4299E" w:rsidP="00C4299E">
            <w:pPr>
              <w:pStyle w:val="List"/>
            </w:pPr>
            <w:r w:rsidRPr="00C4299E">
              <w:t>1.2</w:t>
            </w:r>
            <w:r w:rsidRPr="00C4299E">
              <w:tab/>
              <w:t>Comp</w:t>
            </w:r>
            <w:r w:rsidRPr="00C4299E">
              <w:t>atibility of explosives and/or dangerous goods is taken into account when assembling and segregating cargo for loading</w:t>
            </w:r>
          </w:p>
          <w:p w:rsidR="00000000" w:rsidP="00C4299E">
            <w:pPr>
              <w:pStyle w:val="List"/>
              <w:rPr>
                <w:lang w:val="en-NZ"/>
              </w:rPr>
            </w:pPr>
            <w:r w:rsidRPr="00C4299E">
              <w:t>1.3</w:t>
            </w:r>
            <w:r w:rsidRPr="00C4299E">
              <w:tab/>
              <w:t>Vehicle and/or loading equipment is checked to ensure it is suitable to handle/carry load</w:t>
            </w:r>
          </w:p>
        </w:tc>
      </w:tr>
      <w:tr w:rsidTr="00DF783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4299E">
            <w:pPr>
              <w:pStyle w:val="List"/>
              <w:rPr>
                <w:lang w:val="en-NZ"/>
              </w:rPr>
            </w:pPr>
            <w:r w:rsidRPr="00C4299E">
              <w:rPr>
                <w:rStyle w:val="SpecialBold"/>
              </w:rPr>
              <w:t>2</w:t>
            </w:r>
            <w:r w:rsidRPr="00C4299E">
              <w:tab/>
            </w:r>
            <w:r w:rsidRPr="00C4299E">
              <w:rPr>
                <w:rStyle w:val="SpecialBold"/>
              </w:rPr>
              <w:t>Load</w:t>
            </w:r>
            <w:r w:rsidRPr="00C4299E">
              <w:t>/</w:t>
            </w:r>
            <w:r w:rsidRPr="00C4299E">
              <w:rPr>
                <w:rStyle w:val="SpecialBold"/>
              </w:rPr>
              <w:t>unload vehicle</w:t>
            </w:r>
          </w:p>
        </w:tc>
        <w:tc>
          <w:tcPr>
            <w:tcW w:w="6662" w:type="dxa"/>
            <w:tcBorders>
              <w:top w:val="nil"/>
              <w:left w:val="nil"/>
              <w:bottom w:val="nil"/>
              <w:right w:val="nil"/>
            </w:tcBorders>
            <w:tcMar>
              <w:top w:w="0" w:type="dxa"/>
              <w:left w:w="62" w:type="dxa"/>
              <w:bottom w:w="0" w:type="dxa"/>
              <w:right w:w="62" w:type="dxa"/>
            </w:tcMar>
          </w:tcPr>
          <w:p w:rsidR="00000000" w:rsidRPr="00C4299E" w:rsidP="00C4299E">
            <w:pPr>
              <w:pStyle w:val="List"/>
            </w:pPr>
            <w:r w:rsidRPr="00C4299E">
              <w:t>2.1</w:t>
            </w:r>
            <w:r w:rsidRPr="00C4299E">
              <w:tab/>
              <w:t>Vehicle is loade</w:t>
            </w:r>
            <w:r w:rsidRPr="00C4299E">
              <w:t>d/unloaded in accordance with workplace procedures and the current ADG/Australian Explosives Code as applicable</w:t>
            </w:r>
          </w:p>
          <w:p w:rsidR="00000000" w:rsidRPr="00C4299E" w:rsidP="00C4299E">
            <w:pPr>
              <w:pStyle w:val="List"/>
            </w:pPr>
            <w:r w:rsidRPr="00C4299E">
              <w:t>2.2</w:t>
            </w:r>
            <w:r w:rsidRPr="00C4299E">
              <w:tab/>
              <w:t>The load is segregated according to class and subsidiary risk, and the distribution of the load is checked in accordance with workplace proc</w:t>
            </w:r>
            <w:r w:rsidRPr="00C4299E">
              <w:t>edures, relevant mass and loading regulations and the current ADG/Australian Explosives Code as applicable</w:t>
            </w:r>
          </w:p>
          <w:p w:rsidR="00000000" w:rsidRPr="00C4299E" w:rsidP="00C4299E">
            <w:pPr>
              <w:pStyle w:val="List"/>
            </w:pPr>
            <w:r w:rsidRPr="00C4299E">
              <w:t>2.3</w:t>
            </w:r>
            <w:r w:rsidRPr="00C4299E">
              <w:tab/>
              <w:t>Personal protective equipment is used during the loading/unloading operations as required for the type of dangerous goods/explosive concerned</w:t>
            </w:r>
          </w:p>
          <w:p w:rsidR="00000000" w:rsidP="00C4299E">
            <w:pPr>
              <w:pStyle w:val="List"/>
              <w:rPr>
                <w:lang w:val="en-NZ"/>
              </w:rPr>
            </w:pPr>
            <w:r w:rsidRPr="00C4299E">
              <w:t>2.4</w:t>
            </w:r>
            <w:r w:rsidRPr="00C4299E">
              <w:tab/>
              <w:t>Emergency procedures are followed in the event of an incident or accident when loading or unloading explosives and/or dangerous goods</w:t>
            </w:r>
          </w:p>
        </w:tc>
      </w:tr>
      <w:tr w:rsidTr="00DF783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4299E">
            <w:pPr>
              <w:pStyle w:val="List"/>
              <w:rPr>
                <w:lang w:val="en-NZ"/>
              </w:rPr>
            </w:pPr>
            <w:r w:rsidRPr="00C4299E">
              <w:rPr>
                <w:rStyle w:val="SpecialBold"/>
              </w:rPr>
              <w:t>3</w:t>
            </w:r>
            <w:r w:rsidRPr="00C4299E">
              <w:tab/>
            </w:r>
            <w:r w:rsidRPr="00C4299E">
              <w:rPr>
                <w:rStyle w:val="SpecialBold"/>
              </w:rPr>
              <w:t>Secure and protect vehicle load</w:t>
            </w:r>
          </w:p>
        </w:tc>
        <w:tc>
          <w:tcPr>
            <w:tcW w:w="6662" w:type="dxa"/>
            <w:tcBorders>
              <w:top w:val="nil"/>
              <w:left w:val="nil"/>
              <w:bottom w:val="nil"/>
              <w:right w:val="nil"/>
            </w:tcBorders>
            <w:tcMar>
              <w:top w:w="0" w:type="dxa"/>
              <w:left w:w="62" w:type="dxa"/>
              <w:bottom w:w="0" w:type="dxa"/>
              <w:right w:w="62" w:type="dxa"/>
            </w:tcMar>
          </w:tcPr>
          <w:p w:rsidR="00000000" w:rsidRPr="00C4299E" w:rsidP="00C4299E">
            <w:pPr>
              <w:pStyle w:val="List"/>
            </w:pPr>
            <w:r w:rsidRPr="00C4299E">
              <w:t>3.1</w:t>
            </w:r>
            <w:r w:rsidRPr="00C4299E">
              <w:tab/>
              <w:t>The vehicle load is secured using the correct load restraint and protection equipm</w:t>
            </w:r>
            <w:r w:rsidRPr="00C4299E">
              <w:t>ent for different loads, vehicles and carriage conditions concerned</w:t>
            </w:r>
          </w:p>
          <w:p w:rsidR="00000000" w:rsidRPr="00C4299E" w:rsidP="00C4299E">
            <w:pPr>
              <w:pStyle w:val="List"/>
            </w:pPr>
            <w:r w:rsidRPr="00C4299E">
              <w:t>3.2</w:t>
            </w:r>
            <w:r w:rsidRPr="00C4299E">
              <w:tab/>
              <w:t>The load is protected in accordance with legal and workplace safety requirements</w:t>
            </w:r>
          </w:p>
          <w:p w:rsidR="00000000" w:rsidRPr="00C4299E" w:rsidP="00C4299E">
            <w:pPr>
              <w:pStyle w:val="List"/>
            </w:pPr>
            <w:r w:rsidRPr="00C4299E">
              <w:t>3.3</w:t>
            </w:r>
            <w:r w:rsidRPr="00C4299E">
              <w:tab/>
              <w:t>The distribution of the load is checked to ensure that it is even, legal and within the safe workin</w:t>
            </w:r>
            <w:r w:rsidRPr="00C4299E">
              <w:t>g capacity of the vehicle</w:t>
            </w:r>
          </w:p>
          <w:p w:rsidR="00000000" w:rsidP="00C4299E">
            <w:pPr>
              <w:pStyle w:val="List"/>
              <w:rPr>
                <w:lang w:val="en-NZ"/>
              </w:rPr>
            </w:pPr>
            <w:r w:rsidRPr="00C4299E">
              <w:t>3.4</w:t>
            </w:r>
            <w:r w:rsidRPr="00C4299E">
              <w:tab/>
              <w:t>Vehicle is clearly marked/placarded to indicate the carriage of explosives and/or dangerous goods, in accordance with government regulations and company procedures</w:t>
            </w:r>
          </w:p>
        </w:tc>
      </w:tr>
      <w:tr w:rsidTr="00DF783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4299E">
            <w:pPr>
              <w:pStyle w:val="List"/>
              <w:rPr>
                <w:lang w:val="en-NZ"/>
              </w:rPr>
            </w:pPr>
            <w:r w:rsidRPr="00C4299E">
              <w:rPr>
                <w:rStyle w:val="SpecialBold"/>
              </w:rPr>
              <w:t>4</w:t>
            </w:r>
            <w:r w:rsidRPr="00C4299E">
              <w:tab/>
            </w:r>
            <w:r w:rsidRPr="00C4299E">
              <w:rPr>
                <w:rStyle w:val="SpecialBold"/>
              </w:rPr>
              <w:t>Check the vehicle</w:t>
            </w:r>
          </w:p>
        </w:tc>
        <w:tc>
          <w:tcPr>
            <w:tcW w:w="6662" w:type="dxa"/>
            <w:tcBorders>
              <w:top w:val="nil"/>
              <w:left w:val="nil"/>
              <w:bottom w:val="nil"/>
              <w:right w:val="nil"/>
            </w:tcBorders>
            <w:tcMar>
              <w:top w:w="0" w:type="dxa"/>
              <w:left w:w="62" w:type="dxa"/>
              <w:bottom w:w="0" w:type="dxa"/>
              <w:right w:w="62" w:type="dxa"/>
            </w:tcMar>
          </w:tcPr>
          <w:p w:rsidR="00000000" w:rsidRPr="00C4299E" w:rsidP="00C4299E">
            <w:pPr>
              <w:pStyle w:val="List"/>
            </w:pPr>
            <w:r w:rsidRPr="00C4299E">
              <w:t>4.1</w:t>
            </w:r>
            <w:r w:rsidRPr="00C4299E">
              <w:tab/>
            </w:r>
            <w:r w:rsidRPr="00C4299E">
              <w:t>The loaded vehicle is inspected and checked to ensure that it is suitable to carry explosives and/or dangerous goods and the load weight and dimensions are within the vehicle's safe carrying capacity and equipment capability</w:t>
            </w:r>
          </w:p>
          <w:p w:rsidR="00000000" w:rsidRPr="00C4299E" w:rsidP="00C4299E">
            <w:pPr>
              <w:pStyle w:val="List"/>
            </w:pPr>
            <w:r w:rsidRPr="00C4299E">
              <w:t>4.2</w:t>
            </w:r>
            <w:r w:rsidRPr="00C4299E">
              <w:tab/>
              <w:t>The loaded vehicle is check</w:t>
            </w:r>
            <w:r w:rsidRPr="00C4299E">
              <w:t>ed to ensure that it can be safely parked and secured</w:t>
            </w:r>
          </w:p>
          <w:p w:rsidR="00000000" w:rsidRPr="00C4299E" w:rsidP="00C4299E">
            <w:pPr>
              <w:pStyle w:val="List"/>
            </w:pPr>
            <w:r w:rsidRPr="00C4299E">
              <w:t>4.3</w:t>
            </w:r>
            <w:r w:rsidRPr="00C4299E">
              <w:tab/>
              <w:t>Dangerous goods declaration and all required transportation documentation for the cargo is completed in accordance with workplace requirements</w:t>
            </w:r>
          </w:p>
        </w:tc>
      </w:tr>
    </w:tbl>
    <w:p w:rsidR="00DF783B" w:rsidP="00C4299E">
      <w:pPr>
        <w:pStyle w:val="BodyText"/>
      </w:pPr>
    </w:p>
    <w:p w:rsidR="00DF783B" w:rsidP="00C4299E">
      <w:pPr>
        <w:pStyle w:val="BodyText"/>
      </w:pPr>
    </w:p>
    <w:p w:rsidR="00000000" w:rsidRPr="00C4299E" w:rsidP="00C4299E">
      <w:pPr>
        <w:pStyle w:val="Heading1"/>
      </w:pPr>
      <w:bookmarkStart w:id="9" w:name="O_262556"/>
      <w:bookmarkEnd w:id="9"/>
      <w:r w:rsidRPr="00C4299E">
        <w:t>Required Skills and Knowledge</w:t>
      </w:r>
    </w:p>
    <w:tbl>
      <w:tblPr>
        <w:tblW w:w="9640" w:type="dxa"/>
        <w:tblLayout w:type="fixed"/>
        <w:tblCellMar>
          <w:left w:w="62" w:type="dxa"/>
          <w:right w:w="62" w:type="dxa"/>
        </w:tblCellMar>
        <w:tblLook w:val="0000"/>
      </w:tblPr>
      <w:tblGrid>
        <w:gridCol w:w="9640"/>
      </w:tblGrid>
      <w:tr w:rsidTr="00DF783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4299E">
            <w:pPr>
              <w:pStyle w:val="BodyText"/>
              <w:rPr>
                <w:lang w:val="en-NZ"/>
              </w:rPr>
            </w:pPr>
            <w:r w:rsidRPr="00C4299E">
              <w:rPr>
                <w:rStyle w:val="SpecialBold"/>
              </w:rPr>
              <w:t>REQ</w:t>
            </w:r>
            <w:r w:rsidRPr="00C4299E">
              <w:rPr>
                <w:rStyle w:val="SpecialBold"/>
              </w:rPr>
              <w:t>UIRED KNOWLEDGE AND SKILLS</w:t>
            </w:r>
          </w:p>
        </w:tc>
      </w:tr>
      <w:tr w:rsidTr="00DF78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99E">
            <w:pPr>
              <w:pStyle w:val="BodyText"/>
              <w:rPr>
                <w:lang w:val="en-NZ"/>
              </w:rPr>
            </w:pPr>
            <w:r w:rsidRPr="00C4299E">
              <w:t>This describes the essential knowledge and skills and their level required for this unit.</w:t>
            </w:r>
          </w:p>
        </w:tc>
      </w:tr>
      <w:tr w:rsidTr="00DF78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99E">
            <w:pPr>
              <w:pStyle w:val="BodyText"/>
              <w:rPr>
                <w:lang w:val="en-NZ"/>
              </w:rPr>
            </w:pPr>
            <w:r w:rsidRPr="00C4299E">
              <w:rPr>
                <w:rStyle w:val="SpecialBold"/>
              </w:rPr>
              <w:t>Required knowledge</w:t>
            </w:r>
            <w:r w:rsidRPr="00C4299E">
              <w:t>:</w:t>
            </w:r>
          </w:p>
        </w:tc>
      </w:tr>
      <w:tr w:rsidTr="00DF78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99E">
            <w:pPr>
              <w:pStyle w:val="ListBullet"/>
              <w:rPr>
                <w:lang w:val="en-NZ"/>
              </w:rPr>
            </w:pPr>
            <w:r w:rsidRPr="00C4299E">
              <w:t xml:space="preserve">Relevant Australian and state/territory regulations and codes pertaining to the </w:t>
            </w:r>
            <w:r w:rsidRPr="00C4299E">
              <w:t>identification, handling and marking of explosives and dangerous goods</w:t>
            </w:r>
          </w:p>
        </w:tc>
      </w:tr>
      <w:tr w:rsidTr="00DF78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99E">
            <w:pPr>
              <w:pStyle w:val="ListBullet"/>
              <w:rPr>
                <w:lang w:val="en-NZ"/>
              </w:rPr>
            </w:pPr>
            <w:r w:rsidRPr="00C4299E">
              <w:t>Relevant state/territory mass and loading regulations</w:t>
            </w:r>
          </w:p>
        </w:tc>
      </w:tr>
      <w:tr w:rsidTr="00DF78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99E">
            <w:pPr>
              <w:pStyle w:val="ListBullet"/>
              <w:rPr>
                <w:lang w:val="en-NZ"/>
              </w:rPr>
            </w:pPr>
            <w:r w:rsidRPr="00C4299E">
              <w:t>OH&amp;S procedures and guidelines concerning the lifting and movement of loads</w:t>
            </w:r>
          </w:p>
        </w:tc>
      </w:tr>
      <w:tr w:rsidTr="00DF78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99E">
            <w:pPr>
              <w:pStyle w:val="ListBullet"/>
              <w:rPr>
                <w:lang w:val="en-NZ"/>
              </w:rPr>
            </w:pPr>
            <w:r w:rsidRPr="00C4299E">
              <w:t>Risks and hazards when loading, unloading and handling explosives and dangerous goods, and related precautions to control the risk</w:t>
            </w:r>
          </w:p>
        </w:tc>
      </w:tr>
      <w:tr w:rsidTr="00DF78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99E">
            <w:pPr>
              <w:pStyle w:val="ListBullet"/>
              <w:rPr>
                <w:lang w:val="en-NZ"/>
              </w:rPr>
            </w:pPr>
            <w:r w:rsidRPr="00C4299E">
              <w:t>Workplace procedures and policies for the loading and unloading of explosives and dangerous goods</w:t>
            </w:r>
          </w:p>
        </w:tc>
      </w:tr>
      <w:tr w:rsidTr="00DF78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99E">
            <w:pPr>
              <w:pStyle w:val="ListBullet"/>
              <w:rPr>
                <w:lang w:val="en-NZ"/>
              </w:rPr>
            </w:pPr>
            <w:r w:rsidRPr="00C4299E">
              <w:t>Characteristics of vari</w:t>
            </w:r>
            <w:r w:rsidRPr="00C4299E">
              <w:t>ous classes of explosives and dangerous goods relevant to handling and transport</w:t>
            </w:r>
          </w:p>
        </w:tc>
      </w:tr>
      <w:tr w:rsidTr="00DF78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99E">
            <w:pPr>
              <w:pStyle w:val="ListBullet"/>
              <w:rPr>
                <w:lang w:val="en-NZ"/>
              </w:rPr>
            </w:pPr>
            <w:r w:rsidRPr="00C4299E">
              <w:t>Compatibility of various types of explosives and dangerous goods</w:t>
            </w:r>
          </w:p>
        </w:tc>
      </w:tr>
      <w:tr w:rsidTr="00DF78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99E">
            <w:pPr>
              <w:pStyle w:val="ListBullet"/>
              <w:rPr>
                <w:lang w:val="en-NZ"/>
              </w:rPr>
            </w:pPr>
            <w:r w:rsidRPr="00C4299E">
              <w:t>Housekeeping standards procedures required in the workplace</w:t>
            </w:r>
          </w:p>
        </w:tc>
      </w:tr>
      <w:tr w:rsidTr="00DF78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99E">
            <w:pPr>
              <w:pStyle w:val="ListBullet"/>
              <w:rPr>
                <w:lang w:val="en-NZ"/>
              </w:rPr>
            </w:pPr>
            <w:r w:rsidRPr="00C4299E">
              <w:t>Manual handling techniques and manually-oper</w:t>
            </w:r>
            <w:r w:rsidRPr="00C4299E">
              <w:t>ated load shifting equipment required for the loading, unloading and handling of explosives and dangerous goods</w:t>
            </w:r>
          </w:p>
        </w:tc>
      </w:tr>
      <w:tr w:rsidTr="00DF78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99E">
            <w:pPr>
              <w:pStyle w:val="ListBullet"/>
              <w:rPr>
                <w:lang w:val="en-NZ"/>
              </w:rPr>
            </w:pPr>
            <w:r w:rsidRPr="00C4299E">
              <w:t>Methods of securing a load on a vehicle</w:t>
            </w:r>
          </w:p>
        </w:tc>
      </w:tr>
      <w:tr w:rsidTr="00DF78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4299E" w:rsidP="00C4299E">
            <w:pPr>
              <w:pStyle w:val="ListBullet"/>
            </w:pPr>
            <w:r w:rsidRPr="00C4299E">
              <w:t>Methods of placarding or marking a vehicle carrying explosives/dangerous goods</w:t>
            </w:r>
          </w:p>
        </w:tc>
      </w:tr>
    </w:tbl>
    <w:p w:rsidR="00000000" w:rsidRPr="00C4299E" w:rsidP="00C4299E">
      <w:pPr>
        <w:pStyle w:val="BodyText"/>
      </w:pPr>
    </w:p>
    <w:tbl>
      <w:tblPr>
        <w:tblW w:w="9640" w:type="dxa"/>
        <w:tblLayout w:type="fixed"/>
        <w:tblCellMar>
          <w:left w:w="62" w:type="dxa"/>
          <w:right w:w="62" w:type="dxa"/>
        </w:tblCellMar>
        <w:tblLook w:val="0000"/>
      </w:tblPr>
      <w:tblGrid>
        <w:gridCol w:w="9640"/>
      </w:tblGrid>
      <w:tr w:rsidTr="00DF783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4299E">
            <w:pPr>
              <w:pStyle w:val="BodyText"/>
              <w:rPr>
                <w:lang w:val="en-NZ"/>
              </w:rPr>
            </w:pPr>
            <w:r w:rsidRPr="00C4299E">
              <w:rPr>
                <w:rStyle w:val="SpecialBold"/>
              </w:rPr>
              <w:t>Required skills</w:t>
            </w:r>
            <w:r w:rsidRPr="00C4299E">
              <w:t>:</w:t>
            </w:r>
          </w:p>
        </w:tc>
      </w:tr>
      <w:tr w:rsidTr="00DF78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99E">
            <w:pPr>
              <w:pStyle w:val="ListBullet"/>
              <w:rPr>
                <w:lang w:val="en-NZ"/>
              </w:rPr>
            </w:pPr>
            <w:r w:rsidRPr="00C4299E">
              <w:t>Communicate effectively with others when loading, unloading and handling explosives and dangerous goods</w:t>
            </w:r>
          </w:p>
        </w:tc>
      </w:tr>
      <w:tr w:rsidTr="00DF78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99E">
            <w:pPr>
              <w:pStyle w:val="ListBullet"/>
              <w:rPr>
                <w:lang w:val="en-NZ"/>
              </w:rPr>
            </w:pPr>
            <w:r w:rsidRPr="00C4299E">
              <w:t>Read and interpret instructions, procedures, information and signs relevant to the loading, unloading and handling of explosives and dangerous goods</w:t>
            </w:r>
          </w:p>
        </w:tc>
      </w:tr>
      <w:tr w:rsidTr="00DF78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99E">
            <w:pPr>
              <w:pStyle w:val="ListBullet"/>
              <w:rPr>
                <w:lang w:val="en-NZ"/>
              </w:rPr>
            </w:pPr>
            <w:r w:rsidRPr="00C4299E">
              <w:t>Identify and interpret containers and goods coding, markings and, where applicable, emergency information panels for the mode of transport/storage selected</w:t>
            </w:r>
          </w:p>
        </w:tc>
      </w:tr>
      <w:tr w:rsidTr="00DF78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99E">
            <w:pPr>
              <w:pStyle w:val="ListBullet"/>
              <w:rPr>
                <w:lang w:val="en-NZ"/>
              </w:rPr>
            </w:pPr>
            <w:r w:rsidRPr="00C4299E">
              <w:t>Interpret and follow operational instructions and prioritise work</w:t>
            </w:r>
          </w:p>
        </w:tc>
      </w:tr>
      <w:tr w:rsidTr="00DF78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99E">
            <w:pPr>
              <w:pStyle w:val="ListBullet"/>
              <w:rPr>
                <w:lang w:val="en-NZ"/>
              </w:rPr>
            </w:pPr>
            <w:r w:rsidRPr="00C4299E">
              <w:t>Complete documentation related to work activities</w:t>
            </w:r>
          </w:p>
        </w:tc>
      </w:tr>
      <w:tr w:rsidTr="00DF78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99E">
            <w:pPr>
              <w:pStyle w:val="ListBullet"/>
              <w:rPr>
                <w:lang w:val="en-NZ"/>
              </w:rPr>
            </w:pPr>
            <w:r w:rsidRPr="00C4299E">
              <w:t>Operate electronic communication equipment to required protocol</w:t>
            </w:r>
          </w:p>
        </w:tc>
      </w:tr>
      <w:tr w:rsidTr="00DF78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99E">
            <w:pPr>
              <w:pStyle w:val="ListBullet"/>
              <w:rPr>
                <w:lang w:val="en-NZ"/>
              </w:rPr>
            </w:pPr>
            <w:r w:rsidRPr="00C4299E">
              <w:t>Estimate the size, shape and special requirements of loads</w:t>
            </w:r>
          </w:p>
        </w:tc>
      </w:tr>
      <w:tr w:rsidTr="00DF78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99E">
            <w:pPr>
              <w:pStyle w:val="ListBullet"/>
              <w:rPr>
                <w:lang w:val="en-NZ"/>
              </w:rPr>
            </w:pPr>
            <w:r w:rsidRPr="00C4299E">
              <w:t>Work collaboratively with others when loading, unloading and handling explosi</w:t>
            </w:r>
            <w:r w:rsidRPr="00C4299E">
              <w:t>ves and dangerous goods</w:t>
            </w:r>
          </w:p>
        </w:tc>
      </w:tr>
      <w:tr w:rsidTr="00DF78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99E">
            <w:pPr>
              <w:pStyle w:val="ListBullet"/>
              <w:rPr>
                <w:lang w:val="en-NZ"/>
              </w:rPr>
            </w:pPr>
            <w:r w:rsidRPr="00C4299E">
              <w:t>Adapt appropriately to cultural differences in the workplace, including modes of behaviour and interactions with others</w:t>
            </w:r>
          </w:p>
        </w:tc>
      </w:tr>
      <w:tr w:rsidTr="00DF78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99E">
            <w:pPr>
              <w:pStyle w:val="ListBullet"/>
              <w:rPr>
                <w:lang w:val="en-NZ"/>
              </w:rPr>
            </w:pPr>
            <w:r w:rsidRPr="00C4299E">
              <w:t>Promptly report and/or rectify any identified problems, faults or malfunctions in accordance with regulatory</w:t>
            </w:r>
            <w:r w:rsidRPr="00C4299E">
              <w:t xml:space="preserve"> requirements and workplace procedures</w:t>
            </w:r>
          </w:p>
        </w:tc>
      </w:tr>
      <w:tr w:rsidTr="00DF78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99E">
            <w:pPr>
              <w:pStyle w:val="ListBullet"/>
              <w:rPr>
                <w:lang w:val="en-NZ"/>
              </w:rPr>
            </w:pPr>
            <w:r w:rsidRPr="00C4299E">
              <w:t>Implement contingency plans for unexpected events when loading, unloading and handling explosives and dangerous goods</w:t>
            </w:r>
          </w:p>
        </w:tc>
      </w:tr>
      <w:tr w:rsidTr="00DF78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99E">
            <w:pPr>
              <w:pStyle w:val="ListBullet"/>
              <w:rPr>
                <w:lang w:val="en-NZ"/>
              </w:rPr>
            </w:pPr>
            <w:r w:rsidRPr="00C4299E">
              <w:t xml:space="preserve">Apply precautions and required action to minimise, control or eliminate hazards </w:t>
            </w:r>
            <w:r w:rsidRPr="00C4299E">
              <w:t>that may exist during the loading, unloading and handling of explosives and dangerous goods</w:t>
            </w:r>
          </w:p>
        </w:tc>
      </w:tr>
      <w:tr w:rsidTr="00DF78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99E">
            <w:pPr>
              <w:pStyle w:val="ListBullet"/>
              <w:rPr>
                <w:lang w:val="en-NZ"/>
              </w:rPr>
            </w:pPr>
            <w:r w:rsidRPr="00C4299E">
              <w:t>Monitor work activities in terms of planned schedule</w:t>
            </w:r>
          </w:p>
        </w:tc>
      </w:tr>
      <w:tr w:rsidTr="00DF78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99E">
            <w:pPr>
              <w:pStyle w:val="ListBullet"/>
              <w:rPr>
                <w:lang w:val="en-NZ"/>
              </w:rPr>
            </w:pPr>
            <w:r w:rsidRPr="00C4299E">
              <w:t>Modify activities depending on differing operational contingencies, risk situations and environments</w:t>
            </w:r>
          </w:p>
        </w:tc>
      </w:tr>
      <w:tr w:rsidTr="00DF78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99E">
            <w:pPr>
              <w:pStyle w:val="ListBullet"/>
              <w:rPr>
                <w:lang w:val="en-NZ"/>
              </w:rPr>
            </w:pPr>
            <w:r w:rsidRPr="00C4299E">
              <w:t>Work</w:t>
            </w:r>
            <w:r w:rsidRPr="00C4299E">
              <w:t xml:space="preserve"> systematically with required attention to detail without injury to self or others, or damage to goods or equipment</w:t>
            </w:r>
          </w:p>
        </w:tc>
      </w:tr>
      <w:tr w:rsidTr="00DF78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99E">
            <w:pPr>
              <w:pStyle w:val="ListBullet"/>
              <w:rPr>
                <w:lang w:val="en-NZ"/>
              </w:rPr>
            </w:pPr>
            <w:r w:rsidRPr="00C4299E">
              <w:t>Operate and adapt to differences in equipment in accordance with standard operating procedures</w:t>
            </w:r>
          </w:p>
        </w:tc>
      </w:tr>
      <w:tr w:rsidTr="00DF78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299E">
            <w:pPr>
              <w:pStyle w:val="ListBullet"/>
              <w:rPr>
                <w:lang w:val="en-NZ"/>
              </w:rPr>
            </w:pPr>
            <w:r w:rsidRPr="00C4299E">
              <w:t>Use manual handling techniques and operat</w:t>
            </w:r>
            <w:r w:rsidRPr="00C4299E">
              <w:t>e manually-operated load shifting equipment when loading, unloading and handling explosives and dangerous goods</w:t>
            </w:r>
          </w:p>
        </w:tc>
      </w:tr>
      <w:tr w:rsidTr="00DF78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4299E" w:rsidP="00C4299E">
            <w:pPr>
              <w:pStyle w:val="ListBullet"/>
            </w:pPr>
            <w:r w:rsidRPr="00C4299E">
              <w:t>Select and use required personal protective equipment conforming to industry and OH&amp;S standards</w:t>
            </w:r>
          </w:p>
        </w:tc>
      </w:tr>
    </w:tbl>
    <w:p w:rsidR="00DF783B" w:rsidP="00C4299E">
      <w:pPr>
        <w:pStyle w:val="BodyText"/>
      </w:pPr>
    </w:p>
    <w:p w:rsidR="00DF783B" w:rsidP="00C4299E">
      <w:pPr>
        <w:pStyle w:val="BodyText"/>
      </w:pPr>
    </w:p>
    <w:p w:rsidR="00000000" w:rsidRPr="00C4299E" w:rsidP="00C4299E">
      <w:pPr>
        <w:pStyle w:val="Heading1"/>
      </w:pPr>
      <w:bookmarkStart w:id="10" w:name="O_246749"/>
      <w:bookmarkEnd w:id="10"/>
      <w:r w:rsidRPr="00C4299E">
        <w:t>Evidence Guide</w:t>
      </w:r>
    </w:p>
    <w:tbl>
      <w:tblPr>
        <w:tblW w:w="9499" w:type="dxa"/>
        <w:tblLayout w:type="fixed"/>
        <w:tblCellMar>
          <w:left w:w="62" w:type="dxa"/>
          <w:right w:w="62" w:type="dxa"/>
        </w:tblCellMar>
        <w:tblLook w:val="0000"/>
      </w:tblPr>
      <w:tblGrid>
        <w:gridCol w:w="3524"/>
        <w:gridCol w:w="5975"/>
      </w:tblGrid>
      <w:tr w:rsidTr="00DF783B">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C4299E">
            <w:pPr>
              <w:pStyle w:val="BodyText"/>
              <w:rPr>
                <w:lang w:val="en-NZ"/>
              </w:rPr>
            </w:pPr>
            <w:r w:rsidRPr="00C4299E">
              <w:rPr>
                <w:rStyle w:val="SpecialBold"/>
              </w:rPr>
              <w:t>EVIDENCE GUIDE</w:t>
            </w:r>
          </w:p>
        </w:tc>
      </w:tr>
      <w:tr w:rsidTr="00DF783B">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C4299E">
            <w:pPr>
              <w:pStyle w:val="BodyText"/>
              <w:rPr>
                <w:lang w:val="en-NZ"/>
              </w:rPr>
            </w:pPr>
            <w:r w:rsidRPr="00C4299E">
              <w:t>The evidence guide provides advice on assessment and must be read in conjunction with the performance criteria, required knowledge and skills, the range statement and the assessment guidelines for this Training Package.</w:t>
            </w:r>
          </w:p>
        </w:tc>
      </w:tr>
      <w:tr w:rsidTr="00DF783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4299E">
            <w:pPr>
              <w:pStyle w:val="BodyText"/>
              <w:rPr>
                <w:lang w:val="en-NZ"/>
              </w:rPr>
            </w:pPr>
            <w:r w:rsidRPr="00C4299E">
              <w:rPr>
                <w:rStyle w:val="SpecialBold"/>
              </w:rPr>
              <w:t xml:space="preserve">Critical aspects </w:t>
            </w:r>
            <w:r w:rsidRPr="00C4299E">
              <w:rPr>
                <w:rStyle w:val="SpecialBold"/>
              </w:rPr>
              <w:t>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C4299E" w:rsidP="00C4299E">
            <w:pPr>
              <w:pStyle w:val="ListBullet"/>
            </w:pPr>
            <w:r w:rsidRPr="00C4299E">
              <w:t>The evidence required to demonstrate competency in this unit must be relevant to and satisfy all of the requirements of the elements and performance criteria of this unit and incl</w:t>
            </w:r>
            <w:r w:rsidRPr="00C4299E">
              <w:t>ude demonstration of:</w:t>
            </w:r>
          </w:p>
          <w:p w:rsidR="00000000" w:rsidRPr="00C4299E" w:rsidP="00C4299E">
            <w:pPr>
              <w:pStyle w:val="ListBullet2"/>
            </w:pPr>
            <w:r w:rsidRPr="00C4299E">
              <w:t>identifying load characteristics, loading equipment and related practices</w:t>
            </w:r>
          </w:p>
          <w:p w:rsidR="00000000" w:rsidRPr="00C4299E" w:rsidP="00C4299E">
            <w:pPr>
              <w:pStyle w:val="ListBullet2"/>
            </w:pPr>
            <w:r w:rsidRPr="00C4299E">
              <w:t>identifying load label in accordance with identified classification and subsidiary risk information</w:t>
            </w:r>
          </w:p>
          <w:p w:rsidR="00000000" w:rsidRPr="00C4299E" w:rsidP="00C4299E">
            <w:pPr>
              <w:pStyle w:val="ListBullet2"/>
            </w:pPr>
            <w:r w:rsidRPr="00C4299E">
              <w:t>identifying markings/placards for vehicle in accordance with relevant regulatory requirements</w:t>
            </w:r>
          </w:p>
          <w:p w:rsidR="00000000" w:rsidRPr="00C4299E" w:rsidP="00C4299E">
            <w:pPr>
              <w:pStyle w:val="ListBullet2"/>
            </w:pPr>
            <w:r w:rsidRPr="00C4299E">
              <w:t>segregating, distributing and securing load for safe transport in accordance with regulations and current ADG/AEG Code requirements</w:t>
            </w:r>
          </w:p>
          <w:p w:rsidR="00000000" w:rsidP="00C4299E">
            <w:pPr>
              <w:pStyle w:val="ListBullet2"/>
              <w:rPr>
                <w:lang w:val="en-NZ"/>
              </w:rPr>
            </w:pPr>
            <w:r w:rsidRPr="00C4299E">
              <w:t>safely loading and unloading e</w:t>
            </w:r>
            <w:r w:rsidRPr="00C4299E">
              <w:t>xplosives and dangerous goods in accordance with workplace procedures and current ADG/AEG Code requirements</w:t>
            </w:r>
          </w:p>
        </w:tc>
      </w:tr>
      <w:tr w:rsidTr="00DF783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4299E">
            <w:pPr>
              <w:pStyle w:val="BodyText"/>
              <w:rPr>
                <w:lang w:val="en-NZ"/>
              </w:rPr>
            </w:pPr>
            <w:r w:rsidRPr="00C4299E">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C4299E" w:rsidP="00C4299E">
            <w:pPr>
              <w:pStyle w:val="ListBullet"/>
            </w:pPr>
            <w:r w:rsidRPr="00C4299E">
              <w:t xml:space="preserve">Performance is demonstrated consistently over a period of time and in a suitable </w:t>
            </w:r>
            <w:r w:rsidRPr="00C4299E">
              <w:t>range of contexts</w:t>
            </w:r>
          </w:p>
          <w:p w:rsidR="00000000" w:rsidRPr="00C4299E" w:rsidP="00C4299E">
            <w:pPr>
              <w:pStyle w:val="ListBullet"/>
            </w:pPr>
            <w:r w:rsidRPr="00C4299E">
              <w:t>Resources for assessment include:</w:t>
            </w:r>
          </w:p>
          <w:p w:rsidR="00000000" w:rsidRPr="00C4299E" w:rsidP="00C4299E">
            <w:pPr>
              <w:pStyle w:val="ListBullet2"/>
            </w:pPr>
            <w:r w:rsidRPr="00C4299E">
              <w:t>a range of relevant exercises, case studies and/or other simulated practical and knowledge assessment, and/or</w:t>
            </w:r>
          </w:p>
          <w:p w:rsidR="00000000" w:rsidRPr="00C4299E" w:rsidP="00C4299E">
            <w:pPr>
              <w:pStyle w:val="ListBullet2"/>
            </w:pPr>
            <w:r w:rsidRPr="00C4299E">
              <w:t>access to an appropriate range of relevant operational situations in the workplace</w:t>
            </w:r>
          </w:p>
          <w:p w:rsidR="00000000" w:rsidRPr="00C4299E" w:rsidP="00C4299E">
            <w:pPr>
              <w:pStyle w:val="ListBullet"/>
            </w:pPr>
            <w:r w:rsidRPr="00C4299E">
              <w:t>In both r</w:t>
            </w:r>
            <w:r w:rsidRPr="00C4299E">
              <w:t>eal and simulated environments, access is required to:</w:t>
            </w:r>
          </w:p>
          <w:p w:rsidR="00000000" w:rsidRPr="00C4299E" w:rsidP="00C4299E">
            <w:pPr>
              <w:pStyle w:val="ListBullet2"/>
            </w:pPr>
            <w:r w:rsidRPr="00C4299E">
              <w:t>relevant and appropriate materials and equipment, and</w:t>
            </w:r>
          </w:p>
          <w:p w:rsidR="00000000" w:rsidP="00C4299E">
            <w:pPr>
              <w:pStyle w:val="ListBullet2"/>
              <w:rPr>
                <w:lang w:val="en-NZ"/>
              </w:rPr>
            </w:pPr>
            <w:r w:rsidRPr="00C4299E">
              <w:t>applicable documentation including workplace procedures, regulations, codes of practice and operation manuals</w:t>
            </w:r>
          </w:p>
        </w:tc>
      </w:tr>
      <w:tr w:rsidTr="00DF783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4299E">
            <w:pPr>
              <w:pStyle w:val="BodyText"/>
              <w:rPr>
                <w:lang w:val="en-NZ"/>
              </w:rPr>
            </w:pPr>
            <w:r w:rsidRPr="00C4299E">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C4299E" w:rsidP="00C4299E">
            <w:pPr>
              <w:pStyle w:val="ListBullet"/>
            </w:pPr>
            <w:r w:rsidRPr="00C4299E">
              <w:t>Assessment of this unit must be undertaken by a registered training organisation</w:t>
            </w:r>
          </w:p>
          <w:p w:rsidR="00000000" w:rsidRPr="00C4299E" w:rsidP="00C4299E">
            <w:pPr>
              <w:pStyle w:val="ListBullet"/>
            </w:pPr>
            <w:r w:rsidRPr="00C4299E">
              <w:t>As a minimum, assessment of knowledge must be conducted through appropriate written/oral tests</w:t>
            </w:r>
          </w:p>
          <w:p w:rsidR="00000000" w:rsidRPr="00C4299E" w:rsidP="00C4299E">
            <w:pPr>
              <w:pStyle w:val="ListBullet"/>
            </w:pPr>
            <w:r w:rsidRPr="00C4299E">
              <w:t>Practical assessment must occur:</w:t>
            </w:r>
          </w:p>
          <w:p w:rsidR="00000000" w:rsidRPr="00C4299E" w:rsidP="00C4299E">
            <w:pPr>
              <w:pStyle w:val="ListBullet2"/>
            </w:pPr>
            <w:r w:rsidRPr="00C4299E">
              <w:t>through activities in an appropriately simulat</w:t>
            </w:r>
            <w:r w:rsidRPr="00C4299E">
              <w:t>ed environment at the registered training organisation, and/or</w:t>
            </w:r>
          </w:p>
          <w:p w:rsidR="00000000" w:rsidRPr="00C4299E" w:rsidP="00C4299E">
            <w:pPr>
              <w:pStyle w:val="ListBullet2"/>
            </w:pPr>
            <w:r w:rsidRPr="00C4299E">
              <w:t>in an appropriate range of situations in the workplace</w:t>
            </w:r>
          </w:p>
        </w:tc>
      </w:tr>
    </w:tbl>
    <w:p w:rsidR="00DF783B" w:rsidP="00C4299E">
      <w:pPr>
        <w:pStyle w:val="BodyText"/>
      </w:pPr>
    </w:p>
    <w:p w:rsidR="00DF783B" w:rsidP="00C4299E">
      <w:pPr>
        <w:pStyle w:val="BodyText"/>
      </w:pPr>
    </w:p>
    <w:p w:rsidR="00000000" w:rsidRPr="00C4299E" w:rsidP="00C4299E">
      <w:pPr>
        <w:pStyle w:val="Heading1"/>
      </w:pPr>
      <w:bookmarkStart w:id="11" w:name="O_254732"/>
      <w:bookmarkEnd w:id="11"/>
      <w:r w:rsidRPr="00C4299E">
        <w:t>Range Statement</w:t>
      </w:r>
    </w:p>
    <w:tbl>
      <w:tblPr>
        <w:tblW w:w="9640" w:type="dxa"/>
        <w:tblLayout w:type="fixed"/>
        <w:tblCellMar>
          <w:left w:w="62" w:type="dxa"/>
          <w:right w:w="62" w:type="dxa"/>
        </w:tblCellMar>
        <w:tblLook w:val="0000"/>
      </w:tblPr>
      <w:tblGrid>
        <w:gridCol w:w="3486"/>
        <w:gridCol w:w="6154"/>
      </w:tblGrid>
      <w:tr w:rsidTr="00DF783B">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C4299E">
            <w:pPr>
              <w:pStyle w:val="BodyText"/>
              <w:rPr>
                <w:lang w:val="en-NZ"/>
              </w:rPr>
            </w:pPr>
            <w:r w:rsidRPr="00C4299E">
              <w:rPr>
                <w:rStyle w:val="SpecialBold"/>
              </w:rPr>
              <w:t>RANGE STATEMENT</w:t>
            </w:r>
            <w:r w:rsidRPr="00C4299E">
              <w:t xml:space="preserve"> </w:t>
            </w:r>
          </w:p>
        </w:tc>
      </w:tr>
      <w:tr w:rsidTr="00DF783B">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C4299E">
            <w:pPr>
              <w:pStyle w:val="BodyText"/>
              <w:rPr>
                <w:lang w:val="en-NZ"/>
              </w:rPr>
            </w:pPr>
            <w:r w:rsidRPr="00C4299E">
              <w:t>The range statement relates to the unit of competency as a whole. It allows for different work environments and situations that may affect performance.</w:t>
            </w:r>
          </w:p>
        </w:tc>
      </w:tr>
      <w:tr w:rsidTr="00DF783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4299E">
            <w:pPr>
              <w:pStyle w:val="BodyText"/>
              <w:rPr>
                <w:lang w:val="en-NZ"/>
              </w:rPr>
            </w:pPr>
            <w:r w:rsidRPr="00C4299E">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C4299E" w:rsidP="00C4299E">
            <w:pPr>
              <w:pStyle w:val="ListBullet"/>
            </w:pPr>
            <w:r w:rsidRPr="00C4299E">
              <w:t>in a range of work environments and weather conditions</w:t>
            </w:r>
          </w:p>
          <w:p w:rsidR="00000000" w:rsidP="00C4299E">
            <w:pPr>
              <w:pStyle w:val="ListBullet"/>
              <w:rPr>
                <w:lang w:val="en-NZ"/>
              </w:rPr>
            </w:pPr>
            <w:r w:rsidRPr="00C4299E">
              <w:t>by day or night</w:t>
            </w:r>
          </w:p>
        </w:tc>
      </w:tr>
      <w:tr w:rsidTr="00DF783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4299E">
            <w:pPr>
              <w:pStyle w:val="BodyText"/>
              <w:rPr>
                <w:lang w:val="en-NZ"/>
              </w:rPr>
            </w:pPr>
            <w:r w:rsidRPr="00C4299E">
              <w:t>Customers may be:</w:t>
            </w:r>
          </w:p>
        </w:tc>
        <w:tc>
          <w:tcPr>
            <w:tcW w:w="6154" w:type="dxa"/>
            <w:tcBorders>
              <w:top w:val="nil"/>
              <w:left w:val="nil"/>
              <w:bottom w:val="nil"/>
              <w:right w:val="nil"/>
            </w:tcBorders>
            <w:tcMar>
              <w:top w:w="0" w:type="dxa"/>
              <w:left w:w="62" w:type="dxa"/>
              <w:bottom w:w="0" w:type="dxa"/>
              <w:right w:w="62" w:type="dxa"/>
            </w:tcMar>
          </w:tcPr>
          <w:p w:rsidR="00000000" w:rsidP="00C4299E">
            <w:pPr>
              <w:pStyle w:val="ListBullet"/>
              <w:rPr>
                <w:lang w:val="en-NZ"/>
              </w:rPr>
            </w:pPr>
            <w:r w:rsidRPr="00C4299E">
              <w:t>internal or external</w:t>
            </w:r>
          </w:p>
        </w:tc>
      </w:tr>
      <w:tr w:rsidTr="00DF783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4299E">
            <w:pPr>
              <w:pStyle w:val="BodyText"/>
              <w:rPr>
                <w:lang w:val="en-NZ"/>
              </w:rPr>
            </w:pPr>
            <w:r w:rsidRPr="00C4299E">
              <w:t>Workplaces may comprise:</w:t>
            </w:r>
          </w:p>
        </w:tc>
        <w:tc>
          <w:tcPr>
            <w:tcW w:w="6154" w:type="dxa"/>
            <w:tcBorders>
              <w:top w:val="nil"/>
              <w:left w:val="nil"/>
              <w:bottom w:val="nil"/>
              <w:right w:val="nil"/>
            </w:tcBorders>
            <w:tcMar>
              <w:top w:w="0" w:type="dxa"/>
              <w:left w:w="62" w:type="dxa"/>
              <w:bottom w:w="0" w:type="dxa"/>
              <w:right w:w="62" w:type="dxa"/>
            </w:tcMar>
          </w:tcPr>
          <w:p w:rsidR="00000000" w:rsidP="00C4299E">
            <w:pPr>
              <w:pStyle w:val="ListBullet"/>
              <w:rPr>
                <w:lang w:val="en-NZ"/>
              </w:rPr>
            </w:pPr>
            <w:r w:rsidRPr="00C4299E">
              <w:t>large, medium or small worksites</w:t>
            </w:r>
          </w:p>
        </w:tc>
      </w:tr>
      <w:tr w:rsidTr="00DF783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4299E">
            <w:pPr>
              <w:pStyle w:val="BodyText"/>
              <w:rPr>
                <w:lang w:val="en-NZ"/>
              </w:rPr>
            </w:pPr>
            <w:r w:rsidRPr="00C4299E">
              <w:t>Work may be conducted in:</w:t>
            </w:r>
          </w:p>
        </w:tc>
        <w:tc>
          <w:tcPr>
            <w:tcW w:w="6154" w:type="dxa"/>
            <w:tcBorders>
              <w:top w:val="nil"/>
              <w:left w:val="nil"/>
              <w:bottom w:val="nil"/>
              <w:right w:val="nil"/>
            </w:tcBorders>
            <w:tcMar>
              <w:top w:w="0" w:type="dxa"/>
              <w:left w:w="62" w:type="dxa"/>
              <w:bottom w:w="0" w:type="dxa"/>
              <w:right w:w="62" w:type="dxa"/>
            </w:tcMar>
          </w:tcPr>
          <w:p w:rsidR="00000000" w:rsidRPr="00C4299E" w:rsidP="00C4299E">
            <w:pPr>
              <w:pStyle w:val="ListBullet"/>
            </w:pPr>
            <w:r w:rsidRPr="00C4299E">
              <w:t>limited and restricted spaces</w:t>
            </w:r>
          </w:p>
          <w:p w:rsidR="00000000" w:rsidRPr="00C4299E" w:rsidP="00C4299E">
            <w:pPr>
              <w:pStyle w:val="ListBullet"/>
            </w:pPr>
            <w:r w:rsidRPr="00C4299E">
              <w:t>exposed conditions</w:t>
            </w:r>
          </w:p>
          <w:p w:rsidR="00000000" w:rsidRPr="00C4299E" w:rsidP="00C4299E">
            <w:pPr>
              <w:pStyle w:val="ListBullet"/>
            </w:pPr>
            <w:r w:rsidRPr="00C4299E">
              <w:t>controlled or open environments</w:t>
            </w:r>
          </w:p>
          <w:p w:rsidR="00000000" w:rsidRPr="00C4299E" w:rsidP="00C4299E">
            <w:pPr>
              <w:pStyle w:val="ListBullet"/>
            </w:pPr>
            <w:r w:rsidRPr="00C4299E">
              <w:t>a workplace, warehouse or depot</w:t>
            </w:r>
          </w:p>
          <w:p w:rsidR="00000000" w:rsidRPr="00C4299E" w:rsidP="00C4299E">
            <w:pPr>
              <w:pStyle w:val="ListBullet"/>
            </w:pPr>
            <w:r w:rsidRPr="00C4299E">
              <w:t>in a vehicle on</w:t>
            </w:r>
            <w:r w:rsidRPr="00C4299E">
              <w:t xml:space="preserve"> the road</w:t>
            </w:r>
          </w:p>
          <w:p w:rsidR="00000000" w:rsidP="00C4299E">
            <w:pPr>
              <w:pStyle w:val="ListBullet"/>
              <w:rPr>
                <w:lang w:val="en-NZ"/>
              </w:rPr>
            </w:pPr>
            <w:r w:rsidRPr="00C4299E">
              <w:t>at a client's workplace</w:t>
            </w:r>
          </w:p>
        </w:tc>
      </w:tr>
      <w:tr w:rsidTr="00DF783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4299E">
            <w:pPr>
              <w:pStyle w:val="BodyText"/>
              <w:rPr>
                <w:lang w:val="en-NZ"/>
              </w:rPr>
            </w:pPr>
            <w:r w:rsidRPr="00C4299E">
              <w:t>Goods/cargo to be loaded and unloaded may require:</w:t>
            </w:r>
          </w:p>
        </w:tc>
        <w:tc>
          <w:tcPr>
            <w:tcW w:w="6154" w:type="dxa"/>
            <w:tcBorders>
              <w:top w:val="nil"/>
              <w:left w:val="nil"/>
              <w:bottom w:val="nil"/>
              <w:right w:val="nil"/>
            </w:tcBorders>
            <w:tcMar>
              <w:top w:w="0" w:type="dxa"/>
              <w:left w:w="62" w:type="dxa"/>
              <w:bottom w:w="0" w:type="dxa"/>
              <w:right w:w="62" w:type="dxa"/>
            </w:tcMar>
          </w:tcPr>
          <w:p w:rsidR="00000000" w:rsidP="00C4299E">
            <w:pPr>
              <w:pStyle w:val="ListBullet"/>
              <w:rPr>
                <w:lang w:val="en-NZ"/>
              </w:rPr>
            </w:pPr>
            <w:r w:rsidRPr="00C4299E">
              <w:t>special precautions for handling and stacking</w:t>
            </w:r>
          </w:p>
        </w:tc>
      </w:tr>
      <w:tr w:rsidTr="00DF783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4299E">
            <w:pPr>
              <w:pStyle w:val="BodyText"/>
              <w:rPr>
                <w:lang w:val="en-NZ"/>
              </w:rPr>
            </w:pPr>
            <w:r w:rsidRPr="00C4299E">
              <w:t>Classes of dangerous goods and explosives are:</w:t>
            </w:r>
          </w:p>
        </w:tc>
        <w:tc>
          <w:tcPr>
            <w:tcW w:w="6154" w:type="dxa"/>
            <w:tcBorders>
              <w:top w:val="nil"/>
              <w:left w:val="nil"/>
              <w:bottom w:val="nil"/>
              <w:right w:val="nil"/>
            </w:tcBorders>
            <w:tcMar>
              <w:top w:w="0" w:type="dxa"/>
              <w:left w:w="62" w:type="dxa"/>
              <w:bottom w:w="0" w:type="dxa"/>
              <w:right w:w="62" w:type="dxa"/>
            </w:tcMar>
          </w:tcPr>
          <w:p w:rsidR="00000000" w:rsidP="00C4299E">
            <w:pPr>
              <w:pStyle w:val="ListBullet"/>
              <w:rPr>
                <w:lang w:val="en-NZ"/>
              </w:rPr>
            </w:pPr>
            <w:r w:rsidRPr="00C4299E">
              <w:t>as defined in the respective Australian codes</w:t>
            </w:r>
          </w:p>
        </w:tc>
      </w:tr>
      <w:tr w:rsidTr="00DF783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4299E">
            <w:pPr>
              <w:pStyle w:val="BodyText"/>
              <w:rPr>
                <w:lang w:val="en-NZ"/>
              </w:rPr>
            </w:pPr>
            <w:r w:rsidRPr="00C4299E">
              <w:t>Standard placarding, marking and signage for identified explosives and dangerous goods are:</w:t>
            </w:r>
          </w:p>
        </w:tc>
        <w:tc>
          <w:tcPr>
            <w:tcW w:w="6154" w:type="dxa"/>
            <w:tcBorders>
              <w:top w:val="nil"/>
              <w:left w:val="nil"/>
              <w:bottom w:val="nil"/>
              <w:right w:val="nil"/>
            </w:tcBorders>
            <w:tcMar>
              <w:top w:w="0" w:type="dxa"/>
              <w:left w:w="62" w:type="dxa"/>
              <w:bottom w:w="0" w:type="dxa"/>
              <w:right w:w="62" w:type="dxa"/>
            </w:tcMar>
          </w:tcPr>
          <w:p w:rsidR="00000000" w:rsidP="00C4299E">
            <w:pPr>
              <w:pStyle w:val="ListBullet"/>
              <w:rPr>
                <w:lang w:val="en-NZ"/>
              </w:rPr>
            </w:pPr>
            <w:r w:rsidRPr="00C4299E">
              <w:t>as required in the respective Australian codes, including HAZCHEM Codes</w:t>
            </w:r>
          </w:p>
        </w:tc>
      </w:tr>
      <w:tr w:rsidTr="00DF783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4299E">
            <w:pPr>
              <w:pStyle w:val="BodyText"/>
              <w:rPr>
                <w:lang w:val="en-NZ"/>
              </w:rPr>
            </w:pPr>
            <w:r w:rsidRPr="00C4299E">
              <w:t>Personnel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C4299E" w:rsidP="00C4299E">
            <w:pPr>
              <w:pStyle w:val="ListBullet"/>
            </w:pPr>
            <w:r w:rsidRPr="00C4299E">
              <w:t>workplace personnel</w:t>
            </w:r>
          </w:p>
          <w:p w:rsidR="00000000" w:rsidRPr="00C4299E" w:rsidP="00C4299E">
            <w:pPr>
              <w:pStyle w:val="ListBullet"/>
            </w:pPr>
            <w:r w:rsidRPr="00C4299E">
              <w:t>site visitors</w:t>
            </w:r>
          </w:p>
          <w:p w:rsidR="00000000" w:rsidRPr="00C4299E" w:rsidP="00C4299E">
            <w:pPr>
              <w:pStyle w:val="ListBullet"/>
            </w:pPr>
            <w:r w:rsidRPr="00C4299E">
              <w:t>contractors</w:t>
            </w:r>
          </w:p>
          <w:p w:rsidR="00000000" w:rsidP="00C4299E">
            <w:pPr>
              <w:pStyle w:val="ListBullet"/>
              <w:rPr>
                <w:lang w:val="en-NZ"/>
              </w:rPr>
            </w:pPr>
            <w:r w:rsidRPr="00C4299E">
              <w:t>off</w:t>
            </w:r>
            <w:r w:rsidRPr="00C4299E">
              <w:t>icial representatives</w:t>
            </w:r>
          </w:p>
        </w:tc>
      </w:tr>
      <w:tr w:rsidTr="00DF783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4299E">
            <w:pPr>
              <w:pStyle w:val="BodyText"/>
              <w:rPr>
                <w:lang w:val="en-NZ"/>
              </w:rPr>
            </w:pPr>
            <w:r w:rsidRPr="00C4299E">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C4299E" w:rsidP="00C4299E">
            <w:pPr>
              <w:pStyle w:val="ListBullet"/>
            </w:pPr>
            <w:r w:rsidRPr="00C4299E">
              <w:t>phone</w:t>
            </w:r>
          </w:p>
          <w:p w:rsidR="00000000" w:rsidRPr="00C4299E" w:rsidP="00C4299E">
            <w:pPr>
              <w:pStyle w:val="ListBullet"/>
            </w:pPr>
            <w:r w:rsidRPr="00C4299E">
              <w:t>electronic data interchange</w:t>
            </w:r>
          </w:p>
          <w:p w:rsidR="00000000" w:rsidRPr="00C4299E" w:rsidP="00C4299E">
            <w:pPr>
              <w:pStyle w:val="ListBullet"/>
            </w:pPr>
            <w:r w:rsidRPr="00C4299E">
              <w:t>fax</w:t>
            </w:r>
          </w:p>
          <w:p w:rsidR="00000000" w:rsidRPr="00C4299E" w:rsidP="00C4299E">
            <w:pPr>
              <w:pStyle w:val="ListBullet"/>
            </w:pPr>
            <w:r w:rsidRPr="00C4299E">
              <w:t>email</w:t>
            </w:r>
          </w:p>
          <w:p w:rsidR="00000000" w:rsidRPr="00C4299E" w:rsidP="00C4299E">
            <w:pPr>
              <w:pStyle w:val="ListBullet"/>
            </w:pPr>
            <w:r w:rsidRPr="00C4299E">
              <w:t>internet</w:t>
            </w:r>
          </w:p>
          <w:p w:rsidR="00000000" w:rsidRPr="00C4299E" w:rsidP="00C4299E">
            <w:pPr>
              <w:pStyle w:val="ListBullet"/>
            </w:pPr>
            <w:r w:rsidRPr="00C4299E">
              <w:t>radio</w:t>
            </w:r>
          </w:p>
          <w:p w:rsidR="00000000" w:rsidP="00C4299E">
            <w:pPr>
              <w:pStyle w:val="ListBullet"/>
              <w:rPr>
                <w:lang w:val="en-NZ"/>
              </w:rPr>
            </w:pPr>
            <w:r w:rsidRPr="00C4299E">
              <w:t>oral, aural or signed communications</w:t>
            </w:r>
          </w:p>
        </w:tc>
      </w:tr>
      <w:tr w:rsidTr="00DF783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4299E">
            <w:pPr>
              <w:pStyle w:val="BodyText"/>
              <w:rPr>
                <w:lang w:val="en-NZ"/>
              </w:rPr>
            </w:pPr>
            <w:r w:rsidRPr="00C4299E">
              <w:t>Depending on the type of organisation concerned and the local te</w:t>
            </w:r>
            <w:r w:rsidRPr="00C4299E">
              <w:t>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C4299E" w:rsidP="00C4299E">
            <w:pPr>
              <w:pStyle w:val="ListBullet"/>
            </w:pPr>
            <w:r w:rsidRPr="00C4299E">
              <w:t>company procedures</w:t>
            </w:r>
          </w:p>
          <w:p w:rsidR="00000000" w:rsidRPr="00C4299E" w:rsidP="00C4299E">
            <w:pPr>
              <w:pStyle w:val="ListBullet"/>
            </w:pPr>
            <w:r w:rsidRPr="00C4299E">
              <w:t>enterprise procedures</w:t>
            </w:r>
          </w:p>
          <w:p w:rsidR="00000000" w:rsidRPr="00C4299E" w:rsidP="00C4299E">
            <w:pPr>
              <w:pStyle w:val="ListBullet"/>
            </w:pPr>
            <w:r w:rsidRPr="00C4299E">
              <w:t>organisational procedures</w:t>
            </w:r>
          </w:p>
          <w:p w:rsidR="00000000" w:rsidP="00C4299E">
            <w:pPr>
              <w:pStyle w:val="ListBullet"/>
              <w:rPr>
                <w:lang w:val="en-NZ"/>
              </w:rPr>
            </w:pPr>
            <w:r w:rsidRPr="00C4299E">
              <w:t>established procedures</w:t>
            </w:r>
          </w:p>
        </w:tc>
      </w:tr>
      <w:tr w:rsidTr="00DF783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4299E">
            <w:pPr>
              <w:pStyle w:val="BodyText"/>
              <w:rPr>
                <w:lang w:val="en-NZ"/>
              </w:rPr>
            </w:pPr>
            <w:r w:rsidRPr="00C4299E">
              <w:t>Loading operations may be carried out:</w:t>
            </w:r>
          </w:p>
        </w:tc>
        <w:tc>
          <w:tcPr>
            <w:tcW w:w="6154" w:type="dxa"/>
            <w:tcBorders>
              <w:top w:val="nil"/>
              <w:left w:val="nil"/>
              <w:bottom w:val="nil"/>
              <w:right w:val="nil"/>
            </w:tcBorders>
            <w:tcMar>
              <w:top w:w="0" w:type="dxa"/>
              <w:left w:w="62" w:type="dxa"/>
              <w:bottom w:w="0" w:type="dxa"/>
              <w:right w:w="62" w:type="dxa"/>
            </w:tcMar>
          </w:tcPr>
          <w:p w:rsidR="00000000" w:rsidRPr="00C4299E" w:rsidP="00C4299E">
            <w:pPr>
              <w:pStyle w:val="ListBullet"/>
            </w:pPr>
            <w:r w:rsidRPr="00C4299E">
              <w:t>manually</w:t>
            </w:r>
          </w:p>
          <w:p w:rsidR="00000000" w:rsidP="00C4299E">
            <w:pPr>
              <w:pStyle w:val="ListBullet"/>
              <w:rPr>
                <w:lang w:val="en-NZ"/>
              </w:rPr>
            </w:pPr>
            <w:r w:rsidRPr="00C4299E">
              <w:t>with the aid of lifting equipment and/or appliances</w:t>
            </w:r>
          </w:p>
        </w:tc>
      </w:tr>
      <w:tr w:rsidTr="00DF783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4299E">
            <w:pPr>
              <w:pStyle w:val="BodyText"/>
              <w:rPr>
                <w:lang w:val="en-NZ"/>
              </w:rPr>
            </w:pPr>
            <w:r w:rsidRPr="00C4299E">
              <w:t>Load restraint procedures and equipment are:</w:t>
            </w:r>
          </w:p>
        </w:tc>
        <w:tc>
          <w:tcPr>
            <w:tcW w:w="6154" w:type="dxa"/>
            <w:tcBorders>
              <w:top w:val="nil"/>
              <w:left w:val="nil"/>
              <w:bottom w:val="nil"/>
              <w:right w:val="nil"/>
            </w:tcBorders>
            <w:tcMar>
              <w:top w:w="0" w:type="dxa"/>
              <w:left w:w="62" w:type="dxa"/>
              <w:bottom w:w="0" w:type="dxa"/>
              <w:right w:w="62" w:type="dxa"/>
            </w:tcMar>
          </w:tcPr>
          <w:p w:rsidR="00000000" w:rsidP="00C4299E">
            <w:pPr>
              <w:pStyle w:val="ListBullet"/>
              <w:rPr>
                <w:lang w:val="en-NZ"/>
              </w:rPr>
            </w:pPr>
            <w:r w:rsidRPr="00C4299E">
              <w:t>as specified in mass and loading regulations and guidelines and current ADG Code/Australian Explosives Code as applicable</w:t>
            </w:r>
          </w:p>
        </w:tc>
      </w:tr>
      <w:tr w:rsidTr="00DF783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4299E">
            <w:pPr>
              <w:pStyle w:val="BodyText"/>
              <w:rPr>
                <w:lang w:val="en-NZ"/>
              </w:rPr>
            </w:pPr>
            <w:r w:rsidRPr="00C4299E">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C4299E" w:rsidP="00C4299E">
            <w:pPr>
              <w:pStyle w:val="ListBullet"/>
            </w:pPr>
            <w:r w:rsidRPr="00C4299E">
              <w:t>gloves</w:t>
            </w:r>
          </w:p>
          <w:p w:rsidR="00000000" w:rsidRPr="00C4299E" w:rsidP="00C4299E">
            <w:pPr>
              <w:pStyle w:val="ListBullet"/>
            </w:pPr>
            <w:r w:rsidRPr="00C4299E">
              <w:t>safety headwear and footwear</w:t>
            </w:r>
          </w:p>
          <w:p w:rsidR="00000000" w:rsidRPr="00C4299E" w:rsidP="00C4299E">
            <w:pPr>
              <w:pStyle w:val="ListBullet"/>
            </w:pPr>
            <w:r w:rsidRPr="00C4299E">
              <w:t xml:space="preserve">safety </w:t>
            </w:r>
            <w:r w:rsidRPr="00C4299E">
              <w:t>glasses</w:t>
            </w:r>
          </w:p>
          <w:p w:rsidR="00000000" w:rsidRPr="00C4299E" w:rsidP="00C4299E">
            <w:pPr>
              <w:pStyle w:val="ListBullet"/>
            </w:pPr>
            <w:r w:rsidRPr="00C4299E">
              <w:t>two-way radios</w:t>
            </w:r>
          </w:p>
          <w:p w:rsidR="00000000" w:rsidP="00C4299E">
            <w:pPr>
              <w:pStyle w:val="ListBullet"/>
              <w:rPr>
                <w:lang w:val="en-NZ"/>
              </w:rPr>
            </w:pPr>
            <w:r w:rsidRPr="00C4299E">
              <w:t>high visibility clothing</w:t>
            </w:r>
          </w:p>
        </w:tc>
      </w:tr>
      <w:tr w:rsidTr="00DF783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4299E">
            <w:pPr>
              <w:pStyle w:val="BodyText"/>
              <w:rPr>
                <w:lang w:val="en-NZ"/>
              </w:rPr>
            </w:pPr>
            <w:r w:rsidRPr="00C4299E">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C4299E" w:rsidP="00C4299E">
            <w:pPr>
              <w:pStyle w:val="ListBullet"/>
            </w:pPr>
            <w:r w:rsidRPr="00C4299E">
              <w:t>goods identification numbers and codes, including current ADG Code and IMDG markings and HAZCHEM signs</w:t>
            </w:r>
          </w:p>
          <w:p w:rsidR="00000000" w:rsidRPr="00C4299E" w:rsidP="00C4299E">
            <w:pPr>
              <w:pStyle w:val="ListBullet"/>
            </w:pPr>
            <w:r w:rsidRPr="00C4299E">
              <w:t>relevant codes of practice, including the Australian Dangerous Goods Code, the Australian Explosives Code, the Industry Safety Code, and National Standards for Manual Handling</w:t>
            </w:r>
          </w:p>
          <w:p w:rsidR="00000000" w:rsidRPr="00C4299E" w:rsidP="00C4299E">
            <w:pPr>
              <w:pStyle w:val="ListBullet"/>
            </w:pPr>
            <w:r w:rsidRPr="00C4299E">
              <w:t>manifests, bar codes, goods and container identification/serial number</w:t>
            </w:r>
          </w:p>
          <w:p w:rsidR="00000000" w:rsidRPr="00C4299E" w:rsidP="00C4299E">
            <w:pPr>
              <w:pStyle w:val="ListBullet"/>
            </w:pPr>
            <w:r w:rsidRPr="00C4299E">
              <w:t xml:space="preserve">material </w:t>
            </w:r>
            <w:r w:rsidRPr="00C4299E">
              <w:t>safety data sheets</w:t>
            </w:r>
          </w:p>
          <w:p w:rsidR="00000000" w:rsidRPr="00C4299E" w:rsidP="00C4299E">
            <w:pPr>
              <w:pStyle w:val="ListBullet"/>
            </w:pPr>
            <w:r w:rsidRPr="00C4299E">
              <w:t>manufacturers specifications for equipment/tools</w:t>
            </w:r>
          </w:p>
          <w:p w:rsidR="00000000" w:rsidRPr="00C4299E" w:rsidP="00C4299E">
            <w:pPr>
              <w:pStyle w:val="ListBullet"/>
            </w:pPr>
            <w:r w:rsidRPr="00C4299E">
              <w:t>workplace procedures and policies for the loading and unloading of vehicles</w:t>
            </w:r>
          </w:p>
          <w:p w:rsidR="00000000" w:rsidRPr="00C4299E" w:rsidP="00C4299E">
            <w:pPr>
              <w:pStyle w:val="ListBullet"/>
            </w:pPr>
            <w:r w:rsidRPr="00C4299E">
              <w:t>supplier and/or client instructions</w:t>
            </w:r>
          </w:p>
          <w:p w:rsidR="00000000" w:rsidRPr="00C4299E" w:rsidP="00C4299E">
            <w:pPr>
              <w:pStyle w:val="ListBullet"/>
            </w:pPr>
            <w:r w:rsidRPr="00C4299E">
              <w:t>National Load Restraint Guide</w:t>
            </w:r>
          </w:p>
          <w:p w:rsidR="00000000" w:rsidRPr="00C4299E" w:rsidP="00C4299E">
            <w:pPr>
              <w:pStyle w:val="ListBullet"/>
            </w:pPr>
            <w:r w:rsidRPr="00C4299E">
              <w:t>Australian Truck Drivers Manual</w:t>
            </w:r>
          </w:p>
          <w:p w:rsidR="00000000" w:rsidRPr="00C4299E" w:rsidP="00C4299E">
            <w:pPr>
              <w:pStyle w:val="ListBullet"/>
            </w:pPr>
            <w:r w:rsidRPr="00C4299E">
              <w:t>award, enterpr</w:t>
            </w:r>
            <w:r w:rsidRPr="00C4299E">
              <w:t>ise bargaining agreement, other industrial arrangements</w:t>
            </w:r>
          </w:p>
          <w:p w:rsidR="00000000" w:rsidRPr="00C4299E" w:rsidP="00C4299E">
            <w:pPr>
              <w:pStyle w:val="ListBullet"/>
            </w:pPr>
            <w:r w:rsidRPr="00C4299E">
              <w:t>standards and certification requirements</w:t>
            </w:r>
          </w:p>
          <w:p w:rsidR="00000000" w:rsidRPr="00C4299E" w:rsidP="00C4299E">
            <w:pPr>
              <w:pStyle w:val="ListBullet"/>
            </w:pPr>
            <w:r w:rsidRPr="00C4299E">
              <w:t>quality assurance procedures</w:t>
            </w:r>
          </w:p>
          <w:p w:rsidR="00000000" w:rsidP="00C4299E">
            <w:pPr>
              <w:pStyle w:val="ListBullet"/>
              <w:rPr>
                <w:lang w:val="en-NZ"/>
              </w:rPr>
            </w:pPr>
            <w:r w:rsidRPr="00C4299E">
              <w:t>emergency procedures</w:t>
            </w:r>
          </w:p>
        </w:tc>
      </w:tr>
      <w:tr w:rsidTr="00DF783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4299E">
            <w:pPr>
              <w:pStyle w:val="BodyText"/>
              <w:rPr>
                <w:lang w:val="en-NZ"/>
              </w:rPr>
            </w:pPr>
            <w:r w:rsidRPr="00C4299E">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C4299E" w:rsidP="00C4299E">
            <w:pPr>
              <w:pStyle w:val="ListBullet"/>
            </w:pPr>
            <w:r w:rsidRPr="00C4299E">
              <w:t>Australian and state/territory mass and loading regulat</w:t>
            </w:r>
            <w:r w:rsidRPr="00C4299E">
              <w:t>ions</w:t>
            </w:r>
          </w:p>
          <w:p w:rsidR="00000000" w:rsidRPr="00C4299E" w:rsidP="00C4299E">
            <w:pPr>
              <w:pStyle w:val="ListBullet"/>
            </w:pPr>
            <w:r w:rsidRPr="00C4299E">
              <w:t>Australian and international regulations and codes of practice for the handling and transport of dangerous goods and hazardous substances, including:</w:t>
            </w:r>
          </w:p>
          <w:p w:rsidR="00000000" w:rsidRPr="00C4299E" w:rsidP="00C4299E">
            <w:pPr>
              <w:pStyle w:val="ListBullet2"/>
            </w:pPr>
            <w:r w:rsidRPr="00C4299E">
              <w:t>Australian and International Dangerous Goods Codes</w:t>
            </w:r>
          </w:p>
          <w:p w:rsidR="00000000" w:rsidRPr="00C4299E" w:rsidP="00C4299E">
            <w:pPr>
              <w:pStyle w:val="ListBullet2"/>
            </w:pPr>
            <w:r w:rsidRPr="00C4299E">
              <w:t>Australian Marine Orders and the International Maritime Dangerous Goods Code</w:t>
            </w:r>
          </w:p>
          <w:p w:rsidR="00000000" w:rsidRPr="00C4299E" w:rsidP="00C4299E">
            <w:pPr>
              <w:pStyle w:val="ListBullet2"/>
            </w:pPr>
            <w:r w:rsidRPr="00C4299E">
              <w:t>IATA Dangerous Goods by Air regulations</w:t>
            </w:r>
          </w:p>
          <w:p w:rsidR="00000000" w:rsidRPr="00C4299E" w:rsidP="00C4299E">
            <w:pPr>
              <w:pStyle w:val="ListBullet2"/>
            </w:pPr>
            <w:r w:rsidRPr="00C4299E">
              <w:t>Australian and International Explosives Codes</w:t>
            </w:r>
          </w:p>
          <w:p w:rsidR="00000000" w:rsidRPr="00C4299E" w:rsidP="00C4299E">
            <w:pPr>
              <w:pStyle w:val="ListBullet2"/>
            </w:pPr>
            <w:r w:rsidRPr="00C4299E">
              <w:t>Code of Practice for the Safe Transport of Radioactive Substances</w:t>
            </w:r>
          </w:p>
          <w:p w:rsidR="00000000" w:rsidRPr="00C4299E" w:rsidP="00C4299E">
            <w:pPr>
              <w:pStyle w:val="ListBullet2"/>
            </w:pPr>
            <w:r w:rsidRPr="00C4299E">
              <w:t>state/territory legislation</w:t>
            </w:r>
            <w:r w:rsidRPr="00C4299E">
              <w:t xml:space="preserve"> covering the safe handling of infectious substances</w:t>
            </w:r>
          </w:p>
          <w:p w:rsidR="00000000" w:rsidRPr="00C4299E" w:rsidP="00C4299E">
            <w:pPr>
              <w:pStyle w:val="ListBullet"/>
            </w:pPr>
            <w:r w:rsidRPr="00C4299E">
              <w:t>relevant state/territory environmental protection legislation</w:t>
            </w:r>
          </w:p>
          <w:p w:rsidR="00000000" w:rsidRPr="00C4299E" w:rsidP="00C4299E">
            <w:pPr>
              <w:pStyle w:val="ListBullet"/>
            </w:pPr>
            <w:r w:rsidRPr="00C4299E">
              <w:t>workplace relations regulations</w:t>
            </w:r>
          </w:p>
          <w:p w:rsidR="00000000" w:rsidRPr="00C4299E" w:rsidP="00C4299E">
            <w:pPr>
              <w:pStyle w:val="ListBullet"/>
            </w:pPr>
            <w:r w:rsidRPr="00C4299E">
              <w:t>equal opportunity legislation</w:t>
            </w:r>
          </w:p>
          <w:p w:rsidR="00000000" w:rsidRPr="00C4299E" w:rsidP="00C4299E">
            <w:pPr>
              <w:pStyle w:val="ListBullet"/>
            </w:pPr>
            <w:r w:rsidRPr="00C4299E">
              <w:t>equal employment opportunity and affirmative action legislation</w:t>
            </w:r>
          </w:p>
          <w:p w:rsidR="00000000" w:rsidRPr="00C4299E" w:rsidP="00C4299E">
            <w:pPr>
              <w:pStyle w:val="ListBullet"/>
            </w:pPr>
            <w:r w:rsidRPr="00C4299E">
              <w:t>relevant state</w:t>
            </w:r>
            <w:r w:rsidRPr="00C4299E">
              <w:t>/territory OH&amp;S legislation</w:t>
            </w:r>
          </w:p>
        </w:tc>
      </w:tr>
    </w:tbl>
    <w:p w:rsidR="00DF783B" w:rsidP="00C4299E">
      <w:pPr>
        <w:pStyle w:val="BodyText"/>
      </w:pPr>
    </w:p>
    <w:p w:rsidR="00DF783B" w:rsidP="00C4299E">
      <w:pPr>
        <w:pStyle w:val="BodyText"/>
      </w:pPr>
    </w:p>
    <w:p w:rsidR="00000000" w:rsidRPr="00C4299E" w:rsidP="00C4299E">
      <w:pPr>
        <w:pStyle w:val="Heading1"/>
      </w:pPr>
      <w:bookmarkStart w:id="12" w:name="O_295745"/>
      <w:bookmarkEnd w:id="12"/>
      <w:r w:rsidRPr="00C4299E">
        <w:t>Unit Sector(s)</w:t>
      </w:r>
    </w:p>
    <w:p w:rsidR="00000000" w:rsidRPr="00C4299E" w:rsidP="00C4299E">
      <w:pPr>
        <w:pStyle w:val="BodyText"/>
      </w:pPr>
      <w:r w:rsidRPr="00C4299E">
        <w:t>Not Applicable</w:t>
      </w:r>
    </w:p>
    <w:p w:rsidR="00000000" w:rsidRPr="00C4299E" w:rsidP="00C4299E">
      <w:pPr>
        <w:pStyle w:val="AllowPageBreak"/>
      </w:pPr>
    </w:p>
    <w:p w:rsidR="00000000" w:rsidRPr="00C4299E" w:rsidP="00C4299E">
      <w:pPr>
        <w:pStyle w:val="Heading1"/>
      </w:pPr>
      <w:bookmarkStart w:id="13" w:name="O_223281"/>
      <w:bookmarkEnd w:id="13"/>
      <w:r w:rsidRPr="00C4299E">
        <w:t>Competency Field</w:t>
      </w:r>
    </w:p>
    <w:tbl>
      <w:tblPr>
        <w:tblW w:w="9640" w:type="dxa"/>
        <w:tblLayout w:type="fixed"/>
        <w:tblCellMar>
          <w:left w:w="62" w:type="dxa"/>
          <w:right w:w="62" w:type="dxa"/>
        </w:tblCellMar>
        <w:tblLook w:val="0000"/>
      </w:tblPr>
      <w:tblGrid>
        <w:gridCol w:w="2978"/>
        <w:gridCol w:w="6662"/>
      </w:tblGrid>
      <w:tr w:rsidTr="00DF783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4299E">
            <w:pPr>
              <w:pStyle w:val="BodyText"/>
              <w:rPr>
                <w:lang w:val="en-NZ"/>
              </w:rPr>
            </w:pPr>
            <w:r w:rsidRPr="00C4299E">
              <w:rPr>
                <w:rStyle w:val="SpecialBold"/>
              </w:rPr>
              <w:t>Competency Field</w:t>
            </w:r>
            <w:r w:rsidRPr="00C4299E">
              <w:t xml:space="preserve"> </w:t>
            </w:r>
          </w:p>
        </w:tc>
        <w:tc>
          <w:tcPr>
            <w:tcW w:w="6662" w:type="dxa"/>
            <w:tcBorders>
              <w:top w:val="nil"/>
              <w:left w:val="nil"/>
              <w:bottom w:val="nil"/>
              <w:right w:val="nil"/>
            </w:tcBorders>
            <w:tcMar>
              <w:top w:w="0" w:type="dxa"/>
              <w:left w:w="62" w:type="dxa"/>
              <w:bottom w:w="0" w:type="dxa"/>
              <w:right w:w="62" w:type="dxa"/>
            </w:tcMar>
          </w:tcPr>
          <w:p w:rsidR="00000000" w:rsidRPr="00C4299E" w:rsidP="00C4299E">
            <w:pPr>
              <w:pStyle w:val="BodyText"/>
            </w:pPr>
            <w:r w:rsidRPr="00C4299E">
              <w:t>D - Load Handling</w:t>
            </w:r>
          </w:p>
        </w:tc>
      </w:tr>
    </w:tbl>
    <w:p w:rsidR="00DF783B" w:rsidP="00C4299E">
      <w:pPr>
        <w:pStyle w:val="BodyText"/>
      </w:pPr>
    </w:p>
    <w:p w:rsidR="00DF783B" w:rsidP="00C4299E">
      <w:pPr>
        <w:pStyle w:val="BodyText"/>
      </w:pPr>
    </w:p>
    <w:p w:rsidR="00000000" w:rsidRPr="00C4299E" w:rsidP="00C4299E"/>
    <w:sectPr w:rsidSect="00C429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9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783B" w:rsidP="00DF78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9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83B" w:rsidP="00C429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F783B" w:rsidP="00C429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F783B" w:rsidP="00C429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9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783B" w:rsidP="00DF783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9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83B" w:rsidP="00C4299E">
    <w:pPr>
      <w:pStyle w:val="Header"/>
      <w:framePr w:wrap="around"/>
    </w:pPr>
    <w:r>
      <w:fldChar w:fldCharType="begin"/>
    </w:r>
    <w:r>
      <w:instrText xml:space="preserve"> TITLE   \* MERGEFORMAT </w:instrText>
    </w:r>
    <w:r>
      <w:fldChar w:fldCharType="separate"/>
    </w:r>
    <w:r>
      <w:t>TLID2016A Load and unload explosives and dangerous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F783B" w:rsidP="00C429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82C4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5A6E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FEA1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9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299E"/>
    <w:pPr>
      <w:spacing w:before="360" w:after="60"/>
      <w:outlineLvl w:val="0"/>
    </w:pPr>
    <w:rPr>
      <w:sz w:val="32"/>
    </w:rPr>
  </w:style>
  <w:style w:type="paragraph" w:styleId="Heading2">
    <w:name w:val="heading 2"/>
    <w:basedOn w:val="HeadingBase"/>
    <w:next w:val="BodyText"/>
    <w:link w:val="Heading2Char"/>
    <w:qFormat/>
    <w:rsid w:val="00C4299E"/>
    <w:pPr>
      <w:keepLines/>
      <w:spacing w:before="240" w:after="120"/>
      <w:outlineLvl w:val="1"/>
    </w:pPr>
    <w:rPr>
      <w:sz w:val="28"/>
      <w:szCs w:val="40"/>
    </w:rPr>
  </w:style>
  <w:style w:type="paragraph" w:styleId="Heading3">
    <w:name w:val="heading 3"/>
    <w:basedOn w:val="HeadingBase"/>
    <w:next w:val="BodyText"/>
    <w:link w:val="Heading3Char"/>
    <w:qFormat/>
    <w:rsid w:val="00C4299E"/>
    <w:pPr>
      <w:spacing w:before="180" w:after="120"/>
      <w:outlineLvl w:val="2"/>
    </w:pPr>
    <w:rPr>
      <w:spacing w:val="-10"/>
      <w:kern w:val="32"/>
    </w:rPr>
  </w:style>
  <w:style w:type="paragraph" w:styleId="Heading4">
    <w:name w:val="heading 4"/>
    <w:basedOn w:val="HeadingBase"/>
    <w:next w:val="BodyText"/>
    <w:link w:val="Heading4Char"/>
    <w:qFormat/>
    <w:rsid w:val="00C4299E"/>
    <w:pPr>
      <w:spacing w:before="160" w:after="120"/>
      <w:outlineLvl w:val="3"/>
    </w:pPr>
    <w:rPr>
      <w:sz w:val="22"/>
    </w:rPr>
  </w:style>
  <w:style w:type="paragraph" w:styleId="Heading5">
    <w:name w:val="heading 5"/>
    <w:basedOn w:val="HeadingBase"/>
    <w:next w:val="Normal"/>
    <w:link w:val="Heading5Char"/>
    <w:qFormat/>
    <w:rsid w:val="00C4299E"/>
    <w:pPr>
      <w:spacing w:before="80"/>
      <w:outlineLvl w:val="4"/>
    </w:pPr>
    <w:rPr>
      <w:color w:val="918585"/>
      <w:sz w:val="20"/>
    </w:rPr>
  </w:style>
  <w:style w:type="paragraph" w:styleId="Heading6">
    <w:name w:val="heading 6"/>
    <w:basedOn w:val="HeadingBase"/>
    <w:next w:val="Normal"/>
    <w:link w:val="Heading6Char"/>
    <w:qFormat/>
    <w:rsid w:val="00C4299E"/>
    <w:pPr>
      <w:spacing w:before="60"/>
      <w:outlineLvl w:val="5"/>
    </w:pPr>
    <w:rPr>
      <w:color w:val="918585"/>
      <w:sz w:val="20"/>
    </w:rPr>
  </w:style>
  <w:style w:type="paragraph" w:styleId="Heading7">
    <w:name w:val="heading 7"/>
    <w:basedOn w:val="Normal"/>
    <w:next w:val="Normal"/>
    <w:link w:val="Heading7Char"/>
    <w:qFormat/>
    <w:rsid w:val="00C4299E"/>
    <w:pPr>
      <w:ind w:left="720"/>
      <w:outlineLvl w:val="6"/>
    </w:pPr>
    <w:rPr>
      <w:i/>
    </w:rPr>
  </w:style>
  <w:style w:type="paragraph" w:styleId="Heading8">
    <w:name w:val="heading 8"/>
    <w:basedOn w:val="Normal"/>
    <w:next w:val="Normal"/>
    <w:link w:val="Heading8Char"/>
    <w:qFormat/>
    <w:rsid w:val="00C4299E"/>
    <w:pPr>
      <w:ind w:left="720"/>
      <w:outlineLvl w:val="7"/>
    </w:pPr>
    <w:rPr>
      <w:i/>
    </w:rPr>
  </w:style>
  <w:style w:type="paragraph" w:styleId="Heading9">
    <w:name w:val="heading 9"/>
    <w:basedOn w:val="Normal"/>
    <w:next w:val="Normal"/>
    <w:link w:val="Heading9Char"/>
    <w:qFormat/>
    <w:rsid w:val="00C4299E"/>
    <w:pPr>
      <w:ind w:left="720"/>
      <w:outlineLvl w:val="8"/>
    </w:pPr>
    <w:rPr>
      <w:i/>
    </w:rPr>
  </w:style>
  <w:style w:type="character" w:default="1" w:styleId="DefaultParagraphFont">
    <w:name w:val="Default Paragraph Font"/>
    <w:uiPriority w:val="1"/>
    <w:unhideWhenUsed/>
    <w:rsid w:val="00C429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299E"/>
  </w:style>
  <w:style w:type="character" w:customStyle="1" w:styleId="Heading1Char">
    <w:name w:val="Heading 1 Char"/>
    <w:link w:val="Heading1"/>
    <w:rsid w:val="00C4299E"/>
    <w:rPr>
      <w:rFonts w:ascii="Times New Roman" w:eastAsia="Times New Roman" w:hAnsi="Times New Roman" w:cs="Times New Roman"/>
      <w:b/>
      <w:sz w:val="32"/>
      <w:szCs w:val="20"/>
      <w:lang w:eastAsia="en-US"/>
    </w:rPr>
  </w:style>
  <w:style w:type="paragraph" w:styleId="BodyText">
    <w:name w:val="Body Text"/>
    <w:basedOn w:val="Normal"/>
    <w:link w:val="BodyTextChar"/>
    <w:rsid w:val="00C4299E"/>
    <w:pPr>
      <w:spacing w:before="120" w:after="120"/>
      <w:contextualSpacing/>
    </w:pPr>
    <w:rPr>
      <w:rFonts w:ascii="Times New Roman" w:hAnsi="Times New Roman"/>
      <w:sz w:val="24"/>
      <w:szCs w:val="22"/>
    </w:rPr>
  </w:style>
  <w:style w:type="character" w:customStyle="1" w:styleId="BodyTextChar">
    <w:name w:val="Body Text Char"/>
    <w:link w:val="BodyText"/>
    <w:rsid w:val="00C4299E"/>
    <w:rPr>
      <w:rFonts w:ascii="Times New Roman" w:eastAsia="Times New Roman" w:hAnsi="Times New Roman" w:cs="Times New Roman"/>
      <w:sz w:val="24"/>
      <w:lang w:val="en-US" w:eastAsia="en-US"/>
    </w:rPr>
  </w:style>
  <w:style w:type="paragraph" w:styleId="Footer">
    <w:name w:val="footer"/>
    <w:basedOn w:val="Normal"/>
    <w:link w:val="FooterChar"/>
    <w:rsid w:val="00C429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4299E"/>
    <w:rPr>
      <w:rFonts w:ascii="Times New Roman" w:eastAsia="Times New Roman" w:hAnsi="Times New Roman" w:cs="Times New Roman"/>
      <w:sz w:val="16"/>
      <w:lang w:val="en-US" w:eastAsia="en-US"/>
    </w:rPr>
  </w:style>
  <w:style w:type="paragraph" w:styleId="List">
    <w:name w:val="List"/>
    <w:basedOn w:val="BodyText"/>
    <w:next w:val="BodyText"/>
    <w:rsid w:val="00C4299E"/>
    <w:pPr>
      <w:tabs>
        <w:tab w:val="left" w:pos="340"/>
      </w:tabs>
      <w:spacing w:before="60" w:after="60"/>
      <w:ind w:left="340" w:hanging="340"/>
    </w:pPr>
  </w:style>
  <w:style w:type="paragraph" w:styleId="ListBullet">
    <w:name w:val="List Bullet"/>
    <w:basedOn w:val="List"/>
    <w:rsid w:val="00C4299E"/>
    <w:pPr>
      <w:numPr>
        <w:numId w:val="13"/>
      </w:numPr>
      <w:tabs>
        <w:tab w:val="clear" w:pos="340"/>
      </w:tabs>
      <w:spacing w:before="40" w:after="40"/>
    </w:pPr>
  </w:style>
  <w:style w:type="character" w:customStyle="1" w:styleId="SpecialBold">
    <w:name w:val="Special Bold"/>
    <w:rsid w:val="00C4299E"/>
    <w:rPr>
      <w:b/>
      <w:spacing w:val="0"/>
    </w:rPr>
  </w:style>
  <w:style w:type="paragraph" w:styleId="ListBullet2">
    <w:name w:val="List Bullet 2"/>
    <w:basedOn w:val="List2"/>
    <w:rsid w:val="00C4299E"/>
    <w:pPr>
      <w:numPr>
        <w:numId w:val="14"/>
      </w:numPr>
      <w:tabs>
        <w:tab w:val="clear" w:pos="680"/>
      </w:tabs>
    </w:pPr>
  </w:style>
  <w:style w:type="paragraph" w:styleId="Header">
    <w:name w:val="header"/>
    <w:basedOn w:val="Normal"/>
    <w:link w:val="HeaderChar"/>
    <w:rsid w:val="00C429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4299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4299E"/>
    <w:pPr>
      <w:spacing w:before="240" w:after="120"/>
      <w:outlineLvl w:val="0"/>
    </w:pPr>
    <w:rPr>
      <w:rFonts w:ascii="Times New Roman" w:hAnsi="Times New Roman"/>
      <w:b/>
      <w:sz w:val="28"/>
    </w:rPr>
  </w:style>
  <w:style w:type="paragraph" w:customStyle="1" w:styleId="AllowPageBreak">
    <w:name w:val="AllowPageBreak"/>
    <w:rsid w:val="00C429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C4299E"/>
    <w:rPr>
      <w:rFonts w:ascii="Times New Roman" w:eastAsia="Times New Roman" w:hAnsi="Times New Roman" w:cs="Times New Roman"/>
      <w:b/>
      <w:sz w:val="28"/>
      <w:szCs w:val="40"/>
      <w:lang w:eastAsia="en-US"/>
    </w:rPr>
  </w:style>
  <w:style w:type="character" w:customStyle="1" w:styleId="Heading3Char">
    <w:name w:val="Heading 3 Char"/>
    <w:link w:val="Heading3"/>
    <w:rsid w:val="00C4299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4299E"/>
    <w:rPr>
      <w:rFonts w:ascii="Times New Roman" w:eastAsia="Times New Roman" w:hAnsi="Times New Roman" w:cs="Times New Roman"/>
      <w:b/>
      <w:szCs w:val="20"/>
      <w:lang w:eastAsia="en-US"/>
    </w:rPr>
  </w:style>
  <w:style w:type="character" w:customStyle="1" w:styleId="Heading5Char">
    <w:name w:val="Heading 5 Char"/>
    <w:link w:val="Heading5"/>
    <w:rsid w:val="00C4299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429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29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29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299E"/>
    <w:rPr>
      <w:rFonts w:ascii="Courier New" w:eastAsia="Times New Roman" w:hAnsi="Courier New" w:cs="Times New Roman"/>
      <w:i/>
      <w:szCs w:val="20"/>
      <w:lang w:val="en-US" w:eastAsia="en-US"/>
    </w:rPr>
  </w:style>
  <w:style w:type="paragraph" w:customStyle="1" w:styleId="HeadingBase">
    <w:name w:val="Heading Base"/>
    <w:rsid w:val="00C429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299E"/>
    <w:pPr>
      <w:tabs>
        <w:tab w:val="right" w:leader="dot" w:pos="9072"/>
      </w:tabs>
      <w:ind w:left="567"/>
    </w:pPr>
    <w:rPr>
      <w:szCs w:val="22"/>
    </w:rPr>
  </w:style>
  <w:style w:type="paragraph" w:customStyle="1" w:styleId="TOCBase">
    <w:name w:val="TOC Base"/>
    <w:rsid w:val="00C429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299E"/>
    <w:pPr>
      <w:tabs>
        <w:tab w:val="right" w:leader="dot" w:pos="9072"/>
      </w:tabs>
      <w:spacing w:before="40" w:after="40"/>
      <w:ind w:left="284"/>
    </w:pPr>
    <w:rPr>
      <w:rFonts w:ascii="Times New Roman" w:hAnsi="Times New Roman"/>
    </w:rPr>
  </w:style>
  <w:style w:type="paragraph" w:styleId="TOC1">
    <w:name w:val="toc 1"/>
    <w:basedOn w:val="TOCBase"/>
    <w:next w:val="Normal"/>
    <w:rsid w:val="00C429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299E"/>
    <w:pPr>
      <w:spacing w:before="5040"/>
      <w:jc w:val="center"/>
    </w:pPr>
    <w:rPr>
      <w:sz w:val="48"/>
      <w:szCs w:val="72"/>
      <w:lang w:val="en-US"/>
    </w:rPr>
  </w:style>
  <w:style w:type="character" w:customStyle="1" w:styleId="TitleChar">
    <w:name w:val="Title Char"/>
    <w:link w:val="Title"/>
    <w:rsid w:val="00C429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299E"/>
    <w:pPr>
      <w:tabs>
        <w:tab w:val="left" w:pos="3600"/>
        <w:tab w:val="left" w:pos="3958"/>
      </w:tabs>
    </w:pPr>
  </w:style>
  <w:style w:type="paragraph" w:customStyle="1" w:styleId="Note">
    <w:name w:val="Note"/>
    <w:basedOn w:val="BodyText"/>
    <w:rsid w:val="00C429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299E"/>
    <w:pPr>
      <w:framePr w:wrap="auto" w:hAnchor="text" w:y="6049"/>
    </w:pPr>
    <w:rPr>
      <w:color w:val="000000"/>
      <w:sz w:val="40"/>
    </w:rPr>
  </w:style>
  <w:style w:type="paragraph" w:customStyle="1" w:styleId="TOCTitle">
    <w:name w:val="TOCTitle"/>
    <w:basedOn w:val="Heading1"/>
    <w:rsid w:val="00C4299E"/>
    <w:pPr>
      <w:spacing w:after="240"/>
      <w:jc w:val="center"/>
      <w:outlineLvl w:val="9"/>
    </w:pPr>
    <w:rPr>
      <w:caps/>
    </w:rPr>
  </w:style>
  <w:style w:type="paragraph" w:customStyle="1" w:styleId="Version">
    <w:name w:val="Version"/>
    <w:rsid w:val="00C429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299E"/>
    <w:pPr>
      <w:keepNext w:val="0"/>
      <w:tabs>
        <w:tab w:val="right" w:pos="4176"/>
      </w:tabs>
      <w:ind w:left="198" w:hanging="198"/>
    </w:pPr>
    <w:rPr>
      <w:rFonts w:ascii="Garamond" w:hAnsi="Garamond"/>
    </w:rPr>
  </w:style>
  <w:style w:type="paragraph" w:styleId="IndexHeading">
    <w:name w:val="index heading"/>
    <w:basedOn w:val="Normal"/>
    <w:next w:val="Index1"/>
    <w:semiHidden/>
    <w:rsid w:val="00C4299E"/>
    <w:pPr>
      <w:spacing w:before="120" w:after="120"/>
    </w:pPr>
    <w:rPr>
      <w:rFonts w:ascii="Arial" w:hAnsi="Arial"/>
      <w:b/>
      <w:color w:val="918585"/>
      <w:sz w:val="24"/>
    </w:rPr>
  </w:style>
  <w:style w:type="paragraph" w:customStyle="1" w:styleId="Chapter">
    <w:name w:val="Chapter"/>
    <w:basedOn w:val="Normal"/>
    <w:rsid w:val="00C4299E"/>
    <w:pPr>
      <w:spacing w:before="240"/>
    </w:pPr>
    <w:rPr>
      <w:rFonts w:ascii="Times New Roman" w:hAnsi="Times New Roman"/>
      <w:smallCaps/>
      <w:spacing w:val="80"/>
      <w:sz w:val="28"/>
    </w:rPr>
  </w:style>
  <w:style w:type="paragraph" w:customStyle="1" w:styleId="InChapter">
    <w:name w:val="InChapter"/>
    <w:basedOn w:val="Heading3"/>
    <w:rsid w:val="00C4299E"/>
    <w:pPr>
      <w:spacing w:after="240"/>
      <w:outlineLvl w:val="9"/>
    </w:pPr>
    <w:rPr>
      <w:noProof/>
    </w:rPr>
  </w:style>
  <w:style w:type="paragraph" w:styleId="Index2">
    <w:name w:val="index 2"/>
    <w:basedOn w:val="Normal"/>
    <w:next w:val="Normal"/>
    <w:semiHidden/>
    <w:rsid w:val="00C4299E"/>
    <w:pPr>
      <w:tabs>
        <w:tab w:val="right" w:pos="4176"/>
      </w:tabs>
      <w:ind w:left="568" w:hanging="284"/>
    </w:pPr>
    <w:rPr>
      <w:rFonts w:ascii="Garamond" w:hAnsi="Garamond"/>
    </w:rPr>
  </w:style>
  <w:style w:type="paragraph" w:customStyle="1" w:styleId="Byline">
    <w:name w:val="Byline"/>
    <w:rsid w:val="00C429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299E"/>
    <w:pPr>
      <w:tabs>
        <w:tab w:val="clear" w:pos="3600"/>
        <w:tab w:val="clear" w:pos="3958"/>
      </w:tabs>
      <w:jc w:val="right"/>
    </w:pPr>
  </w:style>
  <w:style w:type="character" w:styleId="Emphasis">
    <w:name w:val="Emphasis"/>
    <w:qFormat/>
    <w:rsid w:val="00C4299E"/>
    <w:rPr>
      <w:i/>
    </w:rPr>
  </w:style>
  <w:style w:type="paragraph" w:styleId="Caption">
    <w:name w:val="caption"/>
    <w:basedOn w:val="BodyText"/>
    <w:next w:val="Normal"/>
    <w:qFormat/>
    <w:rsid w:val="00C4299E"/>
    <w:pPr>
      <w:framePr w:w="2268" w:hSpace="181" w:vSpace="181" w:wrap="around" w:vAnchor="text" w:hAnchor="page" w:x="1135" w:y="285" w:anchorLock="1"/>
    </w:pPr>
    <w:rPr>
      <w:i/>
    </w:rPr>
  </w:style>
  <w:style w:type="paragraph" w:customStyle="1" w:styleId="MiniTOCTitle">
    <w:name w:val="MiniTOCTitle"/>
    <w:basedOn w:val="Heading4"/>
    <w:rsid w:val="00C4299E"/>
    <w:pPr>
      <w:spacing w:before="240"/>
      <w:outlineLvl w:val="9"/>
    </w:pPr>
    <w:rPr>
      <w:noProof/>
      <w:sz w:val="24"/>
    </w:rPr>
  </w:style>
  <w:style w:type="paragraph" w:customStyle="1" w:styleId="MiniTOCItem">
    <w:name w:val="MiniTOCItem"/>
    <w:basedOn w:val="ListBullet"/>
    <w:rsid w:val="00C4299E"/>
    <w:pPr>
      <w:numPr>
        <w:numId w:val="0"/>
      </w:numPr>
      <w:tabs>
        <w:tab w:val="right" w:leader="dot" w:pos="6521"/>
      </w:tabs>
      <w:spacing w:before="0" w:after="0"/>
    </w:pPr>
  </w:style>
  <w:style w:type="paragraph" w:customStyle="1" w:styleId="TOFTitle">
    <w:name w:val="TOFTitle"/>
    <w:basedOn w:val="TOCTitle"/>
    <w:rsid w:val="00C4299E"/>
  </w:style>
  <w:style w:type="paragraph" w:styleId="TableofFigures">
    <w:name w:val="table of figures"/>
    <w:basedOn w:val="Normal"/>
    <w:next w:val="Normal"/>
    <w:semiHidden/>
    <w:rsid w:val="00C4299E"/>
    <w:pPr>
      <w:tabs>
        <w:tab w:val="right" w:leader="dot" w:pos="9072"/>
      </w:tabs>
      <w:ind w:left="970" w:hanging="403"/>
    </w:pPr>
    <w:rPr>
      <w:rFonts w:ascii="Times New Roman" w:hAnsi="Times New Roman"/>
      <w:b/>
    </w:rPr>
  </w:style>
  <w:style w:type="paragraph" w:styleId="ListNumber">
    <w:name w:val="List Number"/>
    <w:basedOn w:val="List"/>
    <w:rsid w:val="00C4299E"/>
    <w:pPr>
      <w:numPr>
        <w:numId w:val="11"/>
      </w:numPr>
    </w:pPr>
  </w:style>
  <w:style w:type="character" w:customStyle="1" w:styleId="WingdingSymbols">
    <w:name w:val="Wingding Symbols"/>
    <w:rsid w:val="00C4299E"/>
    <w:rPr>
      <w:rFonts w:ascii="Wingdings" w:hAnsi="Wingdings"/>
    </w:rPr>
  </w:style>
  <w:style w:type="paragraph" w:customStyle="1" w:styleId="TableHeading">
    <w:name w:val="Table Heading"/>
    <w:basedOn w:val="HeadingBase"/>
    <w:rsid w:val="00C4299E"/>
    <w:pPr>
      <w:keepLines/>
      <w:pBdr>
        <w:bottom w:val="single" w:sz="6" w:space="1" w:color="918585"/>
      </w:pBdr>
      <w:spacing w:before="240"/>
    </w:pPr>
  </w:style>
  <w:style w:type="character" w:customStyle="1" w:styleId="HotSpot">
    <w:name w:val="HotSpot"/>
    <w:rsid w:val="00C4299E"/>
    <w:rPr>
      <w:color w:val="0033CC"/>
      <w:u w:val="none"/>
    </w:rPr>
  </w:style>
  <w:style w:type="paragraph" w:customStyle="1" w:styleId="BodyTextRight">
    <w:name w:val="Body Text Right"/>
    <w:basedOn w:val="BodyText"/>
    <w:rsid w:val="00C4299E"/>
    <w:pPr>
      <w:spacing w:before="0" w:after="0"/>
      <w:jc w:val="right"/>
    </w:pPr>
  </w:style>
  <w:style w:type="paragraph" w:styleId="Index3">
    <w:name w:val="index 3"/>
    <w:basedOn w:val="ListNumber2"/>
    <w:next w:val="Normal"/>
    <w:semiHidden/>
    <w:rsid w:val="00C4299E"/>
    <w:pPr>
      <w:numPr>
        <w:numId w:val="0"/>
      </w:numPr>
      <w:tabs>
        <w:tab w:val="right" w:leader="dot" w:pos="4176"/>
      </w:tabs>
    </w:pPr>
  </w:style>
  <w:style w:type="paragraph" w:styleId="ListNumber2">
    <w:name w:val="List Number 2"/>
    <w:basedOn w:val="List2"/>
    <w:rsid w:val="00C4299E"/>
    <w:pPr>
      <w:numPr>
        <w:numId w:val="10"/>
      </w:numPr>
      <w:tabs>
        <w:tab w:val="clear" w:pos="1060"/>
      </w:tabs>
    </w:pPr>
  </w:style>
  <w:style w:type="paragraph" w:customStyle="1" w:styleId="MarginNote">
    <w:name w:val="Margin Note"/>
    <w:basedOn w:val="BodyText"/>
    <w:rsid w:val="00C429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29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429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299E"/>
    <w:rPr>
      <w:sz w:val="32"/>
    </w:rPr>
  </w:style>
  <w:style w:type="paragraph" w:customStyle="1" w:styleId="HeadingProcedure">
    <w:name w:val="Heading Procedure"/>
    <w:basedOn w:val="HeadingBase"/>
    <w:next w:val="Normal"/>
    <w:rsid w:val="00C4299E"/>
    <w:pPr>
      <w:tabs>
        <w:tab w:val="left" w:pos="0"/>
      </w:tabs>
      <w:spacing w:before="120" w:after="60"/>
    </w:pPr>
    <w:rPr>
      <w:i/>
      <w:color w:val="918585"/>
      <w:sz w:val="22"/>
    </w:rPr>
  </w:style>
  <w:style w:type="paragraph" w:customStyle="1" w:styleId="TableBodyText">
    <w:name w:val="Table Body Text"/>
    <w:basedOn w:val="BodyText"/>
    <w:rsid w:val="00C4299E"/>
    <w:pPr>
      <w:spacing w:before="60" w:after="60"/>
    </w:pPr>
  </w:style>
  <w:style w:type="paragraph" w:styleId="ListContinue">
    <w:name w:val="List Continue"/>
    <w:basedOn w:val="List"/>
    <w:rsid w:val="00C4299E"/>
    <w:pPr>
      <w:ind w:firstLine="0"/>
    </w:pPr>
  </w:style>
  <w:style w:type="paragraph" w:customStyle="1" w:styleId="ListNote">
    <w:name w:val="List Note"/>
    <w:basedOn w:val="List"/>
    <w:rsid w:val="00C4299E"/>
    <w:pPr>
      <w:pBdr>
        <w:top w:val="single" w:sz="6" w:space="2" w:color="918585"/>
        <w:bottom w:val="single" w:sz="6" w:space="2" w:color="918585"/>
      </w:pBdr>
      <w:tabs>
        <w:tab w:val="left" w:pos="1021"/>
      </w:tabs>
      <w:ind w:firstLine="0"/>
    </w:pPr>
  </w:style>
  <w:style w:type="paragraph" w:customStyle="1" w:styleId="Warning">
    <w:name w:val="Warning"/>
    <w:basedOn w:val="BodyText"/>
    <w:rsid w:val="00C4299E"/>
    <w:pPr>
      <w:shd w:val="clear" w:color="auto" w:fill="D9D9D9"/>
      <w:tabs>
        <w:tab w:val="left" w:pos="992"/>
      </w:tabs>
      <w:ind w:left="119" w:right="119"/>
    </w:pPr>
    <w:rPr>
      <w:sz w:val="20"/>
    </w:rPr>
  </w:style>
  <w:style w:type="paragraph" w:customStyle="1" w:styleId="MarginIcons">
    <w:name w:val="Margin Icons"/>
    <w:basedOn w:val="BodyText"/>
    <w:rsid w:val="00C4299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4299E"/>
    <w:rPr>
      <w:rFonts w:ascii="Courier New" w:hAnsi="Courier New"/>
    </w:rPr>
  </w:style>
  <w:style w:type="paragraph" w:customStyle="1" w:styleId="NoteBullet">
    <w:name w:val="Note Bullet"/>
    <w:basedOn w:val="Note"/>
    <w:rsid w:val="00C4299E"/>
    <w:pPr>
      <w:tabs>
        <w:tab w:val="clear" w:pos="680"/>
      </w:tabs>
      <w:spacing w:before="60" w:after="60"/>
    </w:pPr>
  </w:style>
  <w:style w:type="paragraph" w:customStyle="1" w:styleId="SubHeading2">
    <w:name w:val="SubHeading2"/>
    <w:basedOn w:val="HeadingBase"/>
    <w:rsid w:val="00C4299E"/>
    <w:pPr>
      <w:spacing w:before="240" w:after="60"/>
    </w:pPr>
    <w:rPr>
      <w:sz w:val="20"/>
    </w:rPr>
  </w:style>
  <w:style w:type="paragraph" w:customStyle="1" w:styleId="SubHeading1">
    <w:name w:val="SubHeading1"/>
    <w:basedOn w:val="HeadingBase"/>
    <w:rsid w:val="00C4299E"/>
    <w:pPr>
      <w:spacing w:before="240" w:after="60"/>
    </w:pPr>
    <w:rPr>
      <w:color w:val="918585"/>
      <w:sz w:val="22"/>
    </w:rPr>
  </w:style>
  <w:style w:type="paragraph" w:customStyle="1" w:styleId="SideHeading">
    <w:name w:val="Side Heading"/>
    <w:basedOn w:val="HeadingBase"/>
    <w:rsid w:val="00C429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299E"/>
    <w:pPr>
      <w:numPr>
        <w:numId w:val="12"/>
      </w:numPr>
    </w:pPr>
  </w:style>
  <w:style w:type="paragraph" w:styleId="PlainText">
    <w:name w:val="Plain Text"/>
    <w:basedOn w:val="Normal"/>
    <w:link w:val="PlainTextChar"/>
    <w:rsid w:val="00C4299E"/>
    <w:rPr>
      <w:sz w:val="20"/>
    </w:rPr>
  </w:style>
  <w:style w:type="character" w:customStyle="1" w:styleId="PlainTextChar">
    <w:name w:val="Plain Text Char"/>
    <w:basedOn w:val="DefaultParagraphFont"/>
    <w:link w:val="PlainText"/>
    <w:rsid w:val="00C4299E"/>
    <w:rPr>
      <w:rFonts w:ascii="Courier New" w:eastAsia="Times New Roman" w:hAnsi="Courier New" w:cs="Times New Roman"/>
      <w:sz w:val="20"/>
      <w:szCs w:val="20"/>
      <w:lang w:val="en-US" w:eastAsia="en-US"/>
    </w:rPr>
  </w:style>
  <w:style w:type="character" w:customStyle="1" w:styleId="MenuOption">
    <w:name w:val="Menu Option"/>
    <w:rsid w:val="00C4299E"/>
    <w:rPr>
      <w:b/>
      <w:smallCaps/>
    </w:rPr>
  </w:style>
  <w:style w:type="paragraph" w:customStyle="1" w:styleId="TableListNumber">
    <w:name w:val="Table List Number"/>
    <w:basedOn w:val="ListNumber"/>
    <w:rsid w:val="00C4299E"/>
    <w:pPr>
      <w:numPr>
        <w:numId w:val="0"/>
      </w:numPr>
    </w:pPr>
  </w:style>
  <w:style w:type="paragraph" w:styleId="TOC4">
    <w:name w:val="toc 4"/>
    <w:basedOn w:val="TOCBase"/>
    <w:next w:val="Normal"/>
    <w:semiHidden/>
    <w:rsid w:val="00C4299E"/>
    <w:pPr>
      <w:tabs>
        <w:tab w:val="right" w:leader="dot" w:pos="9071"/>
      </w:tabs>
      <w:ind w:left="1701"/>
    </w:pPr>
  </w:style>
  <w:style w:type="paragraph" w:customStyle="1" w:styleId="ListAlpha">
    <w:name w:val="List Alpha"/>
    <w:basedOn w:val="List"/>
    <w:rsid w:val="00C4299E"/>
    <w:pPr>
      <w:numPr>
        <w:numId w:val="9"/>
      </w:numPr>
    </w:pPr>
  </w:style>
  <w:style w:type="paragraph" w:customStyle="1" w:styleId="ListAlpha2">
    <w:name w:val="List Alpha 2"/>
    <w:basedOn w:val="List2"/>
    <w:rsid w:val="00C4299E"/>
    <w:pPr>
      <w:numPr>
        <w:numId w:val="8"/>
      </w:numPr>
    </w:pPr>
  </w:style>
  <w:style w:type="paragraph" w:styleId="List2">
    <w:name w:val="List 2"/>
    <w:basedOn w:val="BodyText"/>
    <w:rsid w:val="00C4299E"/>
    <w:pPr>
      <w:tabs>
        <w:tab w:val="left" w:pos="680"/>
      </w:tabs>
      <w:spacing w:before="60" w:after="60"/>
      <w:ind w:left="680" w:hanging="340"/>
    </w:pPr>
  </w:style>
  <w:style w:type="paragraph" w:styleId="List3">
    <w:name w:val="List 3"/>
    <w:basedOn w:val="BodyText"/>
    <w:rsid w:val="00C4299E"/>
    <w:pPr>
      <w:tabs>
        <w:tab w:val="left" w:pos="1021"/>
      </w:tabs>
      <w:spacing w:before="60" w:after="60"/>
      <w:ind w:left="1020" w:hanging="340"/>
    </w:pPr>
  </w:style>
  <w:style w:type="paragraph" w:styleId="List4">
    <w:name w:val="List 4"/>
    <w:basedOn w:val="BodyText"/>
    <w:rsid w:val="00C4299E"/>
    <w:pPr>
      <w:tabs>
        <w:tab w:val="left" w:pos="1361"/>
      </w:tabs>
      <w:spacing w:before="60" w:after="60"/>
      <w:ind w:left="1361" w:hanging="340"/>
    </w:pPr>
  </w:style>
  <w:style w:type="paragraph" w:styleId="List5">
    <w:name w:val="List 5"/>
    <w:basedOn w:val="BodyText"/>
    <w:rsid w:val="00C4299E"/>
    <w:pPr>
      <w:tabs>
        <w:tab w:val="left" w:pos="1701"/>
      </w:tabs>
      <w:spacing w:before="60" w:after="60"/>
      <w:ind w:left="1701" w:hanging="340"/>
    </w:pPr>
  </w:style>
  <w:style w:type="paragraph" w:styleId="ListBullet3">
    <w:name w:val="List Bullet 3"/>
    <w:basedOn w:val="List3"/>
    <w:rsid w:val="00C4299E"/>
    <w:pPr>
      <w:numPr>
        <w:numId w:val="15"/>
      </w:numPr>
      <w:tabs>
        <w:tab w:val="clear" w:pos="1021"/>
      </w:tabs>
      <w:ind w:left="1037" w:hanging="357"/>
    </w:pPr>
  </w:style>
  <w:style w:type="paragraph" w:styleId="ListBullet4">
    <w:name w:val="List Bullet 4"/>
    <w:basedOn w:val="List4"/>
    <w:rsid w:val="00C4299E"/>
    <w:pPr>
      <w:numPr>
        <w:numId w:val="3"/>
      </w:numPr>
    </w:pPr>
  </w:style>
  <w:style w:type="paragraph" w:styleId="ListBullet5">
    <w:name w:val="List Bullet 5"/>
    <w:basedOn w:val="List5"/>
    <w:rsid w:val="00C4299E"/>
    <w:pPr>
      <w:numPr>
        <w:numId w:val="4"/>
      </w:numPr>
    </w:pPr>
  </w:style>
  <w:style w:type="paragraph" w:styleId="ListContinue2">
    <w:name w:val="List Continue 2"/>
    <w:basedOn w:val="List2"/>
    <w:rsid w:val="00C4299E"/>
    <w:pPr>
      <w:ind w:firstLine="0"/>
    </w:pPr>
  </w:style>
  <w:style w:type="paragraph" w:styleId="ListContinue3">
    <w:name w:val="List Continue 3"/>
    <w:basedOn w:val="List3"/>
    <w:rsid w:val="00C4299E"/>
    <w:pPr>
      <w:ind w:left="1021" w:firstLine="0"/>
    </w:pPr>
  </w:style>
  <w:style w:type="paragraph" w:styleId="ListContinue4">
    <w:name w:val="List Continue 4"/>
    <w:basedOn w:val="List4"/>
    <w:rsid w:val="00C4299E"/>
    <w:pPr>
      <w:ind w:firstLine="0"/>
    </w:pPr>
  </w:style>
  <w:style w:type="paragraph" w:styleId="ListContinue5">
    <w:name w:val="List Continue 5"/>
    <w:basedOn w:val="List5"/>
    <w:rsid w:val="00C4299E"/>
    <w:pPr>
      <w:ind w:firstLine="0"/>
    </w:pPr>
  </w:style>
  <w:style w:type="paragraph" w:styleId="ListNumber3">
    <w:name w:val="List Number 3"/>
    <w:basedOn w:val="List3"/>
    <w:rsid w:val="00C4299E"/>
    <w:pPr>
      <w:numPr>
        <w:numId w:val="5"/>
      </w:numPr>
    </w:pPr>
  </w:style>
  <w:style w:type="paragraph" w:styleId="ListNumber4">
    <w:name w:val="List Number 4"/>
    <w:basedOn w:val="List4"/>
    <w:rsid w:val="00C4299E"/>
    <w:pPr>
      <w:numPr>
        <w:numId w:val="6"/>
      </w:numPr>
    </w:pPr>
  </w:style>
  <w:style w:type="paragraph" w:styleId="ListNumber5">
    <w:name w:val="List Number 5"/>
    <w:basedOn w:val="List5"/>
    <w:rsid w:val="00C4299E"/>
    <w:pPr>
      <w:numPr>
        <w:numId w:val="7"/>
      </w:numPr>
    </w:pPr>
  </w:style>
  <w:style w:type="paragraph" w:styleId="BlockText">
    <w:name w:val="Block Text"/>
    <w:basedOn w:val="Normal"/>
    <w:rsid w:val="00C4299E"/>
    <w:pPr>
      <w:spacing w:after="120"/>
      <w:ind w:left="1440" w:right="1440"/>
    </w:pPr>
  </w:style>
  <w:style w:type="character" w:customStyle="1" w:styleId="Subscript">
    <w:name w:val="Subscript"/>
    <w:rsid w:val="00C4299E"/>
    <w:rPr>
      <w:sz w:val="16"/>
      <w:vertAlign w:val="subscript"/>
    </w:rPr>
  </w:style>
  <w:style w:type="character" w:customStyle="1" w:styleId="Superscript">
    <w:name w:val="Superscript"/>
    <w:rsid w:val="00C4299E"/>
    <w:rPr>
      <w:sz w:val="16"/>
      <w:vertAlign w:val="superscript"/>
    </w:rPr>
  </w:style>
  <w:style w:type="character" w:customStyle="1" w:styleId="Symbols">
    <w:name w:val="Symbols"/>
    <w:rsid w:val="00C4299E"/>
    <w:rPr>
      <w:rFonts w:ascii="Symbol" w:hAnsi="Symbol"/>
    </w:rPr>
  </w:style>
  <w:style w:type="character" w:customStyle="1" w:styleId="MenuOptions">
    <w:name w:val="Menu Options"/>
    <w:rsid w:val="00C4299E"/>
    <w:rPr>
      <w:rFonts w:ascii="Arial Narrow" w:hAnsi="Arial Narrow"/>
      <w:smallCaps/>
    </w:rPr>
  </w:style>
  <w:style w:type="character" w:customStyle="1" w:styleId="Buttons">
    <w:name w:val="Buttons"/>
    <w:rsid w:val="00C4299E"/>
    <w:rPr>
      <w:b/>
    </w:rPr>
  </w:style>
  <w:style w:type="character" w:customStyle="1" w:styleId="Underlined">
    <w:name w:val="Underlined"/>
    <w:rsid w:val="00C4299E"/>
    <w:rPr>
      <w:u w:val="single"/>
    </w:rPr>
  </w:style>
  <w:style w:type="paragraph" w:customStyle="1" w:styleId="TableBodyTextRight">
    <w:name w:val="Table Body Text Right"/>
    <w:basedOn w:val="TableBodyText"/>
    <w:rsid w:val="00C4299E"/>
    <w:pPr>
      <w:widowControl w:val="0"/>
      <w:autoSpaceDE w:val="0"/>
      <w:autoSpaceDN w:val="0"/>
      <w:adjustRightInd w:val="0"/>
      <w:jc w:val="right"/>
    </w:pPr>
    <w:rPr>
      <w:rFonts w:cs="Arial"/>
      <w:szCs w:val="18"/>
    </w:rPr>
  </w:style>
  <w:style w:type="paragraph" w:customStyle="1" w:styleId="CopyrightText">
    <w:name w:val="Copyright Text"/>
    <w:basedOn w:val="BodyText"/>
    <w:rsid w:val="00C4299E"/>
    <w:rPr>
      <w:sz w:val="18"/>
    </w:rPr>
  </w:style>
  <w:style w:type="paragraph" w:customStyle="1" w:styleId="BodySmallRight">
    <w:name w:val="Body Small Right"/>
    <w:basedOn w:val="BodyTextRight"/>
    <w:rsid w:val="00C4299E"/>
    <w:rPr>
      <w:sz w:val="18"/>
      <w:szCs w:val="18"/>
    </w:rPr>
  </w:style>
  <w:style w:type="paragraph" w:customStyle="1" w:styleId="MarginEdition">
    <w:name w:val="Margin Edition"/>
    <w:basedOn w:val="MarginNote"/>
    <w:rsid w:val="00C4299E"/>
    <w:pPr>
      <w:spacing w:before="0" w:after="0"/>
    </w:pPr>
    <w:rPr>
      <w:rFonts w:ascii="Times New Roman" w:hAnsi="Times New Roman"/>
      <w:color w:val="999999"/>
    </w:rPr>
  </w:style>
  <w:style w:type="paragraph" w:customStyle="1" w:styleId="Spacer">
    <w:name w:val="Spacer"/>
    <w:basedOn w:val="Normal"/>
    <w:rsid w:val="00C4299E"/>
    <w:rPr>
      <w:sz w:val="2"/>
      <w:szCs w:val="2"/>
    </w:rPr>
  </w:style>
  <w:style w:type="character" w:customStyle="1" w:styleId="Small">
    <w:name w:val="Small"/>
    <w:rsid w:val="00C4299E"/>
    <w:rPr>
      <w:sz w:val="16"/>
    </w:rPr>
  </w:style>
  <w:style w:type="paragraph" w:customStyle="1" w:styleId="WideTable">
    <w:name w:val="Wide Table"/>
    <w:basedOn w:val="Normal"/>
    <w:rsid w:val="00C4299E"/>
    <w:pPr>
      <w:ind w:left="-1418"/>
    </w:pPr>
    <w:rPr>
      <w:sz w:val="2"/>
      <w:szCs w:val="2"/>
    </w:rPr>
  </w:style>
  <w:style w:type="character" w:styleId="PageNumber">
    <w:name w:val="page number"/>
    <w:rsid w:val="00C4299E"/>
  </w:style>
  <w:style w:type="paragraph" w:styleId="Quote">
    <w:name w:val="Quote"/>
    <w:basedOn w:val="Heading1"/>
    <w:link w:val="QuoteChar"/>
    <w:qFormat/>
    <w:rsid w:val="00C4299E"/>
    <w:rPr>
      <w:b w:val="0"/>
      <w:sz w:val="72"/>
      <w:szCs w:val="72"/>
      <w:lang w:val="en-NZ"/>
    </w:rPr>
  </w:style>
  <w:style w:type="character" w:customStyle="1" w:styleId="QuoteChar">
    <w:name w:val="Quote Char"/>
    <w:link w:val="Quote"/>
    <w:rsid w:val="00C429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299E"/>
    <w:pPr>
      <w:pageBreakBefore/>
    </w:pPr>
  </w:style>
  <w:style w:type="paragraph" w:customStyle="1" w:styleId="Border">
    <w:name w:val="Border"/>
    <w:basedOn w:val="Normal"/>
    <w:qFormat/>
    <w:rsid w:val="00C4299E"/>
    <w:pPr>
      <w:pBdr>
        <w:top w:val="single" w:sz="18" w:space="1" w:color="auto"/>
      </w:pBdr>
    </w:pPr>
    <w:rPr>
      <w:rFonts w:ascii="Times New Roman" w:hAnsi="Times New Roman"/>
      <w:color w:val="FFFFFF"/>
      <w:sz w:val="2"/>
    </w:rPr>
  </w:style>
  <w:style w:type="character" w:styleId="IntenseEmphasis">
    <w:name w:val="Intense Emphasis"/>
    <w:uiPriority w:val="21"/>
    <w:qFormat/>
    <w:rsid w:val="00C4299E"/>
    <w:rPr>
      <w:b/>
      <w:bCs/>
      <w:i/>
      <w:iCs/>
      <w:color w:val="auto"/>
    </w:rPr>
  </w:style>
  <w:style w:type="paragraph" w:styleId="IntenseQuote">
    <w:name w:val="Intense Quote"/>
    <w:basedOn w:val="Normal"/>
    <w:next w:val="Normal"/>
    <w:link w:val="IntenseQuoteChar"/>
    <w:uiPriority w:val="30"/>
    <w:qFormat/>
    <w:rsid w:val="00C4299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4299E"/>
    <w:rPr>
      <w:rFonts w:ascii="Courier New" w:eastAsia="Times New Roman" w:hAnsi="Courier New" w:cs="Times New Roman"/>
      <w:b/>
      <w:bCs/>
      <w:i/>
      <w:iCs/>
      <w:szCs w:val="20"/>
      <w:lang w:val="en-US" w:eastAsia="en-US"/>
    </w:rPr>
  </w:style>
  <w:style w:type="character" w:styleId="SubtleReference">
    <w:name w:val="Subtle Reference"/>
    <w:uiPriority w:val="31"/>
    <w:qFormat/>
    <w:rsid w:val="00C4299E"/>
    <w:rPr>
      <w:smallCaps/>
      <w:color w:val="auto"/>
      <w:u w:val="single"/>
    </w:rPr>
  </w:style>
  <w:style w:type="character" w:styleId="IntenseReference">
    <w:name w:val="Intense Reference"/>
    <w:uiPriority w:val="32"/>
    <w:qFormat/>
    <w:rsid w:val="00C4299E"/>
    <w:rPr>
      <w:b/>
      <w:bCs/>
      <w:smallCaps/>
      <w:color w:val="auto"/>
      <w:spacing w:val="5"/>
      <w:u w:val="single"/>
    </w:rPr>
  </w:style>
  <w:style w:type="paragraph" w:customStyle="1" w:styleId="2ColumnHeading">
    <w:name w:val="2Column Heading"/>
    <w:basedOn w:val="BodyText"/>
    <w:qFormat/>
    <w:rsid w:val="00C4299E"/>
    <w:pPr>
      <w:spacing w:after="60"/>
      <w:ind w:left="-2268"/>
    </w:pPr>
    <w:rPr>
      <w:b/>
    </w:rPr>
  </w:style>
  <w:style w:type="paragraph" w:customStyle="1" w:styleId="Heading1TOC">
    <w:name w:val="Heading1 TOC"/>
    <w:basedOn w:val="Normal"/>
    <w:qFormat/>
    <w:rsid w:val="00C4299E"/>
    <w:pPr>
      <w:spacing w:before="240" w:after="120"/>
    </w:pPr>
    <w:rPr>
      <w:rFonts w:ascii="Times New Roman" w:hAnsi="Times New Roman"/>
      <w:b/>
      <w:sz w:val="32"/>
    </w:rPr>
  </w:style>
  <w:style w:type="paragraph" w:customStyle="1" w:styleId="Heading2TOC">
    <w:name w:val="Heading2 TOC"/>
    <w:basedOn w:val="Normal"/>
    <w:qFormat/>
    <w:rsid w:val="00C4299E"/>
    <w:pPr>
      <w:spacing w:before="240" w:after="60"/>
    </w:pPr>
    <w:rPr>
      <w:rFonts w:ascii="Times New Roman" w:hAnsi="Times New Roman"/>
      <w:b/>
      <w:sz w:val="28"/>
    </w:rPr>
  </w:style>
  <w:style w:type="character" w:customStyle="1" w:styleId="Underline">
    <w:name w:val="Underline"/>
    <w:qFormat/>
    <w:rsid w:val="00C4299E"/>
    <w:rPr>
      <w:u w:val="single"/>
    </w:rPr>
  </w:style>
  <w:style w:type="character" w:customStyle="1" w:styleId="BoldandItalics">
    <w:name w:val="Bold and Italics"/>
    <w:qFormat/>
    <w:rsid w:val="00C4299E"/>
    <w:rPr>
      <w:b/>
      <w:i/>
      <w:u w:val="none"/>
    </w:rPr>
  </w:style>
  <w:style w:type="paragraph" w:styleId="BalloonText">
    <w:name w:val="Balloon Text"/>
    <w:basedOn w:val="Normal"/>
    <w:link w:val="BalloonTextChar"/>
    <w:rsid w:val="00C4299E"/>
    <w:rPr>
      <w:rFonts w:ascii="Tahoma" w:hAnsi="Tahoma" w:cs="Tahoma"/>
      <w:sz w:val="16"/>
      <w:szCs w:val="16"/>
    </w:rPr>
  </w:style>
  <w:style w:type="character" w:customStyle="1" w:styleId="BalloonTextChar">
    <w:name w:val="Balloon Text Char"/>
    <w:link w:val="BalloonText"/>
    <w:rsid w:val="00C429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299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4299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1726</Words>
  <Characters>11115</Characters>
  <Application>Microsoft Office Word</Application>
  <DocSecurity>0</DocSecurity>
  <Lines>336</Lines>
  <Paragraphs>186</Paragraphs>
  <ScaleCrop>false</ScaleCrop>
  <Company>Author-it Software Corporation Ltd.</Company>
  <LinksUpToDate>false</LinksUpToDate>
  <CharactersWithSpaces>12765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TLID2016A Load and unload explosives and dangerous goods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2012-05-27T03:39:00Z</dcterms:created>
  <dcterms:modified xsi:type="dcterms:W3CDTF">2012-05-27T03:40:00Z</dcterms:modified>
</cp:coreProperties>
</file>