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800" w:rsidP="00435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TLIC4073A Set up, operate and shut down a distributed power system</w:t>
      </w:r>
      <w:r>
        <w:fldChar w:fldCharType="end"/>
      </w:r>
    </w:p>
    <w:p w:rsidR="00435800" w:rsidP="00435800">
      <w:pPr>
        <w:pStyle w:val="Version"/>
        <w:sectPr w:rsidSect="00AA0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0D95" w:rsidP="00AA0D95">
      <w:pPr>
        <w:pStyle w:val="SuperHeading"/>
      </w:pPr>
      <w:r w:rsidRPr="00AA0D95">
        <w:t>TLIC4073A Set up, operate and shut down a distributed power system</w:t>
      </w:r>
    </w:p>
    <w:p w:rsidR="00000000" w:rsidRPr="00AA0D95" w:rsidP="00AA0D95">
      <w:pPr>
        <w:pStyle w:val="Heading1"/>
      </w:pPr>
      <w:bookmarkStart w:id="1" w:name="O_627699"/>
      <w:bookmarkEnd w:id="1"/>
      <w:r w:rsidRPr="00AA0D95">
        <w:t>Modification History</w:t>
      </w:r>
    </w:p>
    <w:p w:rsidR="00000000" w:rsidRPr="00AA0D95" w:rsidP="00AA0D95">
      <w:pPr>
        <w:pStyle w:val="BodyText"/>
      </w:pPr>
      <w:r w:rsidRPr="00AA0D95">
        <w:t>Release 1. This is the first release of this unit.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2" w:name="O_627700"/>
      <w:bookmarkEnd w:id="2"/>
      <w:r w:rsidRPr="00AA0D95">
        <w:t>Unit Descriptor</w:t>
      </w:r>
    </w:p>
    <w:p w:rsidR="00000000" w:rsidRPr="00AA0D95" w:rsidP="00AA0D95">
      <w:pPr>
        <w:pStyle w:val="BodyText"/>
      </w:pPr>
      <w:r w:rsidRPr="00AA0D95">
        <w:t>This unit involves the skills and knowledge required to set up, operate and shut down a distributed power system in accordance with organisational procedures and the requirements of relevant codes of practice.</w:t>
      </w:r>
    </w:p>
    <w:p w:rsidR="00000000" w:rsidRPr="00AA0D95" w:rsidP="00AA0D95">
      <w:pPr>
        <w:pStyle w:val="BodyText"/>
      </w:pPr>
      <w:r w:rsidRPr="00AA0D95">
        <w:t>Licensing or certification requirements are no</w:t>
      </w:r>
      <w:r w:rsidRPr="00AA0D95">
        <w:t>t applicable to this unit.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3" w:name="O_627701"/>
      <w:bookmarkEnd w:id="3"/>
      <w:r w:rsidRPr="00AA0D95">
        <w:t>Application of the Unit</w:t>
      </w:r>
    </w:p>
    <w:p w:rsidR="00000000" w:rsidRPr="00AA0D95" w:rsidP="00AA0D95">
      <w:pPr>
        <w:pStyle w:val="BodyText"/>
      </w:pPr>
      <w:r w:rsidRPr="00AA0D95">
        <w:t>This unit covers setting up the remote control system, setting up the lead control system, operating, monitoring and shutting down the distribute power system.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4" w:name="O_627702"/>
      <w:bookmarkEnd w:id="4"/>
      <w:r w:rsidRPr="00AA0D95">
        <w:t>Licensing/R</w:t>
      </w:r>
      <w:r w:rsidRPr="00AA0D95">
        <w:t>egulatory Information</w:t>
      </w:r>
    </w:p>
    <w:p w:rsidR="00000000" w:rsidRPr="00AA0D95" w:rsidP="00AA0D95">
      <w:pPr>
        <w:pStyle w:val="BodyText"/>
      </w:pPr>
      <w:r w:rsidRPr="00AA0D95">
        <w:t>Refer to Unit Descriptor.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5" w:name="O_627703"/>
      <w:bookmarkEnd w:id="5"/>
      <w:r w:rsidRPr="00AA0D95">
        <w:t>Pre-Requisites</w:t>
      </w:r>
    </w:p>
    <w:p w:rsidR="00000000" w:rsidRPr="00AA0D95" w:rsidP="00AA0D95">
      <w:pPr>
        <w:pStyle w:val="BodyText"/>
      </w:pPr>
      <w:r w:rsidRPr="00AA0D95">
        <w:t>Nil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6" w:name="O_627704"/>
      <w:bookmarkEnd w:id="6"/>
      <w:r w:rsidRPr="00AA0D95">
        <w:t>Employability Skills Information</w:t>
      </w:r>
    </w:p>
    <w:p w:rsidR="00000000" w:rsidRPr="00AA0D95" w:rsidP="00AA0D95">
      <w:pPr>
        <w:pStyle w:val="BodyText"/>
      </w:pPr>
      <w:r w:rsidRPr="00AA0D95">
        <w:t>This unit contains employability skills.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7" w:name="O_627705"/>
      <w:bookmarkEnd w:id="7"/>
      <w:r w:rsidRPr="00AA0D9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 xml:space="preserve">Elements describe </w:t>
            </w:r>
            <w:r w:rsidRPr="00AA0D95">
              <w:t>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A0D95" w:rsidP="00AA0D95">
      <w:pPr>
        <w:pStyle w:val="BodyText"/>
      </w:pP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8" w:name="O_627706"/>
      <w:bookmarkEnd w:id="8"/>
      <w:r w:rsidRPr="00AA0D9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Prepare train for set up of distributed power system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motive power units are positioned as required in train consist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Train sections are marshalled to form one train as required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Set up remote distributed motive power units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is set up on all remote units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system is tested in accordance with manufacturer instructions and/or organisational policies and procedures ready for linking with lea</w:t>
            </w:r>
            <w:r w:rsidRPr="00AA0D95">
              <w:t>d control unit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Start-up procedures for remote distributed motive power units are followed in accordance with manufacturer instructions and/or organisational policies and procedures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Set up lead distributed motive power units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system is set up by conditioning/activation of required systems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system is tested in accordance with manufacturer instructions and/or organisational policies and procedures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Start-up procedures for lead distributed motive power units are followed in accordance with manufacturer instructions and/or organisational policies and procedures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Full control of distributed motive power units is established after linking process h</w:t>
            </w:r>
            <w:r w:rsidRPr="00AA0D95">
              <w:t>as been completed and required function tests have been conducted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Operate and monitor distributed power train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system is operated and monitored during train operation to ensure safe train handling and control in accordance with oper</w:t>
            </w:r>
            <w:r w:rsidRPr="00AA0D95">
              <w:t>ational requirements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Operational difficulties/faults are identified and rectified ensuring operational safety and efficiency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Shut-down procedures for distributed motive power units are followed in accordance with manufacturer’</w:t>
            </w:r>
            <w:r w:rsidRPr="00AA0D95">
              <w:t>s instructions and/or organisational policies and procedures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Shut down distributed power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train is secured against movement as required prior to system shut down</w:t>
            </w:r>
          </w:p>
        </w:tc>
      </w:tr>
      <w:tr w:rsidTr="004358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t>Shut-down procedures fo</w:t>
            </w:r>
            <w:r w:rsidRPr="00AA0D95">
              <w:t>r distributed motive power units are followed in accordance with manufacturer instructions and/or organisational policies and procedures</w:t>
            </w:r>
          </w:p>
        </w:tc>
      </w:tr>
    </w:tbl>
    <w:p w:rsidR="00000000" w:rsidRPr="00AA0D95" w:rsidP="00AA0D95">
      <w:pPr>
        <w:pStyle w:val="BodyText"/>
      </w:pP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9" w:name="O_627707"/>
      <w:bookmarkEnd w:id="9"/>
      <w:r w:rsidRPr="00AA0D9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This section describes the knowledge and skills required for this unit</w:t>
            </w:r>
            <w:r w:rsidRPr="00AA0D95">
              <w:t>.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Required knowledge: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Controls, instruments and indicators of a distributed power system and their purpose, location and use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 xml:space="preserve">Critical distributed power system control information including compatible coupling, </w:t>
            </w:r>
            <w:r w:rsidRPr="00AA0D95">
              <w:t>braking, drive equipment and ancillary systems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Procedures for managing hazardous situations involving distributed power system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Procedures for identifying equipment defects in distributed power system and assessing any identified defective units for app</w:t>
            </w:r>
            <w:r w:rsidRPr="00AA0D95">
              <w:t>ropriate action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Relevant environmental protection legislation, regulations, codes, policies and procedures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Information/documents such as:</w:t>
            </w:r>
          </w:p>
          <w:p w:rsidR="00000000" w:rsidRPr="00AA0D95" w:rsidP="00AA0D95">
            <w:pPr>
              <w:pStyle w:val="ListBullet2"/>
            </w:pPr>
            <w:r w:rsidRPr="00AA0D95">
              <w:t>equipment operation manuals</w:t>
            </w:r>
          </w:p>
          <w:p w:rsidR="00000000" w:rsidRPr="00AA0D95" w:rsidP="00AA0D95">
            <w:pPr>
              <w:pStyle w:val="ListBullet2"/>
            </w:pPr>
            <w:r w:rsidRPr="00AA0D95">
              <w:t xml:space="preserve">operational instructions, policies and procedures </w:t>
            </w:r>
          </w:p>
          <w:p w:rsidR="00000000" w:rsidRPr="00AA0D95" w:rsidP="00AA0D95">
            <w:pPr>
              <w:pStyle w:val="ListBullet2"/>
            </w:pPr>
            <w:r w:rsidRPr="00AA0D95">
              <w:t>organisational procedures and instructions, and job specifications</w:t>
            </w:r>
          </w:p>
          <w:p w:rsidR="00000000" w:rsidP="00AA0D95">
            <w:pPr>
              <w:pStyle w:val="ListBullet2"/>
              <w:rPr>
                <w:lang w:val="en-NZ"/>
              </w:rPr>
            </w:pPr>
            <w:r w:rsidRPr="00AA0D95">
              <w:t>relevant logbooks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Relevant Australian Standards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Relevant legislated rail safety requirements including state and territory acts and regulations, and nationally approved compliance codes</w:t>
            </w:r>
            <w:r w:rsidRPr="00AA0D95">
              <w:t xml:space="preserve"> and/or guidelines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Relevant work health and safety (WHS)/occupational health and safety (OHS) legislation, regulations, codes, policies and procedures</w:t>
            </w:r>
          </w:p>
        </w:tc>
      </w:tr>
    </w:tbl>
    <w:p w:rsidR="00000000" w:rsidRPr="00AA0D95" w:rsidP="00AA0D9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Required skills: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Monitor performance of equipment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Operate and adapt to differences in equipment in accordance with standard operating procedures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 xml:space="preserve">Read and interpret instructions, procedures, information and signs relevant to the setting up and shutting down of a distributed power system 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 xml:space="preserve">Report and/or </w:t>
            </w:r>
            <w:r w:rsidRPr="00AA0D95">
              <w:t>rectify any identified problems, faults or malfunctions when setting up and shutting down a distributed power system in accordance with regulatory requirements and organisational procedures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Select and use required personal protective equipment conforming</w:t>
            </w:r>
            <w:r w:rsidRPr="00AA0D95">
              <w:t xml:space="preserve"> to industry and WHS/OH&amp;S standards</w:t>
            </w:r>
          </w:p>
        </w:tc>
      </w:tr>
    </w:tbl>
    <w:p w:rsidR="00000000" w:rsidRPr="00AA0D95" w:rsidP="00AA0D95">
      <w:pPr>
        <w:pStyle w:val="BodyText"/>
      </w:pP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10" w:name="O_627708"/>
      <w:bookmarkEnd w:id="10"/>
      <w:r w:rsidRPr="00AA0D95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 xml:space="preserve">The evidence guide provides advice on assessment and must be read in conjunction with the performance criteria, required knowledge and skills, </w:t>
            </w:r>
            <w:r w:rsidRPr="00AA0D95">
              <w:t>the range statement and the assessment guidelines for this Training Package.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t>The evidence required to demonstrate competency in this unit must be relevant to and</w:t>
            </w:r>
            <w:r w:rsidRPr="00AA0D95">
              <w:t xml:space="preserve"> satisfy all of the requirements of the elements and performance criteria of this unit and include demonstration of applying:</w:t>
            </w:r>
          </w:p>
          <w:p w:rsidR="00000000" w:rsidRPr="00AA0D95" w:rsidP="00AA0D95">
            <w:pPr>
              <w:pStyle w:val="ListBullet"/>
            </w:pPr>
            <w:r w:rsidRPr="00AA0D95">
              <w:t>required knowledge and skills</w:t>
            </w:r>
          </w:p>
          <w:p w:rsidR="00000000" w:rsidRPr="00AA0D95" w:rsidP="00AA0D95">
            <w:pPr>
              <w:pStyle w:val="ListBullet"/>
            </w:pPr>
            <w:r w:rsidRPr="00AA0D95">
              <w:t>relevant legislation and organisational procedures</w:t>
            </w:r>
          </w:p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other relevant aspects of the range statement.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t>Performance is demonstrated consistently over time and in a suitable range of contexts.</w:t>
            </w:r>
          </w:p>
          <w:p w:rsidR="00000000" w:rsidRPr="00AA0D95" w:rsidP="00AA0D95">
            <w:pPr>
              <w:pStyle w:val="BodyText"/>
            </w:pPr>
            <w:r w:rsidRPr="00AA0D95">
              <w:t>Resources for assessment include access to:</w:t>
            </w:r>
          </w:p>
          <w:p w:rsidR="00000000" w:rsidRPr="00AA0D95" w:rsidP="00AA0D95">
            <w:pPr>
              <w:pStyle w:val="ListBullet"/>
            </w:pPr>
            <w:r w:rsidRPr="00AA0D95">
              <w:t>a range of rel</w:t>
            </w:r>
            <w:r w:rsidRPr="00AA0D95">
              <w:t>evant exercises, case studies and/or other simulated practical and knowledge assessment, and/or</w:t>
            </w:r>
          </w:p>
          <w:p w:rsidR="00000000" w:rsidRPr="00AA0D95" w:rsidP="00AA0D95">
            <w:pPr>
              <w:pStyle w:val="ListBullet"/>
            </w:pPr>
            <w:r w:rsidRPr="00AA0D95">
              <w:t>an appropriate range of relevant operational situations in the workplace.</w:t>
            </w:r>
          </w:p>
          <w:p w:rsidR="00000000" w:rsidRPr="00AA0D95" w:rsidP="00AA0D95">
            <w:pPr>
              <w:pStyle w:val="BodyText"/>
            </w:pPr>
            <w:r w:rsidRPr="00AA0D95">
              <w:t>In both real and simulated environments, access is required to:</w:t>
            </w:r>
          </w:p>
          <w:p w:rsidR="00000000" w:rsidRPr="00AA0D95" w:rsidP="00AA0D95">
            <w:pPr>
              <w:pStyle w:val="ListBullet"/>
            </w:pPr>
            <w:r w:rsidRPr="00AA0D95">
              <w:t>relevant and appropri</w:t>
            </w:r>
            <w:r w:rsidRPr="00AA0D95">
              <w:t>ate materials and equipment, and</w:t>
            </w:r>
          </w:p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applicable documentation including organisational procedures, regulations, codes of practice and operation manuals.</w:t>
            </w:r>
          </w:p>
        </w:tc>
      </w:tr>
      <w:tr w:rsidTr="00AA0D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BodyText"/>
            </w:pPr>
            <w:r w:rsidRPr="00AA0D95">
              <w:t>As a minimum, assessment of knowledge must be conducted through appropriate written/o</w:t>
            </w:r>
            <w:r w:rsidRPr="00AA0D95">
              <w:t>ral tests.</w:t>
            </w:r>
          </w:p>
          <w:p w:rsidR="00000000" w:rsidRPr="00AA0D95" w:rsidP="00AA0D95">
            <w:pPr>
              <w:pStyle w:val="BodyText"/>
            </w:pPr>
            <w:r w:rsidRPr="00AA0D95">
              <w:t>Practical assessment must occur:</w:t>
            </w:r>
          </w:p>
          <w:p w:rsidR="00000000" w:rsidRPr="00AA0D95" w:rsidP="00AA0D95">
            <w:pPr>
              <w:pStyle w:val="ListBullet"/>
            </w:pPr>
            <w:r w:rsidRPr="00AA0D95">
              <w:t>through activities in an appropriately simulated environment, and/or</w:t>
            </w:r>
          </w:p>
          <w:p w:rsidR="00000000" w:rsidRPr="00AA0D95" w:rsidP="00AA0D95">
            <w:pPr>
              <w:pStyle w:val="ListBullet"/>
            </w:pPr>
            <w:r w:rsidRPr="00AA0D95">
              <w:t>in an appropriate range of situations in the workplace.</w:t>
            </w:r>
          </w:p>
        </w:tc>
      </w:tr>
    </w:tbl>
    <w:p w:rsidR="00000000" w:rsidRPr="00AA0D95" w:rsidP="00AA0D95">
      <w:pPr>
        <w:pStyle w:val="BodyText"/>
      </w:pP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11" w:name="O_627709"/>
      <w:bookmarkEnd w:id="11"/>
      <w:r w:rsidRPr="00AA0D95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35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The range statement relates to the unit of competency as a whole. It allows for different work environments and situations that may affect performance.</w:t>
            </w:r>
          </w:p>
        </w:tc>
      </w:tr>
      <w:tr w:rsidTr="00435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Distributed power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Locotrol</w:t>
            </w:r>
          </w:p>
          <w:p w:rsidR="00000000" w:rsidRPr="00AA0D95" w:rsidP="00AA0D95">
            <w:pPr>
              <w:pStyle w:val="ListBullet"/>
            </w:pPr>
            <w:r w:rsidRPr="00AA0D95">
              <w:t xml:space="preserve">Siemens </w:t>
            </w:r>
          </w:p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>Wabtec</w:t>
            </w:r>
          </w:p>
        </w:tc>
      </w:tr>
      <w:tr w:rsidTr="00435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Function tests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brake flow/continuity test</w:t>
            </w:r>
          </w:p>
          <w:p w:rsidR="00000000" w:rsidRPr="00AA0D95" w:rsidP="00AA0D95">
            <w:pPr>
              <w:pStyle w:val="ListBullet"/>
            </w:pPr>
            <w:r w:rsidRPr="00AA0D95">
              <w:t xml:space="preserve">direction test </w:t>
            </w:r>
          </w:p>
          <w:p w:rsidR="00000000" w:rsidRPr="00AA0D95" w:rsidP="00AA0D95">
            <w:pPr>
              <w:pStyle w:val="ListBullet"/>
            </w:pPr>
            <w:r w:rsidRPr="00AA0D95">
              <w:t>electromagnetic valve</w:t>
            </w:r>
          </w:p>
          <w:p w:rsidR="00000000" w:rsidRPr="00AA0D95" w:rsidP="00AA0D95">
            <w:pPr>
              <w:pStyle w:val="ListBullet"/>
            </w:pPr>
            <w:r w:rsidRPr="00AA0D95">
              <w:t>emergency</w:t>
            </w:r>
          </w:p>
          <w:p w:rsidR="00000000" w:rsidRPr="00AA0D95" w:rsidP="00AA0D95">
            <w:pPr>
              <w:pStyle w:val="ListBullet"/>
            </w:pPr>
            <w:r w:rsidRPr="00AA0D95">
              <w:t>flow test for motive power unit sequence</w:t>
            </w:r>
          </w:p>
          <w:p w:rsidR="00000000" w:rsidP="00AA0D95">
            <w:pPr>
              <w:pStyle w:val="ListBullet"/>
              <w:rPr>
                <w:lang w:val="en-NZ"/>
              </w:rPr>
            </w:pPr>
            <w:r w:rsidRPr="00AA0D95">
              <w:t xml:space="preserve">leakage test </w:t>
            </w:r>
          </w:p>
        </w:tc>
      </w:tr>
      <w:tr w:rsidTr="00435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95">
            <w:pPr>
              <w:pStyle w:val="BodyText"/>
              <w:rPr>
                <w:lang w:val="en-NZ"/>
              </w:rPr>
            </w:pPr>
            <w:r w:rsidRPr="00AA0D95">
              <w:t>Safety and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95" w:rsidP="00AA0D95">
            <w:pPr>
              <w:pStyle w:val="ListBullet"/>
            </w:pPr>
            <w:r w:rsidRPr="00AA0D95">
              <w:t>flags</w:t>
            </w:r>
          </w:p>
          <w:p w:rsidR="00000000" w:rsidRPr="00AA0D95" w:rsidP="00AA0D95">
            <w:pPr>
              <w:pStyle w:val="ListBullet"/>
            </w:pPr>
            <w:r w:rsidRPr="00AA0D95">
              <w:t>gloves</w:t>
            </w:r>
          </w:p>
          <w:p w:rsidR="00000000" w:rsidRPr="00AA0D95" w:rsidP="00AA0D95">
            <w:pPr>
              <w:pStyle w:val="ListBullet"/>
            </w:pPr>
            <w:r w:rsidRPr="00AA0D95">
              <w:t>hand lamps</w:t>
            </w:r>
          </w:p>
          <w:p w:rsidR="00000000" w:rsidRPr="00AA0D95" w:rsidP="00AA0D95">
            <w:pPr>
              <w:pStyle w:val="ListBullet"/>
            </w:pPr>
            <w:r w:rsidRPr="00AA0D95">
              <w:t xml:space="preserve">hearing protection </w:t>
            </w:r>
          </w:p>
          <w:p w:rsidR="00000000" w:rsidRPr="00AA0D95" w:rsidP="00AA0D95">
            <w:pPr>
              <w:pStyle w:val="ListBullet"/>
            </w:pPr>
            <w:r w:rsidRPr="00AA0D95">
              <w:t>high visibility clothing</w:t>
            </w:r>
          </w:p>
          <w:p w:rsidR="00000000" w:rsidRPr="00AA0D95" w:rsidP="00AA0D95">
            <w:pPr>
              <w:pStyle w:val="ListBullet"/>
            </w:pPr>
            <w:r w:rsidRPr="00AA0D95">
              <w:t>insect repellent</w:t>
            </w:r>
          </w:p>
          <w:p w:rsidR="00000000" w:rsidRPr="00AA0D95" w:rsidP="00AA0D95">
            <w:pPr>
              <w:pStyle w:val="ListBullet"/>
            </w:pPr>
            <w:r w:rsidRPr="00AA0D95">
              <w:t>portable radios/mobile phones</w:t>
            </w:r>
          </w:p>
          <w:p w:rsidR="00000000" w:rsidRPr="00AA0D95" w:rsidP="00AA0D95">
            <w:pPr>
              <w:pStyle w:val="ListBullet"/>
            </w:pPr>
            <w:r w:rsidRPr="00AA0D95">
              <w:t>safety:</w:t>
            </w:r>
          </w:p>
          <w:p w:rsidR="00000000" w:rsidRPr="00AA0D95" w:rsidP="00AA0D95">
            <w:pPr>
              <w:pStyle w:val="ListBullet2"/>
            </w:pPr>
            <w:r w:rsidRPr="00AA0D95">
              <w:t>devices</w:t>
            </w:r>
          </w:p>
          <w:p w:rsidR="00000000" w:rsidRPr="00AA0D95" w:rsidP="00AA0D95">
            <w:pPr>
              <w:pStyle w:val="ListBullet2"/>
            </w:pPr>
            <w:r w:rsidRPr="00AA0D95">
              <w:t>footwear</w:t>
            </w:r>
          </w:p>
          <w:p w:rsidR="00000000" w:rsidRPr="00AA0D95" w:rsidP="00AA0D95">
            <w:pPr>
              <w:pStyle w:val="ListBullet2"/>
            </w:pPr>
            <w:r w:rsidRPr="00AA0D95">
              <w:t>glasses</w:t>
            </w:r>
          </w:p>
          <w:p w:rsidR="00000000" w:rsidRPr="00AA0D95" w:rsidP="00AA0D95">
            <w:pPr>
              <w:pStyle w:val="ListBullet2"/>
            </w:pPr>
            <w:r w:rsidRPr="00AA0D95">
              <w:t>headwear</w:t>
            </w:r>
          </w:p>
          <w:p w:rsidR="00000000" w:rsidRPr="00AA0D95" w:rsidP="00AA0D95">
            <w:pPr>
              <w:pStyle w:val="ListBullet"/>
            </w:pPr>
            <w:r w:rsidRPr="00AA0D95">
              <w:t>sunglasses</w:t>
            </w:r>
          </w:p>
          <w:p w:rsidR="00000000" w:rsidRPr="00AA0D95" w:rsidP="00AA0D95">
            <w:pPr>
              <w:pStyle w:val="ListBullet"/>
            </w:pPr>
            <w:r w:rsidRPr="00AA0D95">
              <w:t>sunscreen</w:t>
            </w:r>
          </w:p>
        </w:tc>
      </w:tr>
    </w:tbl>
    <w:p w:rsidR="00000000" w:rsidRPr="00AA0D95" w:rsidP="00AA0D95">
      <w:pPr>
        <w:pStyle w:val="BodyText"/>
      </w:pP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12" w:name="O_627710"/>
      <w:bookmarkEnd w:id="12"/>
      <w:r w:rsidRPr="00AA0D95">
        <w:t>Unit Sector(s)</w:t>
      </w:r>
    </w:p>
    <w:p w:rsidR="00000000" w:rsidRPr="00AA0D95" w:rsidP="00AA0D95">
      <w:pPr>
        <w:pStyle w:val="BodyText"/>
      </w:pPr>
      <w:r w:rsidRPr="00AA0D95">
        <w:t>Not applicable.</w:t>
      </w:r>
    </w:p>
    <w:p w:rsidR="00000000" w:rsidRPr="00AA0D95" w:rsidP="00AA0D95">
      <w:pPr>
        <w:pStyle w:val="AllowPageBreak"/>
      </w:pPr>
    </w:p>
    <w:p w:rsidR="00000000" w:rsidRPr="00AA0D95" w:rsidP="00AA0D95">
      <w:pPr>
        <w:pStyle w:val="Heading1"/>
      </w:pPr>
      <w:bookmarkStart w:id="13" w:name="O_627711"/>
      <w:bookmarkEnd w:id="13"/>
      <w:r w:rsidRPr="00AA0D95">
        <w:t>Competency Field</w:t>
      </w:r>
    </w:p>
    <w:p w:rsidR="00000000" w:rsidRPr="00AA0D95" w:rsidP="00AA0D95">
      <w:pPr>
        <w:pStyle w:val="BodyText"/>
      </w:pPr>
      <w:r w:rsidRPr="00AA0D95">
        <w:t>C – Vehicle Operation</w:t>
      </w:r>
    </w:p>
    <w:p w:rsidR="00000000" w:rsidRPr="00AA0D95" w:rsidP="00AA0D95"/>
    <w:sectPr w:rsidSect="00AA0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 w:rsidRPr="00435800" w:rsidP="00435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00" w:rsidP="00AA0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5800" w:rsidP="00AA0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35800" w:rsidP="00AA0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 w:rsidRPr="00435800" w:rsidP="004358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00" w:rsidRPr="002D2AF8" w:rsidP="00AA0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TLIC4073A Set up, operate and shut down a distributed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435800" w:rsidP="00AA0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4B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64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03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D95"/>
  </w:style>
  <w:style w:type="character" w:customStyle="1" w:styleId="Heading1Char">
    <w:name w:val="Heading 1 Char"/>
    <w:basedOn w:val="DefaultParagraphFont"/>
    <w:link w:val="Heading1"/>
    <w:rsid w:val="00AA0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D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D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D95"/>
    <w:rPr>
      <w:b/>
      <w:spacing w:val="0"/>
    </w:rPr>
  </w:style>
  <w:style w:type="paragraph" w:styleId="ListBullet2">
    <w:name w:val="List Bullet 2"/>
    <w:basedOn w:val="List2"/>
    <w:rsid w:val="00AA0D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D95"/>
    <w:rPr>
      <w:i/>
    </w:rPr>
  </w:style>
  <w:style w:type="paragraph" w:styleId="Caption">
    <w:name w:val="caption"/>
    <w:basedOn w:val="BodyText"/>
    <w:next w:val="Normal"/>
    <w:qFormat/>
    <w:rsid w:val="00AA0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D95"/>
  </w:style>
  <w:style w:type="paragraph" w:styleId="TableofFigures">
    <w:name w:val="table of figures"/>
    <w:basedOn w:val="Normal"/>
    <w:next w:val="Normal"/>
    <w:semiHidden/>
    <w:rsid w:val="00AA0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D95"/>
    <w:pPr>
      <w:numPr>
        <w:numId w:val="11"/>
      </w:numPr>
    </w:pPr>
  </w:style>
  <w:style w:type="character" w:customStyle="1" w:styleId="WingdingSymbols">
    <w:name w:val="Wingding Symbols"/>
    <w:rsid w:val="00AA0D95"/>
    <w:rPr>
      <w:rFonts w:ascii="Wingdings" w:hAnsi="Wingdings"/>
    </w:rPr>
  </w:style>
  <w:style w:type="paragraph" w:customStyle="1" w:styleId="TableHeading">
    <w:name w:val="Table Heading"/>
    <w:basedOn w:val="HeadingBase"/>
    <w:rsid w:val="00AA0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D95"/>
    <w:rPr>
      <w:color w:val="0033CC"/>
      <w:u w:val="none"/>
    </w:rPr>
  </w:style>
  <w:style w:type="paragraph" w:customStyle="1" w:styleId="BodyTextRight">
    <w:name w:val="Body Text Right"/>
    <w:basedOn w:val="BodyText"/>
    <w:rsid w:val="00AA0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D95"/>
    <w:rPr>
      <w:sz w:val="32"/>
    </w:rPr>
  </w:style>
  <w:style w:type="paragraph" w:customStyle="1" w:styleId="HeadingProcedure">
    <w:name w:val="Heading Procedure"/>
    <w:basedOn w:val="HeadingBase"/>
    <w:next w:val="Normal"/>
    <w:rsid w:val="00AA0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D95"/>
    <w:pPr>
      <w:spacing w:before="60" w:after="60"/>
    </w:pPr>
  </w:style>
  <w:style w:type="paragraph" w:styleId="ListContinue">
    <w:name w:val="List Continue"/>
    <w:basedOn w:val="List"/>
    <w:rsid w:val="00AA0D95"/>
    <w:pPr>
      <w:ind w:firstLine="0"/>
    </w:pPr>
  </w:style>
  <w:style w:type="paragraph" w:customStyle="1" w:styleId="ListNote">
    <w:name w:val="List Note"/>
    <w:basedOn w:val="List"/>
    <w:rsid w:val="00AA0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D95"/>
    <w:rPr>
      <w:rFonts w:ascii="Courier New" w:hAnsi="Courier New"/>
    </w:rPr>
  </w:style>
  <w:style w:type="paragraph" w:customStyle="1" w:styleId="NoteBullet">
    <w:name w:val="Note Bullet"/>
    <w:basedOn w:val="Note"/>
    <w:rsid w:val="00AA0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D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D95"/>
    <w:rPr>
      <w:b/>
      <w:smallCaps/>
    </w:rPr>
  </w:style>
  <w:style w:type="paragraph" w:customStyle="1" w:styleId="TableListNumber">
    <w:name w:val="Table List Number"/>
    <w:basedOn w:val="ListNumber"/>
    <w:rsid w:val="00AA0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D95"/>
    <w:pPr>
      <w:numPr>
        <w:numId w:val="9"/>
      </w:numPr>
    </w:pPr>
  </w:style>
  <w:style w:type="paragraph" w:customStyle="1" w:styleId="ListAlpha2">
    <w:name w:val="List Alpha 2"/>
    <w:basedOn w:val="List2"/>
    <w:rsid w:val="00AA0D95"/>
    <w:pPr>
      <w:numPr>
        <w:numId w:val="8"/>
      </w:numPr>
    </w:pPr>
  </w:style>
  <w:style w:type="paragraph" w:styleId="List2">
    <w:name w:val="List 2"/>
    <w:basedOn w:val="BodyText"/>
    <w:rsid w:val="00AA0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D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D95"/>
    <w:pPr>
      <w:numPr>
        <w:numId w:val="3"/>
      </w:numPr>
    </w:pPr>
  </w:style>
  <w:style w:type="paragraph" w:styleId="ListBullet5">
    <w:name w:val="List Bullet 5"/>
    <w:basedOn w:val="List5"/>
    <w:rsid w:val="00AA0D95"/>
    <w:pPr>
      <w:numPr>
        <w:numId w:val="4"/>
      </w:numPr>
    </w:pPr>
  </w:style>
  <w:style w:type="paragraph" w:styleId="ListContinue2">
    <w:name w:val="List Continue 2"/>
    <w:basedOn w:val="List2"/>
    <w:rsid w:val="00AA0D95"/>
    <w:pPr>
      <w:ind w:firstLine="0"/>
    </w:pPr>
  </w:style>
  <w:style w:type="paragraph" w:styleId="ListContinue3">
    <w:name w:val="List Continue 3"/>
    <w:basedOn w:val="List3"/>
    <w:rsid w:val="00AA0D95"/>
    <w:pPr>
      <w:ind w:left="1021" w:firstLine="0"/>
    </w:pPr>
  </w:style>
  <w:style w:type="paragraph" w:styleId="ListContinue4">
    <w:name w:val="List Continue 4"/>
    <w:basedOn w:val="List4"/>
    <w:rsid w:val="00AA0D95"/>
    <w:pPr>
      <w:ind w:firstLine="0"/>
    </w:pPr>
  </w:style>
  <w:style w:type="paragraph" w:styleId="ListContinue5">
    <w:name w:val="List Continue 5"/>
    <w:basedOn w:val="List5"/>
    <w:rsid w:val="00AA0D95"/>
    <w:pPr>
      <w:ind w:firstLine="0"/>
    </w:pPr>
  </w:style>
  <w:style w:type="paragraph" w:styleId="ListNumber3">
    <w:name w:val="List Number 3"/>
    <w:basedOn w:val="List3"/>
    <w:rsid w:val="00AA0D95"/>
    <w:pPr>
      <w:numPr>
        <w:numId w:val="5"/>
      </w:numPr>
    </w:pPr>
  </w:style>
  <w:style w:type="paragraph" w:styleId="ListNumber4">
    <w:name w:val="List Number 4"/>
    <w:basedOn w:val="List4"/>
    <w:rsid w:val="00AA0D95"/>
    <w:pPr>
      <w:numPr>
        <w:numId w:val="6"/>
      </w:numPr>
    </w:pPr>
  </w:style>
  <w:style w:type="paragraph" w:styleId="ListNumber5">
    <w:name w:val="List Number 5"/>
    <w:basedOn w:val="List5"/>
    <w:rsid w:val="00AA0D95"/>
    <w:pPr>
      <w:numPr>
        <w:numId w:val="7"/>
      </w:numPr>
    </w:pPr>
  </w:style>
  <w:style w:type="paragraph" w:styleId="BlockText">
    <w:name w:val="Block Text"/>
    <w:basedOn w:val="Normal"/>
    <w:rsid w:val="00AA0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D95"/>
    <w:rPr>
      <w:sz w:val="16"/>
      <w:vertAlign w:val="superscript"/>
    </w:rPr>
  </w:style>
  <w:style w:type="character" w:customStyle="1" w:styleId="Symbols">
    <w:name w:val="Symbols"/>
    <w:basedOn w:val="DefaultParagraphFont"/>
    <w:rsid w:val="00AA0D95"/>
    <w:rPr>
      <w:rFonts w:ascii="Symbol" w:hAnsi="Symbol"/>
    </w:rPr>
  </w:style>
  <w:style w:type="character" w:customStyle="1" w:styleId="MenuOptions">
    <w:name w:val="Menu Options"/>
    <w:basedOn w:val="DefaultParagraphFont"/>
    <w:rsid w:val="00AA0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D95"/>
    <w:rPr>
      <w:b/>
    </w:rPr>
  </w:style>
  <w:style w:type="character" w:customStyle="1" w:styleId="Underlined">
    <w:name w:val="Underlined"/>
    <w:basedOn w:val="DefaultParagraphFont"/>
    <w:rsid w:val="00AA0D95"/>
    <w:rPr>
      <w:u w:val="single"/>
    </w:rPr>
  </w:style>
  <w:style w:type="paragraph" w:customStyle="1" w:styleId="TableBodyTextRight">
    <w:name w:val="Table Body Text Right"/>
    <w:basedOn w:val="TableBodyText"/>
    <w:rsid w:val="00AA0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D95"/>
    <w:rPr>
      <w:sz w:val="18"/>
    </w:rPr>
  </w:style>
  <w:style w:type="paragraph" w:customStyle="1" w:styleId="BodySmallRight">
    <w:name w:val="Body Small Right"/>
    <w:basedOn w:val="BodyTextRight"/>
    <w:rsid w:val="00AA0D95"/>
    <w:rPr>
      <w:sz w:val="18"/>
      <w:szCs w:val="18"/>
    </w:rPr>
  </w:style>
  <w:style w:type="paragraph" w:customStyle="1" w:styleId="MarginEdition">
    <w:name w:val="Margin Edition"/>
    <w:basedOn w:val="MarginNote"/>
    <w:rsid w:val="00AA0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D95"/>
    <w:rPr>
      <w:sz w:val="2"/>
      <w:szCs w:val="2"/>
    </w:rPr>
  </w:style>
  <w:style w:type="character" w:customStyle="1" w:styleId="Small">
    <w:name w:val="Small"/>
    <w:basedOn w:val="DefaultParagraphFont"/>
    <w:rsid w:val="00AA0D95"/>
    <w:rPr>
      <w:sz w:val="16"/>
    </w:rPr>
  </w:style>
  <w:style w:type="paragraph" w:customStyle="1" w:styleId="WideTable">
    <w:name w:val="Wide Table"/>
    <w:basedOn w:val="Normal"/>
    <w:rsid w:val="00AA0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D95"/>
  </w:style>
  <w:style w:type="paragraph" w:styleId="Quote">
    <w:name w:val="Quote"/>
    <w:basedOn w:val="Heading1"/>
    <w:link w:val="QuoteChar"/>
    <w:qFormat/>
    <w:rsid w:val="00AA0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D95"/>
    <w:pPr>
      <w:pageBreakBefore/>
    </w:pPr>
  </w:style>
  <w:style w:type="paragraph" w:customStyle="1" w:styleId="Border">
    <w:name w:val="Border"/>
    <w:basedOn w:val="Normal"/>
    <w:qFormat/>
    <w:rsid w:val="00AA0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D95"/>
    <w:rPr>
      <w:u w:val="single"/>
    </w:rPr>
  </w:style>
  <w:style w:type="character" w:customStyle="1" w:styleId="BoldandItalics">
    <w:name w:val="Bold and Italics"/>
    <w:qFormat/>
    <w:rsid w:val="00AA0D95"/>
    <w:rPr>
      <w:b/>
      <w:i/>
      <w:u w:val="none"/>
    </w:rPr>
  </w:style>
  <w:style w:type="paragraph" w:styleId="BalloonText">
    <w:name w:val="Balloon Text"/>
    <w:basedOn w:val="Normal"/>
    <w:link w:val="BalloonTextChar"/>
    <w:rsid w:val="00AA0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D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D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968</Words>
  <Characters>6239</Characters>
  <Application>Microsoft Office Word</Application>
  <DocSecurity>0</DocSecurity>
  <Lines>241</Lines>
  <Paragraphs>132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TLIC4073A Set up, operate and shut down a distributed power system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2013-12-24T08:53:42Z</dcterms:created>
  <dcterms:modified xsi:type="dcterms:W3CDTF">2013-12-23T05:24:00Z</dcterms:modified>
</cp:coreProperties>
</file>