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795A" w:rsidP="001D795A">
      <w:pPr>
        <w:pStyle w:val="Title"/>
      </w:pPr>
      <w:r>
        <w:fldChar w:fldCharType="begin"/>
      </w:r>
      <w:r>
        <w:instrText xml:space="preserve"> TITLE   \* MERGEFORMAT </w:instrText>
      </w:r>
      <w:r>
        <w:fldChar w:fldCharType="separate"/>
      </w:r>
      <w:r>
        <w:t>TLIC4068A Operate heavy recovery ancillary equipment</w:t>
      </w:r>
      <w:r>
        <w:fldChar w:fldCharType="end"/>
      </w:r>
    </w:p>
    <w:p w:rsidR="001D795A" w:rsidP="001D795A">
      <w:pPr>
        <w:pStyle w:val="Version"/>
        <w:sectPr w:rsidSect="00372D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2D2B" w:rsidP="00372D2B">
      <w:pPr>
        <w:pStyle w:val="SuperHeading"/>
      </w:pPr>
      <w:r w:rsidRPr="00372D2B">
        <w:t>TLIC4068A Operate heavy recovery ancillary equipment</w:t>
      </w:r>
    </w:p>
    <w:p w:rsidR="00000000" w:rsidRPr="00372D2B" w:rsidP="00372D2B">
      <w:pPr>
        <w:pStyle w:val="Heading1"/>
      </w:pPr>
      <w:bookmarkStart w:id="1" w:name="O_357265"/>
      <w:bookmarkEnd w:id="1"/>
      <w:r w:rsidRPr="00372D2B">
        <w:t>Modification History</w:t>
      </w:r>
    </w:p>
    <w:p w:rsidR="00000000" w:rsidRPr="00372D2B" w:rsidP="00372D2B">
      <w:pPr>
        <w:pStyle w:val="BodyText"/>
      </w:pPr>
      <w:r w:rsidRPr="00372D2B">
        <w:t>Not applicable.</w:t>
      </w:r>
    </w:p>
    <w:p w:rsidR="00000000" w:rsidRPr="00372D2B" w:rsidP="00372D2B">
      <w:pPr>
        <w:pStyle w:val="AllowPageBreak"/>
      </w:pPr>
    </w:p>
    <w:p w:rsidR="00000000" w:rsidRPr="00372D2B" w:rsidP="00372D2B">
      <w:pPr>
        <w:pStyle w:val="Heading1"/>
      </w:pPr>
      <w:bookmarkStart w:id="2" w:name="O_357266"/>
      <w:bookmarkEnd w:id="2"/>
      <w:r w:rsidRPr="00372D2B">
        <w:t>Unit Descriptor</w:t>
      </w:r>
    </w:p>
    <w:tbl>
      <w:tblPr>
        <w:tblW w:w="0" w:type="auto"/>
        <w:tblCellMar>
          <w:left w:w="62" w:type="dxa"/>
          <w:right w:w="62" w:type="dxa"/>
        </w:tblCellMar>
        <w:tblLook w:val="0000"/>
      </w:tblPr>
      <w:tblGrid>
        <w:gridCol w:w="9196"/>
      </w:tblGrid>
      <w:tr w:rsidTr="001D7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2D2B" w:rsidP="00372D2B">
            <w:pPr>
              <w:pStyle w:val="BodyText"/>
            </w:pPr>
            <w:r w:rsidRPr="00372D2B">
              <w:t>This unit involves the skills and knowledge required to operate the range of heavy recovery ancillar</w:t>
            </w:r>
            <w:r w:rsidRPr="00372D2B">
              <w:t>y equipment used in the towing and recovery process.</w:t>
            </w:r>
          </w:p>
          <w:p w:rsidR="00000000" w:rsidRPr="00372D2B" w:rsidP="00372D2B">
            <w:pPr>
              <w:pStyle w:val="BodyText"/>
            </w:pPr>
            <w:r w:rsidRPr="00372D2B">
              <w:t>Licensing, legislative, regulatory and certification requirements are applicable to this unit.</w:t>
            </w:r>
          </w:p>
        </w:tc>
      </w:tr>
    </w:tbl>
    <w:p w:rsidR="00000000" w:rsidRPr="00372D2B" w:rsidP="00372D2B">
      <w:pPr>
        <w:pStyle w:val="BodyText"/>
      </w:pPr>
    </w:p>
    <w:p w:rsidR="00000000" w:rsidRPr="00372D2B" w:rsidP="00372D2B">
      <w:pPr>
        <w:pStyle w:val="AllowPageBreak"/>
      </w:pPr>
    </w:p>
    <w:p w:rsidR="00000000" w:rsidRPr="00372D2B" w:rsidP="00372D2B">
      <w:pPr>
        <w:pStyle w:val="Heading1"/>
      </w:pPr>
      <w:bookmarkStart w:id="3" w:name="O_357267"/>
      <w:bookmarkEnd w:id="3"/>
      <w:r w:rsidRPr="00372D2B">
        <w:t>Application of the Unit</w:t>
      </w:r>
    </w:p>
    <w:tbl>
      <w:tblPr>
        <w:tblW w:w="0" w:type="auto"/>
        <w:tblCellMar>
          <w:left w:w="62" w:type="dxa"/>
          <w:right w:w="62" w:type="dxa"/>
        </w:tblCellMar>
        <w:tblLook w:val="0000"/>
      </w:tblPr>
      <w:tblGrid>
        <w:gridCol w:w="9196"/>
      </w:tblGrid>
      <w:tr w:rsidTr="001D7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2D2B" w:rsidP="00372D2B">
            <w:pPr>
              <w:pStyle w:val="BodyText"/>
            </w:pPr>
            <w:r w:rsidRPr="00372D2B">
              <w:t>This unit applies to</w:t>
            </w:r>
            <w:r w:rsidRPr="00372D2B">
              <w:t xml:space="preserve"> those working in the heavy recovery industry. It does not include salvage operations.</w:t>
            </w:r>
          </w:p>
        </w:tc>
      </w:tr>
    </w:tbl>
    <w:p w:rsidR="00000000" w:rsidRPr="00372D2B" w:rsidP="00372D2B">
      <w:pPr>
        <w:pStyle w:val="BodyText"/>
      </w:pPr>
    </w:p>
    <w:p w:rsidR="00000000" w:rsidRPr="00372D2B" w:rsidP="00372D2B">
      <w:pPr>
        <w:pStyle w:val="AllowPageBreak"/>
      </w:pPr>
    </w:p>
    <w:p w:rsidR="00000000" w:rsidRPr="00372D2B" w:rsidP="00372D2B">
      <w:pPr>
        <w:pStyle w:val="Heading1"/>
      </w:pPr>
      <w:bookmarkStart w:id="4" w:name="O_357268"/>
      <w:bookmarkEnd w:id="4"/>
      <w:r w:rsidRPr="00372D2B">
        <w:t>Licensing/Regulatory Information</w:t>
      </w:r>
    </w:p>
    <w:p w:rsidR="00000000" w:rsidRPr="00372D2B" w:rsidP="00372D2B">
      <w:pPr>
        <w:pStyle w:val="BodyText"/>
      </w:pPr>
      <w:r w:rsidRPr="00372D2B">
        <w:t>Refer to Unit Descriptor.</w:t>
      </w:r>
    </w:p>
    <w:p w:rsidR="00000000" w:rsidRPr="00372D2B" w:rsidP="00372D2B">
      <w:pPr>
        <w:pStyle w:val="AllowPageBreak"/>
      </w:pPr>
    </w:p>
    <w:p w:rsidR="00000000" w:rsidRPr="00372D2B" w:rsidP="00372D2B">
      <w:pPr>
        <w:pStyle w:val="Heading1"/>
      </w:pPr>
      <w:bookmarkStart w:id="5" w:name="O_357269"/>
      <w:bookmarkEnd w:id="5"/>
      <w:r w:rsidRPr="00372D2B">
        <w:t>Pre-Requisites</w:t>
      </w:r>
    </w:p>
    <w:p w:rsidR="00000000" w:rsidRPr="00372D2B" w:rsidP="00372D2B">
      <w:pPr>
        <w:pStyle w:val="BodyText"/>
      </w:pPr>
      <w:r w:rsidRPr="00372D2B">
        <w:t>Not applicable.</w:t>
      </w:r>
    </w:p>
    <w:p w:rsidR="00000000" w:rsidRPr="00372D2B" w:rsidP="00372D2B">
      <w:pPr>
        <w:pStyle w:val="AllowPageBreak"/>
      </w:pPr>
    </w:p>
    <w:p w:rsidR="00000000" w:rsidRPr="00372D2B" w:rsidP="00372D2B">
      <w:pPr>
        <w:pStyle w:val="Heading1"/>
      </w:pPr>
      <w:bookmarkStart w:id="6" w:name="O_357270"/>
      <w:bookmarkEnd w:id="6"/>
      <w:r w:rsidRPr="00372D2B">
        <w:t>Employability Skills Infor</w:t>
      </w:r>
      <w:r w:rsidRPr="00372D2B">
        <w:t>mation</w:t>
      </w:r>
    </w:p>
    <w:tbl>
      <w:tblPr>
        <w:tblW w:w="0" w:type="auto"/>
        <w:tblCellMar>
          <w:left w:w="62" w:type="dxa"/>
          <w:right w:w="62" w:type="dxa"/>
        </w:tblCellMar>
        <w:tblLook w:val="0000"/>
      </w:tblPr>
      <w:tblGrid>
        <w:gridCol w:w="9196"/>
      </w:tblGrid>
      <w:tr w:rsidTr="001D7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2D2B" w:rsidP="00372D2B">
            <w:pPr>
              <w:pStyle w:val="BodyText"/>
            </w:pPr>
            <w:r w:rsidRPr="00372D2B">
              <w:t>This unit contains employability skills.</w:t>
            </w:r>
          </w:p>
        </w:tc>
      </w:tr>
    </w:tbl>
    <w:p w:rsidR="00000000" w:rsidRPr="00372D2B" w:rsidP="00372D2B">
      <w:pPr>
        <w:pStyle w:val="BodyText"/>
      </w:pPr>
    </w:p>
    <w:p w:rsidR="00000000" w:rsidRPr="00372D2B" w:rsidP="00372D2B">
      <w:pPr>
        <w:pStyle w:val="AllowPageBreak"/>
      </w:pPr>
    </w:p>
    <w:p w:rsidR="00000000" w:rsidRPr="00372D2B" w:rsidP="00372D2B">
      <w:pPr>
        <w:pStyle w:val="Heading1"/>
      </w:pPr>
      <w:bookmarkStart w:id="7" w:name="O_357271"/>
      <w:bookmarkEnd w:id="7"/>
      <w:r w:rsidRPr="00372D2B">
        <w:t>Elements and Performance Criteria Pre-Content</w:t>
      </w:r>
    </w:p>
    <w:tbl>
      <w:tblPr>
        <w:tblW w:w="0" w:type="auto"/>
        <w:tblCellMar>
          <w:left w:w="62" w:type="dxa"/>
          <w:right w:w="62" w:type="dxa"/>
        </w:tblCellMar>
        <w:tblLook w:val="0000"/>
      </w:tblPr>
      <w:tblGrid>
        <w:gridCol w:w="2649"/>
        <w:gridCol w:w="6547"/>
      </w:tblGrid>
      <w:tr w:rsidTr="001D7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D2B">
            <w:pPr>
              <w:pStyle w:val="BodyText"/>
              <w:rPr>
                <w:lang w:val="en-NZ"/>
              </w:rPr>
            </w:pPr>
            <w:r w:rsidRPr="00372D2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372D2B" w:rsidP="00372D2B">
            <w:pPr>
              <w:pStyle w:val="BodyText"/>
            </w:pPr>
            <w:r w:rsidRPr="00372D2B">
              <w:t>Performance criteri</w:t>
            </w:r>
            <w:r w:rsidRPr="00372D2B">
              <w:t>a describe the required performance needed to demonstrate achievement of the element. Assessment of performance is to be consistent with the evidence guide.</w:t>
            </w:r>
          </w:p>
        </w:tc>
      </w:tr>
    </w:tbl>
    <w:p w:rsidR="00000000" w:rsidRPr="00372D2B" w:rsidP="00372D2B">
      <w:pPr>
        <w:pStyle w:val="BodyText"/>
      </w:pPr>
    </w:p>
    <w:p w:rsidR="00000000" w:rsidRPr="00372D2B" w:rsidP="00372D2B">
      <w:pPr>
        <w:pStyle w:val="AllowPageBreak"/>
      </w:pPr>
    </w:p>
    <w:p w:rsidR="00000000" w:rsidRPr="00372D2B" w:rsidP="00372D2B">
      <w:pPr>
        <w:pStyle w:val="Heading1"/>
      </w:pPr>
      <w:bookmarkStart w:id="8" w:name="O_357272"/>
      <w:bookmarkEnd w:id="8"/>
      <w:r w:rsidRPr="00372D2B">
        <w:t>Elements and Performance Criteria</w:t>
      </w:r>
    </w:p>
    <w:tbl>
      <w:tblPr>
        <w:tblW w:w="0" w:type="auto"/>
        <w:tblCellMar>
          <w:left w:w="62" w:type="dxa"/>
          <w:right w:w="62" w:type="dxa"/>
        </w:tblCellMar>
        <w:tblLook w:val="0000"/>
      </w:tblPr>
      <w:tblGrid>
        <w:gridCol w:w="2587"/>
        <w:gridCol w:w="72"/>
        <w:gridCol w:w="6537"/>
      </w:tblGrid>
      <w:tr w:rsidTr="001D7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2D2B" w:rsidP="00372D2B">
            <w:pPr>
              <w:pStyle w:val="BodyText"/>
            </w:pPr>
            <w:r w:rsidRPr="00372D2B">
              <w:rPr>
                <w:rStyle w:val="SpecialBold"/>
              </w:rPr>
              <w:t>ELEMENT</w:t>
            </w:r>
          </w:p>
        </w:tc>
        <w:tc>
          <w:tcPr>
            <w:tcW w:w="0" w:type="auto"/>
            <w:gridSpan w:val="2"/>
            <w:tcBorders>
              <w:top w:val="nil"/>
              <w:left w:val="nil"/>
              <w:bottom w:val="nil"/>
              <w:right w:val="nil"/>
            </w:tcBorders>
            <w:tcMar>
              <w:top w:w="0" w:type="dxa"/>
              <w:left w:w="62" w:type="dxa"/>
              <w:bottom w:w="0" w:type="dxa"/>
              <w:right w:w="62" w:type="dxa"/>
            </w:tcMar>
          </w:tcPr>
          <w:p w:rsidR="00000000" w:rsidP="00372D2B">
            <w:pPr>
              <w:pStyle w:val="BodyText"/>
              <w:rPr>
                <w:lang w:val="en-NZ"/>
              </w:rPr>
            </w:pPr>
            <w:r w:rsidRPr="00372D2B">
              <w:rPr>
                <w:rStyle w:val="SpecialBold"/>
              </w:rPr>
              <w:t>PERFORMANCE CRITERIA</w:t>
            </w:r>
          </w:p>
        </w:tc>
      </w:tr>
      <w:tr w:rsidTr="001D795A">
        <w:tblPrEx>
          <w:tblW w:w="0" w:type="auto"/>
          <w:tblCellMar>
            <w:left w:w="62" w:type="dxa"/>
            <w:right w:w="62" w:type="dxa"/>
          </w:tblCellMar>
          <w:tblLook w:val="0000"/>
        </w:tblPrEx>
        <w:trPr>
          <w:trHeight w:val="2273"/>
        </w:trPr>
        <w:tc>
          <w:tcPr>
            <w:tcW w:w="0" w:type="auto"/>
            <w:gridSpan w:val="2"/>
            <w:tcBorders>
              <w:top w:val="nil"/>
              <w:left w:val="nil"/>
              <w:bottom w:val="nil"/>
              <w:right w:val="nil"/>
            </w:tcBorders>
            <w:tcMar>
              <w:top w:w="0" w:type="dxa"/>
              <w:left w:w="62" w:type="dxa"/>
              <w:bottom w:w="0" w:type="dxa"/>
              <w:right w:w="62" w:type="dxa"/>
            </w:tcMar>
          </w:tcPr>
          <w:p w:rsidR="00000000" w:rsidP="00372D2B">
            <w:pPr>
              <w:pStyle w:val="BodyText"/>
              <w:rPr>
                <w:lang w:val="en-NZ"/>
              </w:rPr>
            </w:pPr>
            <w:r w:rsidRPr="00372D2B">
              <w:rPr>
                <w:rStyle w:val="SpecialBold"/>
              </w:rPr>
              <w:t xml:space="preserve">1 </w:t>
            </w:r>
            <w:r w:rsidRPr="00372D2B">
              <w:rPr>
                <w:rStyle w:val="SpecialBold"/>
              </w:rPr>
              <w:tab/>
            </w:r>
            <w:r w:rsidRPr="00372D2B">
              <w:rPr>
                <w:rStyle w:val="SpecialBold"/>
              </w:rPr>
              <w:t>Check job requirements</w:t>
            </w:r>
          </w:p>
        </w:tc>
        <w:tc>
          <w:tcPr>
            <w:tcW w:w="0" w:type="auto"/>
            <w:tcBorders>
              <w:top w:val="nil"/>
              <w:left w:val="nil"/>
              <w:bottom w:val="nil"/>
              <w:right w:val="nil"/>
            </w:tcBorders>
            <w:tcMar>
              <w:top w:w="0" w:type="dxa"/>
              <w:left w:w="62" w:type="dxa"/>
              <w:bottom w:w="0" w:type="dxa"/>
              <w:right w:w="62" w:type="dxa"/>
            </w:tcMar>
          </w:tcPr>
          <w:p w:rsidR="00000000" w:rsidRPr="00372D2B" w:rsidP="00372D2B">
            <w:pPr>
              <w:pStyle w:val="BodyText"/>
            </w:pPr>
            <w:r w:rsidRPr="00372D2B">
              <w:t>1.1 Job is reviewed to identify equipment and operating requirements</w:t>
            </w:r>
          </w:p>
          <w:p w:rsidR="00000000" w:rsidRPr="00372D2B" w:rsidP="00372D2B">
            <w:pPr>
              <w:pStyle w:val="BodyText"/>
            </w:pPr>
            <w:r w:rsidRPr="00372D2B">
              <w:t>1.2 Ancillary equipment, materials and personnel requirements for safe, effective and efficient operation are identified and organised</w:t>
            </w:r>
          </w:p>
          <w:p w:rsidR="00000000" w:rsidP="00372D2B">
            <w:pPr>
              <w:pStyle w:val="BodyText"/>
              <w:rPr>
                <w:lang w:val="en-NZ"/>
              </w:rPr>
            </w:pPr>
            <w:r w:rsidRPr="00372D2B">
              <w:t>1.3 Suitable personal protec</w:t>
            </w:r>
            <w:r w:rsidRPr="00372D2B">
              <w:t>tive equipment (PPE) and clothing are selected, used, maintained and stored in accordance with OH&amp;S requirements</w:t>
            </w:r>
          </w:p>
        </w:tc>
      </w:tr>
      <w:tr w:rsidTr="001D795A">
        <w:tblPrEx>
          <w:tblW w:w="0" w:type="auto"/>
          <w:tblCellMar>
            <w:left w:w="62" w:type="dxa"/>
            <w:right w:w="62" w:type="dxa"/>
          </w:tblCellMar>
          <w:tblLook w:val="0000"/>
        </w:tblPrEx>
        <w:trPr>
          <w:trHeight w:val="4100"/>
        </w:trPr>
        <w:tc>
          <w:tcPr>
            <w:tcW w:w="0" w:type="auto"/>
            <w:gridSpan w:val="2"/>
            <w:tcBorders>
              <w:top w:val="nil"/>
              <w:left w:val="nil"/>
              <w:bottom w:val="nil"/>
              <w:right w:val="nil"/>
            </w:tcBorders>
            <w:tcMar>
              <w:top w:w="0" w:type="dxa"/>
              <w:left w:w="62" w:type="dxa"/>
              <w:bottom w:w="0" w:type="dxa"/>
              <w:right w:w="62" w:type="dxa"/>
            </w:tcMar>
          </w:tcPr>
          <w:p w:rsidR="00000000" w:rsidP="00372D2B">
            <w:pPr>
              <w:pStyle w:val="BodyText"/>
              <w:rPr>
                <w:lang w:val="en-NZ"/>
              </w:rPr>
            </w:pPr>
            <w:r w:rsidRPr="00372D2B">
              <w:rPr>
                <w:rStyle w:val="SpecialBold"/>
              </w:rPr>
              <w:t xml:space="preserve">2 </w:t>
            </w:r>
            <w:r w:rsidRPr="00372D2B">
              <w:rPr>
                <w:rStyle w:val="SpecialBold"/>
              </w:rPr>
              <w:tab/>
              <w:t xml:space="preserve">Prepare heavy recovery ancillary equipment for use </w:t>
            </w:r>
          </w:p>
        </w:tc>
        <w:tc>
          <w:tcPr>
            <w:tcW w:w="0" w:type="auto"/>
            <w:tcBorders>
              <w:top w:val="nil"/>
              <w:left w:val="nil"/>
              <w:bottom w:val="nil"/>
              <w:right w:val="nil"/>
            </w:tcBorders>
            <w:tcMar>
              <w:top w:w="0" w:type="dxa"/>
              <w:left w:w="62" w:type="dxa"/>
              <w:bottom w:w="0" w:type="dxa"/>
              <w:right w:w="62" w:type="dxa"/>
            </w:tcMar>
          </w:tcPr>
          <w:p w:rsidR="00000000" w:rsidRPr="00372D2B" w:rsidP="00372D2B">
            <w:pPr>
              <w:pStyle w:val="BodyText"/>
            </w:pPr>
            <w:r w:rsidRPr="00372D2B">
              <w:t>2.1 Routine pre-operational checks are carried out in accordance with org</w:t>
            </w:r>
            <w:r w:rsidRPr="00372D2B">
              <w:t>anisational requirements and manufacturer specifications</w:t>
            </w:r>
          </w:p>
          <w:p w:rsidR="00000000" w:rsidRPr="00372D2B" w:rsidP="00372D2B">
            <w:pPr>
              <w:pStyle w:val="BodyText"/>
            </w:pPr>
            <w:r w:rsidRPr="00372D2B">
              <w:t>2.2 Operational systems are checked and calibrated for correct operation in accordance with organisational requirements and manufacturer specifications</w:t>
            </w:r>
          </w:p>
          <w:p w:rsidR="00000000" w:rsidRPr="00372D2B" w:rsidP="00372D2B">
            <w:pPr>
              <w:pStyle w:val="BodyText"/>
            </w:pPr>
            <w:r w:rsidRPr="00372D2B">
              <w:t>2.3 Faulty equipment is identified, safety tagg</w:t>
            </w:r>
            <w:r w:rsidRPr="00372D2B">
              <w:t>ed and reported promptly in accordance with organisational procedures</w:t>
            </w:r>
          </w:p>
          <w:p w:rsidR="00000000" w:rsidRPr="00372D2B" w:rsidP="00372D2B">
            <w:pPr>
              <w:pStyle w:val="BodyText"/>
            </w:pPr>
            <w:r w:rsidRPr="00372D2B">
              <w:t>2.4 OH&amp;S hazards associated with equipment operation are identified, and risk is assessed and handled in accordance with organisational procedures</w:t>
            </w:r>
          </w:p>
          <w:p w:rsidR="00000000" w:rsidP="00372D2B">
            <w:pPr>
              <w:pStyle w:val="BodyText"/>
              <w:rPr>
                <w:lang w:val="en-NZ"/>
              </w:rPr>
            </w:pPr>
            <w:r w:rsidRPr="00372D2B">
              <w:t>2.5 Environmental implications associat</w:t>
            </w:r>
            <w:r w:rsidRPr="00372D2B">
              <w:t>ed with operations are identified, assessed and reported in accordance with organisational procedures</w:t>
            </w:r>
          </w:p>
        </w:tc>
      </w:tr>
      <w:tr w:rsidTr="001D795A">
        <w:tblPrEx>
          <w:tblW w:w="0" w:type="auto"/>
          <w:tblCellMar>
            <w:left w:w="62" w:type="dxa"/>
            <w:right w:w="62" w:type="dxa"/>
          </w:tblCellMar>
          <w:tblLook w:val="0000"/>
        </w:tblPrEx>
        <w:trPr>
          <w:trHeight w:val="3828"/>
        </w:trPr>
        <w:tc>
          <w:tcPr>
            <w:tcW w:w="0" w:type="auto"/>
            <w:gridSpan w:val="2"/>
            <w:tcBorders>
              <w:top w:val="nil"/>
              <w:left w:val="nil"/>
              <w:bottom w:val="nil"/>
              <w:right w:val="nil"/>
            </w:tcBorders>
            <w:tcMar>
              <w:top w:w="0" w:type="dxa"/>
              <w:left w:w="62" w:type="dxa"/>
              <w:bottom w:w="0" w:type="dxa"/>
              <w:right w:w="62" w:type="dxa"/>
            </w:tcMar>
          </w:tcPr>
          <w:p w:rsidR="00000000" w:rsidP="00372D2B">
            <w:pPr>
              <w:pStyle w:val="BodyText"/>
              <w:rPr>
                <w:lang w:val="en-NZ"/>
              </w:rPr>
            </w:pPr>
            <w:r w:rsidRPr="00372D2B">
              <w:rPr>
                <w:rStyle w:val="SpecialBold"/>
              </w:rPr>
              <w:t xml:space="preserve">3 </w:t>
            </w:r>
            <w:r w:rsidRPr="00372D2B">
              <w:rPr>
                <w:rStyle w:val="SpecialBold"/>
              </w:rPr>
              <w:tab/>
              <w:t xml:space="preserve">Operate ancillary equipment </w:t>
            </w:r>
          </w:p>
        </w:tc>
        <w:tc>
          <w:tcPr>
            <w:tcW w:w="0" w:type="auto"/>
            <w:tcBorders>
              <w:top w:val="nil"/>
              <w:left w:val="nil"/>
              <w:bottom w:val="nil"/>
              <w:right w:val="nil"/>
            </w:tcBorders>
            <w:tcMar>
              <w:top w:w="0" w:type="dxa"/>
              <w:left w:w="62" w:type="dxa"/>
              <w:bottom w:w="0" w:type="dxa"/>
              <w:right w:w="62" w:type="dxa"/>
            </w:tcMar>
          </w:tcPr>
          <w:p w:rsidR="00000000" w:rsidRPr="00372D2B" w:rsidP="00372D2B">
            <w:pPr>
              <w:pStyle w:val="BodyText"/>
            </w:pPr>
            <w:r w:rsidRPr="00372D2B">
              <w:t>3.1 Operational area is checked and personnel in that area are informed of initiation of operation</w:t>
            </w:r>
          </w:p>
          <w:p w:rsidR="00000000" w:rsidRPr="00372D2B" w:rsidP="00372D2B">
            <w:pPr>
              <w:pStyle w:val="BodyText"/>
            </w:pPr>
            <w:r w:rsidRPr="00372D2B">
              <w:t>3.2 Equipment is star</w:t>
            </w:r>
            <w:r w:rsidRPr="00372D2B">
              <w:t xml:space="preserve">ted up using correct sequence and in accordance with organisational requirements and manufacturer specifications </w:t>
            </w:r>
          </w:p>
          <w:p w:rsidR="00000000" w:rsidRPr="00372D2B" w:rsidP="00372D2B">
            <w:pPr>
              <w:pStyle w:val="BodyText"/>
            </w:pPr>
            <w:r w:rsidRPr="00372D2B">
              <w:t>3.3 Equipment is operated in a safe and controlled manner in accordance with manufacturer specifications and monitored for performance and eff</w:t>
            </w:r>
            <w:r w:rsidRPr="00372D2B">
              <w:t>iciency</w:t>
            </w:r>
          </w:p>
          <w:p w:rsidR="00000000" w:rsidRPr="00372D2B" w:rsidP="00372D2B">
            <w:pPr>
              <w:pStyle w:val="BodyText"/>
            </w:pPr>
            <w:r w:rsidRPr="00372D2B">
              <w:t>3.4 Input materials are monitored and non-conformances are identified and handled in accordance with organisational requirements</w:t>
            </w:r>
          </w:p>
          <w:p w:rsidR="00000000" w:rsidP="00372D2B">
            <w:pPr>
              <w:pStyle w:val="BodyText"/>
              <w:rPr>
                <w:lang w:val="en-NZ"/>
              </w:rPr>
            </w:pPr>
            <w:r w:rsidRPr="00372D2B">
              <w:t>3.5 Processing outputs are monitored and adjustments to equipment operation are made to meet job requirements</w:t>
            </w:r>
          </w:p>
        </w:tc>
      </w:tr>
      <w:tr w:rsidTr="001D795A">
        <w:tblPrEx>
          <w:tblW w:w="0" w:type="auto"/>
          <w:tblCellMar>
            <w:left w:w="62" w:type="dxa"/>
            <w:right w:w="62" w:type="dxa"/>
          </w:tblCellMar>
          <w:tblLook w:val="0000"/>
        </w:tblPrEx>
        <w:trPr>
          <w:trHeight w:val="2951"/>
        </w:trPr>
        <w:tc>
          <w:tcPr>
            <w:tcW w:w="0" w:type="auto"/>
            <w:gridSpan w:val="2"/>
            <w:tcBorders>
              <w:top w:val="nil"/>
              <w:left w:val="nil"/>
              <w:bottom w:val="nil"/>
              <w:right w:val="nil"/>
            </w:tcBorders>
            <w:tcMar>
              <w:top w:w="0" w:type="dxa"/>
              <w:left w:w="62" w:type="dxa"/>
              <w:bottom w:w="0" w:type="dxa"/>
              <w:right w:w="62" w:type="dxa"/>
            </w:tcMar>
          </w:tcPr>
          <w:p w:rsidR="00000000" w:rsidP="00372D2B">
            <w:pPr>
              <w:pStyle w:val="BodyText"/>
              <w:rPr>
                <w:lang w:val="en-NZ"/>
              </w:rPr>
            </w:pPr>
            <w:r w:rsidRPr="00372D2B">
              <w:rPr>
                <w:rStyle w:val="SpecialBold"/>
              </w:rPr>
              <w:t xml:space="preserve">4 </w:t>
            </w:r>
            <w:r w:rsidRPr="00372D2B">
              <w:rPr>
                <w:rStyle w:val="SpecialBold"/>
              </w:rPr>
              <w:tab/>
            </w:r>
            <w:r w:rsidRPr="00372D2B">
              <w:rPr>
                <w:rStyle w:val="SpecialBold"/>
              </w:rPr>
              <w:t>Shut down heavy recovery ancillary equipment</w:t>
            </w:r>
          </w:p>
        </w:tc>
        <w:tc>
          <w:tcPr>
            <w:tcW w:w="0" w:type="auto"/>
            <w:tcBorders>
              <w:top w:val="nil"/>
              <w:left w:val="nil"/>
              <w:bottom w:val="nil"/>
              <w:right w:val="nil"/>
            </w:tcBorders>
            <w:tcMar>
              <w:top w:w="0" w:type="dxa"/>
              <w:left w:w="62" w:type="dxa"/>
              <w:bottom w:w="0" w:type="dxa"/>
              <w:right w:w="62" w:type="dxa"/>
            </w:tcMar>
          </w:tcPr>
          <w:p w:rsidR="00000000" w:rsidRPr="00372D2B" w:rsidP="00372D2B">
            <w:pPr>
              <w:pStyle w:val="BodyText"/>
            </w:pPr>
            <w:r w:rsidRPr="00372D2B">
              <w:t>4.1 Shut-down procedures for equipment are completed in accordance with organisational requirements and manufacturer specifications</w:t>
            </w:r>
          </w:p>
          <w:p w:rsidR="00000000" w:rsidRPr="00372D2B" w:rsidP="00372D2B">
            <w:pPr>
              <w:pStyle w:val="BodyText"/>
            </w:pPr>
            <w:r w:rsidRPr="00372D2B">
              <w:t>4.2 Routine maintenance of equipment is carried out in accordance with organis</w:t>
            </w:r>
            <w:r w:rsidRPr="00372D2B">
              <w:t>ational requirements and manufacturer specifications</w:t>
            </w:r>
          </w:p>
          <w:p w:rsidR="00000000" w:rsidRPr="00372D2B" w:rsidP="00372D2B">
            <w:pPr>
              <w:pStyle w:val="BodyText"/>
            </w:pPr>
            <w:r w:rsidRPr="00372D2B">
              <w:t xml:space="preserve">4.3 Equipment is stored and secured in accordance with organisational requirements </w:t>
            </w:r>
          </w:p>
          <w:p w:rsidR="00000000" w:rsidRPr="00372D2B" w:rsidP="00372D2B">
            <w:pPr>
              <w:pStyle w:val="BodyText"/>
            </w:pPr>
            <w:r w:rsidRPr="00372D2B">
              <w:t>4.4 Malfunctions, faults, irregular performance and damage to equipment are detailed and reported in accordance with or</w:t>
            </w:r>
            <w:r w:rsidRPr="00372D2B">
              <w:t>ganisational requirements</w:t>
            </w:r>
          </w:p>
        </w:tc>
      </w:tr>
    </w:tbl>
    <w:p w:rsidR="00000000" w:rsidRPr="00372D2B" w:rsidP="00372D2B">
      <w:pPr>
        <w:pStyle w:val="BodyText"/>
      </w:pPr>
    </w:p>
    <w:p w:rsidR="00000000" w:rsidRPr="00372D2B" w:rsidP="00372D2B">
      <w:pPr>
        <w:pStyle w:val="AllowPageBreak"/>
      </w:pPr>
    </w:p>
    <w:p w:rsidR="00000000" w:rsidRPr="00372D2B" w:rsidP="00372D2B">
      <w:pPr>
        <w:pStyle w:val="Heading1"/>
      </w:pPr>
      <w:bookmarkStart w:id="9" w:name="O_357273"/>
      <w:bookmarkEnd w:id="9"/>
      <w:r w:rsidRPr="00372D2B">
        <w:t>Required Skills and Knowledge</w:t>
      </w:r>
    </w:p>
    <w:tbl>
      <w:tblPr>
        <w:tblW w:w="0" w:type="auto"/>
        <w:tblCellMar>
          <w:left w:w="62" w:type="dxa"/>
          <w:right w:w="62" w:type="dxa"/>
        </w:tblCellMar>
        <w:tblLook w:val="0000"/>
      </w:tblPr>
      <w:tblGrid>
        <w:gridCol w:w="9196"/>
      </w:tblGrid>
      <w:tr w:rsidTr="001D7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D2B">
            <w:pPr>
              <w:pStyle w:val="BodyText"/>
              <w:rPr>
                <w:lang w:val="en-NZ"/>
              </w:rPr>
            </w:pPr>
            <w:r w:rsidRPr="00372D2B">
              <w:rPr>
                <w:rStyle w:val="SpecialBold"/>
              </w:rPr>
              <w:t>REQUIRED SKILLS AND KNOWLEDGE</w:t>
            </w:r>
          </w:p>
        </w:tc>
      </w:tr>
      <w:tr w:rsidTr="001D7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D2B">
            <w:pPr>
              <w:pStyle w:val="BodyText"/>
              <w:rPr>
                <w:lang w:val="en-NZ"/>
              </w:rPr>
            </w:pPr>
            <w:r w:rsidRPr="00372D2B">
              <w:t xml:space="preserve">This describes the essential skills and knowledge and their level, required for this unit. </w:t>
            </w:r>
          </w:p>
        </w:tc>
      </w:tr>
      <w:tr w:rsidTr="001D7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D2B">
            <w:pPr>
              <w:pStyle w:val="BodyText"/>
              <w:rPr>
                <w:lang w:val="en-NZ"/>
              </w:rPr>
            </w:pPr>
            <w:r w:rsidRPr="00372D2B">
              <w:rPr>
                <w:rStyle w:val="SpecialBold"/>
              </w:rPr>
              <w:t>Required knowledge:</w:t>
            </w:r>
          </w:p>
        </w:tc>
      </w:tr>
      <w:tr w:rsidTr="001D7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D2B">
            <w:pPr>
              <w:pStyle w:val="ListBullet"/>
              <w:rPr>
                <w:lang w:val="en-NZ"/>
              </w:rPr>
            </w:pPr>
            <w:r w:rsidRPr="00372D2B">
              <w:t>Relevant road rules, regulations, permit and licence requirements of the relevant state and territory roads and traffic authority</w:t>
            </w:r>
          </w:p>
        </w:tc>
      </w:tr>
      <w:tr w:rsidTr="001D7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D2B">
            <w:pPr>
              <w:pStyle w:val="ListBullet"/>
              <w:rPr>
                <w:lang w:val="en-NZ"/>
              </w:rPr>
            </w:pPr>
            <w:r w:rsidRPr="00372D2B">
              <w:t>Relevant OH&amp;S and environmental procedures and regulations relating to the ancillary equipment operations</w:t>
            </w:r>
          </w:p>
        </w:tc>
      </w:tr>
      <w:tr w:rsidTr="001D7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D2B">
            <w:pPr>
              <w:pStyle w:val="ListBullet"/>
              <w:rPr>
                <w:lang w:val="en-NZ"/>
              </w:rPr>
            </w:pPr>
            <w:r w:rsidRPr="00372D2B">
              <w:t>Relevant dangero</w:t>
            </w:r>
            <w:r w:rsidRPr="00372D2B">
              <w:t>us goods information pertaining to operating ancillary equipment</w:t>
            </w:r>
          </w:p>
        </w:tc>
      </w:tr>
      <w:tr w:rsidTr="001D7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D2B">
            <w:pPr>
              <w:pStyle w:val="ListBullet"/>
              <w:rPr>
                <w:lang w:val="en-NZ"/>
              </w:rPr>
            </w:pPr>
            <w:r w:rsidRPr="00372D2B">
              <w:t>Workplace driving and operational instructions</w:t>
            </w:r>
          </w:p>
        </w:tc>
      </w:tr>
      <w:tr w:rsidTr="001D7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D2B">
            <w:pPr>
              <w:pStyle w:val="ListBullet"/>
              <w:rPr>
                <w:lang w:val="en-NZ"/>
              </w:rPr>
            </w:pPr>
            <w:r w:rsidRPr="00372D2B">
              <w:t>Procedures to be followed in the event of a driving emergency and in response to a transport emergency response plan (TERP)</w:t>
            </w:r>
          </w:p>
        </w:tc>
      </w:tr>
      <w:tr w:rsidTr="001D7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D2B">
            <w:pPr>
              <w:pStyle w:val="ListBullet"/>
              <w:rPr>
                <w:lang w:val="en-NZ"/>
              </w:rPr>
            </w:pPr>
            <w:r w:rsidRPr="00372D2B">
              <w:t xml:space="preserve">Efficient driving techniques and eco-driving considerations </w:t>
            </w:r>
          </w:p>
        </w:tc>
      </w:tr>
      <w:tr w:rsidTr="001D7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D2B">
            <w:pPr>
              <w:pStyle w:val="ListBullet"/>
              <w:rPr>
                <w:lang w:val="en-NZ"/>
              </w:rPr>
            </w:pPr>
            <w:r w:rsidRPr="00372D2B">
              <w:t>Factors that may cause traffic delays and diversions</w:t>
            </w:r>
          </w:p>
        </w:tc>
      </w:tr>
      <w:tr w:rsidTr="001D7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D2B">
            <w:pPr>
              <w:pStyle w:val="ListBullet"/>
              <w:rPr>
                <w:lang w:val="en-NZ"/>
              </w:rPr>
            </w:pPr>
            <w:r w:rsidRPr="00372D2B">
              <w:t xml:space="preserve">Factors involved in trip preparation </w:t>
            </w:r>
          </w:p>
        </w:tc>
      </w:tr>
      <w:tr w:rsidTr="001D7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2D2B" w:rsidP="00372D2B">
            <w:pPr>
              <w:pStyle w:val="ListBullet"/>
            </w:pPr>
            <w:r w:rsidRPr="00372D2B">
              <w:t xml:space="preserve">Workplace documentation </w:t>
            </w:r>
          </w:p>
        </w:tc>
      </w:tr>
    </w:tbl>
    <w:p w:rsidR="00000000" w:rsidRPr="00372D2B" w:rsidP="00372D2B">
      <w:pPr>
        <w:pStyle w:val="BodyText"/>
      </w:pPr>
    </w:p>
    <w:tbl>
      <w:tblPr>
        <w:tblW w:w="0" w:type="auto"/>
        <w:tblCellMar>
          <w:left w:w="62" w:type="dxa"/>
          <w:right w:w="62" w:type="dxa"/>
        </w:tblCellMar>
        <w:tblLook w:val="0000"/>
      </w:tblPr>
      <w:tblGrid>
        <w:gridCol w:w="9196"/>
      </w:tblGrid>
      <w:tr w:rsidTr="001D7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D2B">
            <w:pPr>
              <w:pStyle w:val="BodyText"/>
              <w:rPr>
                <w:lang w:val="en-NZ"/>
              </w:rPr>
            </w:pPr>
            <w:r w:rsidRPr="00372D2B">
              <w:rPr>
                <w:rStyle w:val="SpecialBold"/>
              </w:rPr>
              <w:t>Required skills:</w:t>
            </w:r>
          </w:p>
        </w:tc>
      </w:tr>
      <w:tr w:rsidTr="001D7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D2B">
            <w:pPr>
              <w:pStyle w:val="ListBullet"/>
              <w:rPr>
                <w:lang w:val="en-NZ"/>
              </w:rPr>
            </w:pPr>
            <w:r w:rsidRPr="00372D2B">
              <w:t>Communicate effectively wi</w:t>
            </w:r>
            <w:r w:rsidRPr="00372D2B">
              <w:t>th others operating ancillary equipment</w:t>
            </w:r>
          </w:p>
        </w:tc>
      </w:tr>
      <w:tr w:rsidTr="001D7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D2B">
            <w:pPr>
              <w:pStyle w:val="ListBullet"/>
              <w:rPr>
                <w:lang w:val="en-NZ"/>
              </w:rPr>
            </w:pPr>
            <w:r w:rsidRPr="00372D2B">
              <w:t>Read and interpret instructions, procedures, information and signs relevant to operating ancillary equipment</w:t>
            </w:r>
          </w:p>
        </w:tc>
      </w:tr>
      <w:tr w:rsidTr="001D7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D2B">
            <w:pPr>
              <w:pStyle w:val="ListBullet"/>
              <w:rPr>
                <w:lang w:val="en-NZ"/>
              </w:rPr>
            </w:pPr>
            <w:r w:rsidRPr="00372D2B">
              <w:t>Interpret and follow operational instructions and prioritise work</w:t>
            </w:r>
          </w:p>
        </w:tc>
      </w:tr>
      <w:tr w:rsidTr="001D7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D2B">
            <w:pPr>
              <w:pStyle w:val="ListBullet"/>
              <w:rPr>
                <w:lang w:val="en-NZ"/>
              </w:rPr>
            </w:pPr>
            <w:r w:rsidRPr="00372D2B">
              <w:t xml:space="preserve">Complete documentation relating to </w:t>
            </w:r>
            <w:r w:rsidRPr="00372D2B">
              <w:t>operating ancillary equipment</w:t>
            </w:r>
          </w:p>
        </w:tc>
      </w:tr>
      <w:tr w:rsidTr="001D7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D2B">
            <w:pPr>
              <w:pStyle w:val="ListBullet"/>
              <w:rPr>
                <w:lang w:val="en-NZ"/>
              </w:rPr>
            </w:pPr>
            <w:r w:rsidRPr="00372D2B">
              <w:t>Work collaboratively with others when operating ancillary equipment</w:t>
            </w:r>
          </w:p>
        </w:tc>
      </w:tr>
      <w:tr w:rsidTr="001D7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D2B">
            <w:pPr>
              <w:pStyle w:val="ListBullet"/>
              <w:rPr>
                <w:lang w:val="en-NZ"/>
              </w:rPr>
            </w:pPr>
            <w:r w:rsidRPr="00372D2B">
              <w:t>Adapt appropriately to cultural differences in the workplace and customer sites, including modes of behaviour and interaction with others</w:t>
            </w:r>
          </w:p>
        </w:tc>
      </w:tr>
      <w:tr w:rsidTr="001D7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2D2B" w:rsidP="00372D2B">
            <w:pPr>
              <w:pStyle w:val="ListBullet"/>
            </w:pPr>
            <w:r w:rsidRPr="00372D2B">
              <w:t>Implement cont</w:t>
            </w:r>
            <w:r w:rsidRPr="00372D2B">
              <w:t>ingency plans for unexpected events when operating ancillary equipment</w:t>
            </w:r>
          </w:p>
        </w:tc>
      </w:tr>
    </w:tbl>
    <w:p w:rsidR="00000000" w:rsidRPr="00372D2B" w:rsidP="00372D2B">
      <w:pPr>
        <w:pStyle w:val="BodyText"/>
      </w:pPr>
    </w:p>
    <w:p w:rsidR="00000000" w:rsidRPr="00372D2B" w:rsidP="00372D2B">
      <w:pPr>
        <w:pStyle w:val="AllowPageBreak"/>
      </w:pPr>
    </w:p>
    <w:p w:rsidR="00000000" w:rsidRPr="00372D2B" w:rsidP="00372D2B">
      <w:pPr>
        <w:pStyle w:val="Heading1"/>
      </w:pPr>
      <w:bookmarkStart w:id="10" w:name="O_357274"/>
      <w:bookmarkEnd w:id="10"/>
      <w:r w:rsidRPr="00372D2B">
        <w:t>Evidence Guide</w:t>
      </w:r>
    </w:p>
    <w:tbl>
      <w:tblPr>
        <w:tblW w:w="9499" w:type="dxa"/>
        <w:tblLayout w:type="fixed"/>
        <w:tblCellMar>
          <w:left w:w="62" w:type="dxa"/>
          <w:right w:w="62" w:type="dxa"/>
        </w:tblCellMar>
        <w:tblLook w:val="0000"/>
      </w:tblPr>
      <w:tblGrid>
        <w:gridCol w:w="3508"/>
        <w:gridCol w:w="5991"/>
      </w:tblGrid>
      <w:tr w:rsidTr="00372D2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72D2B">
            <w:pPr>
              <w:pStyle w:val="BodyText"/>
              <w:rPr>
                <w:lang w:val="en-NZ"/>
              </w:rPr>
            </w:pPr>
            <w:r w:rsidRPr="00372D2B">
              <w:rPr>
                <w:rStyle w:val="SpecialBold"/>
              </w:rPr>
              <w:t>EVIDENCE GUIDE</w:t>
            </w:r>
          </w:p>
        </w:tc>
      </w:tr>
      <w:tr w:rsidTr="00372D2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72D2B">
            <w:pPr>
              <w:pStyle w:val="BodyText"/>
              <w:rPr>
                <w:lang w:val="en-NZ"/>
              </w:rPr>
            </w:pPr>
            <w:r w:rsidRPr="00372D2B">
              <w:t xml:space="preserve">The evidence guide provides advice on assessment and must be read in conjunction with the Performance Criteria, Required Skills and </w:t>
            </w:r>
            <w:r w:rsidRPr="00372D2B">
              <w:t xml:space="preserve">Knowledge, the Range Statement and the Assessment section in Section B of the accreditation submission. </w:t>
            </w:r>
          </w:p>
        </w:tc>
      </w:tr>
      <w:tr w:rsidTr="00372D2B">
        <w:tblPrEx>
          <w:tblW w:w="9499" w:type="dxa"/>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372D2B">
            <w:pPr>
              <w:pStyle w:val="BodyText"/>
              <w:rPr>
                <w:lang w:val="en-NZ"/>
              </w:rPr>
            </w:pPr>
            <w:r w:rsidRPr="00372D2B">
              <w:rPr>
                <w:rStyle w:val="SpecialBold"/>
              </w:rPr>
              <w:t>Critical aspects for assessment and evidence required to demonstrate competency in this unit</w:t>
            </w:r>
          </w:p>
        </w:tc>
        <w:tc>
          <w:tcPr>
            <w:tcW w:w="5991" w:type="dxa"/>
            <w:tcBorders>
              <w:top w:val="nil"/>
              <w:left w:val="nil"/>
              <w:bottom w:val="nil"/>
              <w:right w:val="nil"/>
            </w:tcBorders>
            <w:tcMar>
              <w:top w:w="0" w:type="dxa"/>
              <w:left w:w="62" w:type="dxa"/>
              <w:bottom w:w="0" w:type="dxa"/>
              <w:right w:w="62" w:type="dxa"/>
            </w:tcMar>
          </w:tcPr>
          <w:p w:rsidR="00000000" w:rsidRPr="00372D2B" w:rsidP="00372D2B">
            <w:pPr>
              <w:pStyle w:val="ListBullet"/>
            </w:pPr>
            <w:r w:rsidRPr="00372D2B">
              <w:t>The evidence required to demonstrate competency in this</w:t>
            </w:r>
            <w:r w:rsidRPr="00372D2B">
              <w:t xml:space="preserve"> unit must be relevant to and satisfy all of the requirements of the elements and performance criteria of this unit and include demonstration of:</w:t>
            </w:r>
          </w:p>
          <w:p w:rsidR="00000000" w:rsidRPr="00372D2B" w:rsidP="00372D2B">
            <w:pPr>
              <w:pStyle w:val="ListBullet2"/>
            </w:pPr>
            <w:r w:rsidRPr="00372D2B">
              <w:t>identifying three different types of ancillary recovery equipment and their users</w:t>
            </w:r>
          </w:p>
          <w:p w:rsidR="00000000" w:rsidP="00372D2B">
            <w:pPr>
              <w:pStyle w:val="ListBullet2"/>
              <w:rPr>
                <w:lang w:val="en-NZ"/>
              </w:rPr>
            </w:pPr>
            <w:r w:rsidRPr="00372D2B">
              <w:t>demonstrating safe operation of two types of heavy recovery ancillary equipment</w:t>
            </w:r>
          </w:p>
        </w:tc>
      </w:tr>
      <w:tr w:rsidTr="00372D2B">
        <w:tblPrEx>
          <w:tblW w:w="9499" w:type="dxa"/>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372D2B">
            <w:pPr>
              <w:pStyle w:val="BodyText"/>
              <w:rPr>
                <w:lang w:val="en-NZ"/>
              </w:rPr>
            </w:pPr>
            <w:r w:rsidRPr="00372D2B">
              <w:rPr>
                <w:rStyle w:val="SpecialBold"/>
              </w:rPr>
              <w:t>Context of and specific resources for assessment</w:t>
            </w:r>
          </w:p>
        </w:tc>
        <w:tc>
          <w:tcPr>
            <w:tcW w:w="5991" w:type="dxa"/>
            <w:tcBorders>
              <w:top w:val="nil"/>
              <w:left w:val="nil"/>
              <w:bottom w:val="nil"/>
              <w:right w:val="nil"/>
            </w:tcBorders>
            <w:tcMar>
              <w:top w:w="0" w:type="dxa"/>
              <w:left w:w="62" w:type="dxa"/>
              <w:bottom w:w="0" w:type="dxa"/>
              <w:right w:w="62" w:type="dxa"/>
            </w:tcMar>
          </w:tcPr>
          <w:p w:rsidR="00000000" w:rsidRPr="00372D2B" w:rsidP="00372D2B">
            <w:pPr>
              <w:pStyle w:val="ListBullet"/>
            </w:pPr>
            <w:r w:rsidRPr="00372D2B">
              <w:t>Assessment must ensure access to:</w:t>
            </w:r>
          </w:p>
          <w:p w:rsidR="00000000" w:rsidRPr="00372D2B" w:rsidP="00372D2B">
            <w:pPr>
              <w:pStyle w:val="ListBullet2"/>
            </w:pPr>
            <w:r w:rsidRPr="00372D2B">
              <w:t>recovery ancillary equipment, which when used is to be current equipment used in the recov</w:t>
            </w:r>
            <w:r w:rsidRPr="00372D2B">
              <w:t xml:space="preserve">ery industry </w:t>
            </w:r>
          </w:p>
          <w:p w:rsidR="00000000" w:rsidRPr="00372D2B" w:rsidP="00372D2B">
            <w:pPr>
              <w:pStyle w:val="ListBullet2"/>
            </w:pPr>
            <w:r w:rsidRPr="00372D2B">
              <w:t>tools, equipment and PPE currently used in the recovery industry</w:t>
            </w:r>
          </w:p>
          <w:p w:rsidR="00000000" w:rsidP="00372D2B">
            <w:pPr>
              <w:pStyle w:val="ListBullet2"/>
              <w:rPr>
                <w:lang w:val="en-NZ"/>
              </w:rPr>
            </w:pPr>
            <w:r w:rsidRPr="00372D2B">
              <w:t xml:space="preserve">relevant regulatory and equipment documentation that impacts on work activities </w:t>
            </w:r>
          </w:p>
        </w:tc>
      </w:tr>
      <w:tr w:rsidTr="00372D2B">
        <w:tblPrEx>
          <w:tblW w:w="9499" w:type="dxa"/>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372D2B">
            <w:pPr>
              <w:pStyle w:val="BodyText"/>
              <w:rPr>
                <w:lang w:val="en-NZ"/>
              </w:rPr>
            </w:pPr>
            <w:r w:rsidRPr="00372D2B">
              <w:rPr>
                <w:rStyle w:val="SpecialBold"/>
              </w:rPr>
              <w:t>Method of assessment</w:t>
            </w:r>
          </w:p>
        </w:tc>
        <w:tc>
          <w:tcPr>
            <w:tcW w:w="5991" w:type="dxa"/>
            <w:tcBorders>
              <w:top w:val="nil"/>
              <w:left w:val="nil"/>
              <w:bottom w:val="nil"/>
              <w:right w:val="nil"/>
            </w:tcBorders>
            <w:tcMar>
              <w:top w:w="0" w:type="dxa"/>
              <w:left w:w="62" w:type="dxa"/>
              <w:bottom w:w="0" w:type="dxa"/>
              <w:right w:w="62" w:type="dxa"/>
            </w:tcMar>
          </w:tcPr>
          <w:p w:rsidR="00000000" w:rsidRPr="00372D2B" w:rsidP="00372D2B">
            <w:pPr>
              <w:pStyle w:val="ListBullet"/>
            </w:pPr>
            <w:r w:rsidRPr="00372D2B">
              <w:t>Practical assessment must occur:</w:t>
            </w:r>
          </w:p>
          <w:p w:rsidR="00000000" w:rsidRPr="00372D2B" w:rsidP="00372D2B">
            <w:pPr>
              <w:pStyle w:val="ListBullet2"/>
            </w:pPr>
            <w:r w:rsidRPr="00372D2B">
              <w:t>through activities in an appropriately simulated environment consistent with current industry practice, and/or</w:t>
            </w:r>
          </w:p>
          <w:p w:rsidR="00000000" w:rsidRPr="00372D2B" w:rsidP="00372D2B">
            <w:pPr>
              <w:pStyle w:val="ListBullet2"/>
            </w:pPr>
            <w:r w:rsidRPr="00372D2B">
              <w:t>in an appropriate range of situations in the workplace</w:t>
            </w:r>
          </w:p>
          <w:p w:rsidR="00000000" w:rsidRPr="00372D2B" w:rsidP="00372D2B">
            <w:pPr>
              <w:pStyle w:val="ListBullet"/>
            </w:pPr>
            <w:r w:rsidRPr="00372D2B">
              <w:t>In all cases where practical assessment is used it will be combined with targeted questio</w:t>
            </w:r>
            <w:r w:rsidRPr="00372D2B">
              <w:t>ning to assess required knowledge</w:t>
            </w:r>
          </w:p>
          <w:p w:rsidR="00000000" w:rsidRPr="00372D2B" w:rsidP="00372D2B">
            <w:pPr>
              <w:pStyle w:val="ListBullet"/>
            </w:pPr>
            <w:r w:rsidRPr="00372D2B">
              <w:t>Holistic assessment with other units relevant to the industry sector, workplace and job role is recommended</w:t>
            </w:r>
          </w:p>
          <w:p w:rsidR="00000000" w:rsidRPr="00372D2B" w:rsidP="00372D2B">
            <w:pPr>
              <w:pStyle w:val="ListBullet"/>
            </w:pPr>
            <w:r w:rsidRPr="00372D2B">
              <w:t>Assessment processes and techniques must be appropriate to the language and literacy capacity of the candidate and the work being performed</w:t>
            </w:r>
          </w:p>
          <w:p w:rsidR="00000000" w:rsidRPr="00372D2B" w:rsidP="00372D2B">
            <w:pPr>
              <w:pStyle w:val="ListBullet"/>
            </w:pPr>
            <w:r w:rsidRPr="00372D2B">
              <w:t>Performance is demonstrated consistently over a period of time and in a range of contexts expected as part of the jo</w:t>
            </w:r>
            <w:r w:rsidRPr="00372D2B">
              <w:t xml:space="preserve">b function </w:t>
            </w:r>
          </w:p>
          <w:p w:rsidR="00000000" w:rsidRPr="00372D2B" w:rsidP="00372D2B">
            <w:pPr>
              <w:pStyle w:val="BodyText"/>
            </w:pPr>
          </w:p>
        </w:tc>
      </w:tr>
    </w:tbl>
    <w:p w:rsidR="00000000" w:rsidRPr="00372D2B" w:rsidP="00372D2B">
      <w:pPr>
        <w:pStyle w:val="BodyText"/>
      </w:pPr>
    </w:p>
    <w:p w:rsidR="00000000" w:rsidRPr="00372D2B" w:rsidP="00372D2B">
      <w:pPr>
        <w:pStyle w:val="AllowPageBreak"/>
      </w:pPr>
    </w:p>
    <w:p w:rsidR="00000000" w:rsidRPr="00372D2B" w:rsidP="00372D2B">
      <w:pPr>
        <w:pStyle w:val="Heading1"/>
      </w:pPr>
      <w:bookmarkStart w:id="11" w:name="O_357275"/>
      <w:bookmarkEnd w:id="11"/>
      <w:r w:rsidRPr="00372D2B">
        <w:t>Range Statement</w:t>
      </w:r>
    </w:p>
    <w:tbl>
      <w:tblPr>
        <w:tblW w:w="0" w:type="auto"/>
        <w:tblCellMar>
          <w:left w:w="62" w:type="dxa"/>
          <w:right w:w="62" w:type="dxa"/>
        </w:tblCellMar>
        <w:tblLook w:val="0000"/>
      </w:tblPr>
      <w:tblGrid>
        <w:gridCol w:w="3147"/>
        <w:gridCol w:w="6049"/>
      </w:tblGrid>
      <w:tr w:rsidTr="001D795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72D2B">
            <w:pPr>
              <w:pStyle w:val="BodyText"/>
              <w:rPr>
                <w:lang w:val="en-NZ"/>
              </w:rPr>
            </w:pPr>
            <w:r w:rsidRPr="00372D2B">
              <w:rPr>
                <w:rStyle w:val="SpecialBold"/>
              </w:rPr>
              <w:t xml:space="preserve">RANGE STATEMENT </w:t>
            </w:r>
          </w:p>
        </w:tc>
      </w:tr>
      <w:tr w:rsidTr="001D795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72D2B">
            <w:pPr>
              <w:pStyle w:val="BodyText"/>
              <w:rPr>
                <w:lang w:val="en-NZ"/>
              </w:rPr>
            </w:pPr>
            <w:r w:rsidRPr="00372D2B">
              <w:t xml:space="preserve">The Range Statement relates to the unit of competency as a whole. It allows for different work environments and situations that may affect </w:t>
            </w:r>
            <w:r w:rsidRPr="00372D2B">
              <w:t xml:space="preserve">performance. Add any essential operating conditions that may be present with training and assessment depending on the work situation, needs of the candidate, accessibility of the item, and local industry and regional contexts. </w:t>
            </w:r>
          </w:p>
        </w:tc>
      </w:tr>
      <w:tr w:rsidTr="001D7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D2B">
            <w:pPr>
              <w:pStyle w:val="BodyText"/>
              <w:rPr>
                <w:lang w:val="en-NZ"/>
              </w:rPr>
            </w:pPr>
            <w:r w:rsidRPr="00372D2B">
              <w:rPr>
                <w:rStyle w:val="SpecialBold"/>
              </w:rPr>
              <w:t>Ancillary equipment includ</w:t>
            </w:r>
            <w:r w:rsidRPr="00372D2B">
              <w:rPr>
                <w:rStyle w:val="SpecialBold"/>
              </w:rPr>
              <w:t>es:</w:t>
            </w:r>
          </w:p>
        </w:tc>
        <w:tc>
          <w:tcPr>
            <w:tcW w:w="0" w:type="auto"/>
            <w:tcBorders>
              <w:top w:val="nil"/>
              <w:left w:val="nil"/>
              <w:bottom w:val="nil"/>
              <w:right w:val="nil"/>
            </w:tcBorders>
            <w:tcMar>
              <w:top w:w="0" w:type="dxa"/>
              <w:left w:w="62" w:type="dxa"/>
              <w:bottom w:w="0" w:type="dxa"/>
              <w:right w:w="62" w:type="dxa"/>
            </w:tcMar>
          </w:tcPr>
          <w:p w:rsidR="00000000" w:rsidRPr="00372D2B" w:rsidP="00372D2B">
            <w:pPr>
              <w:pStyle w:val="ListBullet"/>
            </w:pPr>
            <w:r w:rsidRPr="00372D2B">
              <w:t>fire extinguisher</w:t>
            </w:r>
          </w:p>
          <w:p w:rsidR="00000000" w:rsidRPr="00372D2B" w:rsidP="00372D2B">
            <w:pPr>
              <w:pStyle w:val="ListBullet"/>
            </w:pPr>
            <w:r w:rsidRPr="00372D2B">
              <w:t>hand tools</w:t>
            </w:r>
          </w:p>
          <w:p w:rsidR="00000000" w:rsidRPr="00372D2B" w:rsidP="00372D2B">
            <w:pPr>
              <w:pStyle w:val="ListBullet"/>
            </w:pPr>
            <w:r w:rsidRPr="00372D2B">
              <w:t>socket sets</w:t>
            </w:r>
          </w:p>
          <w:p w:rsidR="00000000" w:rsidRPr="00372D2B" w:rsidP="00372D2B">
            <w:pPr>
              <w:pStyle w:val="ListBullet"/>
            </w:pPr>
            <w:r w:rsidRPr="00372D2B">
              <w:t>shovel</w:t>
            </w:r>
          </w:p>
          <w:p w:rsidR="00000000" w:rsidRPr="00372D2B" w:rsidP="00372D2B">
            <w:pPr>
              <w:pStyle w:val="ListBullet"/>
            </w:pPr>
            <w:r w:rsidRPr="00372D2B">
              <w:t>crow bar</w:t>
            </w:r>
          </w:p>
          <w:p w:rsidR="00000000" w:rsidRPr="00372D2B" w:rsidP="00372D2B">
            <w:pPr>
              <w:pStyle w:val="ListBullet"/>
            </w:pPr>
            <w:r w:rsidRPr="00372D2B">
              <w:t>sledge hammer</w:t>
            </w:r>
          </w:p>
          <w:p w:rsidR="00000000" w:rsidRPr="00372D2B" w:rsidP="00372D2B">
            <w:pPr>
              <w:pStyle w:val="ListBullet"/>
            </w:pPr>
            <w:r w:rsidRPr="00372D2B">
              <w:t>wood saw</w:t>
            </w:r>
          </w:p>
          <w:p w:rsidR="00000000" w:rsidRPr="00372D2B" w:rsidP="00372D2B">
            <w:pPr>
              <w:pStyle w:val="ListBullet"/>
            </w:pPr>
            <w:r w:rsidRPr="00372D2B">
              <w:t>hacksaw</w:t>
            </w:r>
          </w:p>
          <w:p w:rsidR="00000000" w:rsidRPr="00372D2B" w:rsidP="00372D2B">
            <w:pPr>
              <w:pStyle w:val="ListBullet"/>
            </w:pPr>
            <w:r w:rsidRPr="00372D2B">
              <w:t>hydraulic jack</w:t>
            </w:r>
          </w:p>
          <w:p w:rsidR="00000000" w:rsidRPr="00372D2B" w:rsidP="00372D2B">
            <w:pPr>
              <w:pStyle w:val="ListBullet"/>
            </w:pPr>
            <w:r w:rsidRPr="00372D2B">
              <w:t>forklift</w:t>
            </w:r>
          </w:p>
          <w:p w:rsidR="00000000" w:rsidRPr="00372D2B" w:rsidP="00372D2B">
            <w:pPr>
              <w:pStyle w:val="ListBullet"/>
            </w:pPr>
            <w:r w:rsidRPr="00372D2B">
              <w:t>road train dolly</w:t>
            </w:r>
          </w:p>
          <w:p w:rsidR="00000000" w:rsidRPr="00372D2B" w:rsidP="00372D2B">
            <w:pPr>
              <w:pStyle w:val="ListBullet"/>
            </w:pPr>
            <w:r w:rsidRPr="00372D2B">
              <w:t>air bags and cushions</w:t>
            </w:r>
          </w:p>
          <w:p w:rsidR="00000000" w:rsidRPr="00372D2B" w:rsidP="00372D2B">
            <w:pPr>
              <w:pStyle w:val="ListBullet"/>
            </w:pPr>
            <w:r w:rsidRPr="00372D2B">
              <w:t>catch equipment</w:t>
            </w:r>
          </w:p>
          <w:p w:rsidR="00000000" w:rsidRPr="00372D2B" w:rsidP="00372D2B">
            <w:pPr>
              <w:pStyle w:val="ListBullet"/>
            </w:pPr>
            <w:r w:rsidRPr="00372D2B">
              <w:t>bog mat</w:t>
            </w:r>
          </w:p>
          <w:p w:rsidR="00000000" w:rsidRPr="00372D2B" w:rsidP="00372D2B">
            <w:pPr>
              <w:pStyle w:val="ListBullet"/>
            </w:pPr>
            <w:r w:rsidRPr="00372D2B">
              <w:t>track mat</w:t>
            </w:r>
          </w:p>
          <w:p w:rsidR="00000000" w:rsidRPr="00372D2B" w:rsidP="00372D2B">
            <w:pPr>
              <w:pStyle w:val="ListBullet"/>
            </w:pPr>
            <w:r w:rsidRPr="00372D2B">
              <w:t>pumps</w:t>
            </w:r>
          </w:p>
          <w:p w:rsidR="00000000" w:rsidRPr="00372D2B" w:rsidP="00372D2B">
            <w:pPr>
              <w:pStyle w:val="ListBullet"/>
            </w:pPr>
            <w:r w:rsidRPr="00372D2B">
              <w:t>snatch block</w:t>
            </w:r>
          </w:p>
          <w:p w:rsidR="00000000" w:rsidRPr="00372D2B" w:rsidP="00372D2B">
            <w:pPr>
              <w:pStyle w:val="ListBullet"/>
            </w:pPr>
            <w:r w:rsidRPr="00372D2B">
              <w:t>cribbing</w:t>
            </w:r>
          </w:p>
          <w:p w:rsidR="00000000" w:rsidRPr="00372D2B" w:rsidP="00372D2B">
            <w:pPr>
              <w:pStyle w:val="ListBullet"/>
            </w:pPr>
            <w:r w:rsidRPr="00372D2B">
              <w:t>chains</w:t>
            </w:r>
          </w:p>
          <w:p w:rsidR="00000000" w:rsidRPr="00372D2B" w:rsidP="00372D2B">
            <w:pPr>
              <w:pStyle w:val="ListBullet"/>
            </w:pPr>
            <w:r w:rsidRPr="00372D2B">
              <w:t>lifting slings and strops</w:t>
            </w:r>
          </w:p>
          <w:p w:rsidR="00000000" w:rsidRPr="00372D2B" w:rsidP="00372D2B">
            <w:pPr>
              <w:pStyle w:val="ListBullet"/>
            </w:pPr>
            <w:r w:rsidRPr="00372D2B">
              <w:t xml:space="preserve">cutting equipment </w:t>
            </w:r>
          </w:p>
          <w:p w:rsidR="00000000" w:rsidP="00372D2B">
            <w:pPr>
              <w:pStyle w:val="ListBullet"/>
              <w:rPr>
                <w:lang w:val="en-NZ"/>
              </w:rPr>
            </w:pPr>
            <w:r w:rsidRPr="00372D2B">
              <w:t>chain saw</w:t>
            </w:r>
          </w:p>
        </w:tc>
      </w:tr>
      <w:tr w:rsidTr="001D7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D2B">
            <w:pPr>
              <w:pStyle w:val="BodyText"/>
              <w:rPr>
                <w:lang w:val="en-NZ"/>
              </w:rPr>
            </w:pPr>
            <w:r w:rsidRPr="00372D2B">
              <w:rPr>
                <w:rStyle w:val="SpecialBold"/>
              </w:rPr>
              <w:t xml:space="preserve">Personal safety measures may include: </w:t>
            </w:r>
          </w:p>
        </w:tc>
        <w:tc>
          <w:tcPr>
            <w:tcW w:w="0" w:type="auto"/>
            <w:tcBorders>
              <w:top w:val="nil"/>
              <w:left w:val="nil"/>
              <w:bottom w:val="nil"/>
              <w:right w:val="nil"/>
            </w:tcBorders>
            <w:tcMar>
              <w:top w:w="0" w:type="dxa"/>
              <w:left w:w="62" w:type="dxa"/>
              <w:bottom w:w="0" w:type="dxa"/>
              <w:right w:w="62" w:type="dxa"/>
            </w:tcMar>
          </w:tcPr>
          <w:p w:rsidR="00000000" w:rsidRPr="00372D2B" w:rsidP="00372D2B">
            <w:pPr>
              <w:pStyle w:val="ListBullet"/>
            </w:pPr>
            <w:r w:rsidRPr="00372D2B">
              <w:t>manual-lifting techniques</w:t>
            </w:r>
          </w:p>
          <w:p w:rsidR="00000000" w:rsidRPr="00372D2B" w:rsidP="00372D2B">
            <w:pPr>
              <w:pStyle w:val="ListBullet"/>
            </w:pPr>
            <w:r w:rsidRPr="00372D2B">
              <w:t>three points of contact when using ladders</w:t>
            </w:r>
          </w:p>
          <w:p w:rsidR="00000000" w:rsidRPr="00372D2B" w:rsidP="00372D2B">
            <w:pPr>
              <w:pStyle w:val="ListBullet"/>
            </w:pPr>
            <w:r w:rsidRPr="00372D2B">
              <w:t>correct use of safety rails and walkways</w:t>
            </w:r>
          </w:p>
          <w:p w:rsidR="00000000" w:rsidRPr="00372D2B" w:rsidP="00372D2B">
            <w:pPr>
              <w:pStyle w:val="ListBullet"/>
            </w:pPr>
            <w:r w:rsidRPr="00372D2B">
              <w:t>safety footwear</w:t>
            </w:r>
          </w:p>
          <w:p w:rsidR="00000000" w:rsidRPr="00372D2B" w:rsidP="00372D2B">
            <w:pPr>
              <w:pStyle w:val="ListBullet"/>
            </w:pPr>
            <w:r w:rsidRPr="00372D2B">
              <w:t>high visibility clothing</w:t>
            </w:r>
          </w:p>
          <w:p w:rsidR="00000000" w:rsidRPr="00372D2B" w:rsidP="00372D2B">
            <w:pPr>
              <w:pStyle w:val="ListBullet"/>
            </w:pPr>
            <w:r w:rsidRPr="00372D2B">
              <w:t>hearing protection</w:t>
            </w:r>
          </w:p>
          <w:p w:rsidR="00000000" w:rsidP="00372D2B">
            <w:pPr>
              <w:pStyle w:val="ListBullet"/>
              <w:rPr>
                <w:lang w:val="en-NZ"/>
              </w:rPr>
            </w:pPr>
            <w:r w:rsidRPr="00372D2B">
              <w:t xml:space="preserve">PPE required for the product class being transported </w:t>
            </w:r>
          </w:p>
        </w:tc>
      </w:tr>
      <w:tr w:rsidTr="001D7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D2B">
            <w:pPr>
              <w:pStyle w:val="BodyText"/>
              <w:rPr>
                <w:lang w:val="en-NZ"/>
              </w:rPr>
            </w:pPr>
            <w:r w:rsidRPr="00372D2B">
              <w:rPr>
                <w:rStyle w:val="SpecialBold"/>
              </w:rPr>
              <w:t>Depending on the type of organisation concerned and the local terminology used, workplace procedures may include:</w:t>
            </w:r>
          </w:p>
        </w:tc>
        <w:tc>
          <w:tcPr>
            <w:tcW w:w="0" w:type="auto"/>
            <w:tcBorders>
              <w:top w:val="nil"/>
              <w:left w:val="nil"/>
              <w:bottom w:val="nil"/>
              <w:right w:val="nil"/>
            </w:tcBorders>
            <w:tcMar>
              <w:top w:w="0" w:type="dxa"/>
              <w:left w:w="62" w:type="dxa"/>
              <w:bottom w:w="0" w:type="dxa"/>
              <w:right w:w="62" w:type="dxa"/>
            </w:tcMar>
          </w:tcPr>
          <w:p w:rsidR="00000000" w:rsidRPr="00372D2B" w:rsidP="00372D2B">
            <w:pPr>
              <w:pStyle w:val="ListBullet"/>
            </w:pPr>
            <w:r w:rsidRPr="00372D2B">
              <w:t>company procedures</w:t>
            </w:r>
          </w:p>
          <w:p w:rsidR="00000000" w:rsidRPr="00372D2B" w:rsidP="00372D2B">
            <w:pPr>
              <w:pStyle w:val="ListBullet"/>
            </w:pPr>
            <w:r w:rsidRPr="00372D2B">
              <w:t>enterprise procedures</w:t>
            </w:r>
          </w:p>
          <w:p w:rsidR="00000000" w:rsidRPr="00372D2B" w:rsidP="00372D2B">
            <w:pPr>
              <w:pStyle w:val="ListBullet"/>
            </w:pPr>
            <w:r w:rsidRPr="00372D2B">
              <w:t>organisational procedures</w:t>
            </w:r>
          </w:p>
          <w:p w:rsidR="00000000" w:rsidRPr="00372D2B" w:rsidP="00372D2B">
            <w:pPr>
              <w:pStyle w:val="ListBullet"/>
            </w:pPr>
            <w:r w:rsidRPr="00372D2B">
              <w:t>established procedu</w:t>
            </w:r>
            <w:r w:rsidRPr="00372D2B">
              <w:t>res</w:t>
            </w:r>
          </w:p>
          <w:p w:rsidR="00000000" w:rsidP="00372D2B">
            <w:pPr>
              <w:pStyle w:val="ListBullet"/>
              <w:rPr>
                <w:lang w:val="en-NZ"/>
              </w:rPr>
            </w:pPr>
            <w:r w:rsidRPr="00372D2B">
              <w:t>regulatory procedures</w:t>
            </w:r>
          </w:p>
        </w:tc>
      </w:tr>
      <w:tr w:rsidTr="001D7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D2B">
            <w:pPr>
              <w:pStyle w:val="BodyText"/>
              <w:rPr>
                <w:lang w:val="en-NZ"/>
              </w:rPr>
            </w:pPr>
            <w:r w:rsidRPr="00372D2B">
              <w:rPr>
                <w:rStyle w:val="SpecialBold"/>
              </w:rPr>
              <w:t>Documentation and records may include:</w:t>
            </w:r>
          </w:p>
        </w:tc>
        <w:tc>
          <w:tcPr>
            <w:tcW w:w="0" w:type="auto"/>
            <w:tcBorders>
              <w:top w:val="nil"/>
              <w:left w:val="nil"/>
              <w:bottom w:val="nil"/>
              <w:right w:val="nil"/>
            </w:tcBorders>
            <w:tcMar>
              <w:top w:w="0" w:type="dxa"/>
              <w:left w:w="62" w:type="dxa"/>
              <w:bottom w:w="0" w:type="dxa"/>
              <w:right w:w="62" w:type="dxa"/>
            </w:tcMar>
          </w:tcPr>
          <w:p w:rsidR="00000000" w:rsidRPr="00372D2B" w:rsidP="00372D2B">
            <w:pPr>
              <w:pStyle w:val="ListBullet"/>
            </w:pPr>
            <w:r w:rsidRPr="00372D2B">
              <w:t>dangerous goods paperwork</w:t>
            </w:r>
          </w:p>
          <w:p w:rsidR="00000000" w:rsidRPr="00372D2B" w:rsidP="00372D2B">
            <w:pPr>
              <w:pStyle w:val="ListBullet"/>
            </w:pPr>
            <w:r w:rsidRPr="00372D2B">
              <w:t>emergency procedure guides or HB76 Handbook</w:t>
            </w:r>
          </w:p>
          <w:p w:rsidR="00000000" w:rsidRPr="00372D2B" w:rsidP="00372D2B">
            <w:pPr>
              <w:pStyle w:val="ListBullet"/>
            </w:pPr>
            <w:r w:rsidRPr="00372D2B">
              <w:t>dangerous goods licence</w:t>
            </w:r>
          </w:p>
          <w:p w:rsidR="00000000" w:rsidRPr="00372D2B" w:rsidP="00372D2B">
            <w:pPr>
              <w:pStyle w:val="ListBullet"/>
            </w:pPr>
            <w:r w:rsidRPr="00372D2B">
              <w:t>site inductions</w:t>
            </w:r>
          </w:p>
          <w:p w:rsidR="00000000" w:rsidRPr="00372D2B" w:rsidP="00372D2B">
            <w:pPr>
              <w:pStyle w:val="ListBullet"/>
            </w:pPr>
            <w:r w:rsidRPr="00372D2B">
              <w:t>state and territory heavy vehicle driving licence or permit requirements</w:t>
            </w:r>
          </w:p>
          <w:p w:rsidR="00000000" w:rsidRPr="00372D2B" w:rsidP="00372D2B">
            <w:pPr>
              <w:pStyle w:val="ListBullet"/>
            </w:pPr>
            <w:r w:rsidRPr="00372D2B">
              <w:t>state and territory road rules</w:t>
            </w:r>
          </w:p>
          <w:p w:rsidR="00000000" w:rsidRPr="00372D2B" w:rsidP="00372D2B">
            <w:pPr>
              <w:pStyle w:val="ListBullet"/>
            </w:pPr>
            <w:r w:rsidRPr="00372D2B">
              <w:t>workplace driving instructions and procedures</w:t>
            </w:r>
          </w:p>
          <w:p w:rsidR="00000000" w:rsidRPr="00372D2B" w:rsidP="00372D2B">
            <w:pPr>
              <w:pStyle w:val="ListBullet"/>
            </w:pPr>
            <w:r w:rsidRPr="00372D2B">
              <w:t>vehicle manufacturer’s instructions, specifications and recommended driving procedures, including pre-operational checks of vehicle</w:t>
            </w:r>
          </w:p>
          <w:p w:rsidR="00000000" w:rsidRPr="00372D2B" w:rsidP="00372D2B">
            <w:pPr>
              <w:pStyle w:val="ListBullet"/>
            </w:pPr>
            <w:r w:rsidRPr="00372D2B">
              <w:t>emergency procedures</w:t>
            </w:r>
          </w:p>
          <w:p w:rsidR="00000000" w:rsidRPr="00372D2B" w:rsidP="00372D2B">
            <w:pPr>
              <w:pStyle w:val="ListBullet"/>
            </w:pPr>
            <w:r w:rsidRPr="00372D2B">
              <w:t>TERP</w:t>
            </w:r>
          </w:p>
          <w:p w:rsidR="00000000" w:rsidP="00372D2B">
            <w:pPr>
              <w:pStyle w:val="ListBullet"/>
              <w:rPr>
                <w:lang w:val="en-NZ"/>
              </w:rPr>
            </w:pPr>
            <w:r w:rsidRPr="00372D2B">
              <w:t xml:space="preserve">vehicle work diaries </w:t>
            </w:r>
            <w:r w:rsidRPr="00372D2B">
              <w:t>or record books</w:t>
            </w:r>
          </w:p>
        </w:tc>
      </w:tr>
      <w:tr w:rsidTr="001D7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2D2B">
            <w:pPr>
              <w:pStyle w:val="BodyText"/>
              <w:rPr>
                <w:lang w:val="en-NZ"/>
              </w:rPr>
            </w:pPr>
            <w:r w:rsidRPr="00372D2B">
              <w:rPr>
                <w:rStyle w:val="SpecialBold"/>
              </w:rPr>
              <w:t>Applicable procedures and codes may include:</w:t>
            </w:r>
          </w:p>
        </w:tc>
        <w:tc>
          <w:tcPr>
            <w:tcW w:w="0" w:type="auto"/>
            <w:tcBorders>
              <w:top w:val="nil"/>
              <w:left w:val="nil"/>
              <w:bottom w:val="nil"/>
              <w:right w:val="nil"/>
            </w:tcBorders>
            <w:tcMar>
              <w:top w:w="0" w:type="dxa"/>
              <w:left w:w="62" w:type="dxa"/>
              <w:bottom w:w="0" w:type="dxa"/>
              <w:right w:w="62" w:type="dxa"/>
            </w:tcMar>
          </w:tcPr>
          <w:p w:rsidR="00000000" w:rsidRPr="00372D2B" w:rsidP="00372D2B">
            <w:pPr>
              <w:pStyle w:val="ListBullet"/>
            </w:pPr>
            <w:r w:rsidRPr="00372D2B">
              <w:t xml:space="preserve">Australian code for the transport of dangerous goods by road or rail: the current Australian Dangerous Goods (ADG) Code </w:t>
            </w:r>
          </w:p>
          <w:p w:rsidR="00000000" w:rsidRPr="00372D2B" w:rsidP="00372D2B">
            <w:pPr>
              <w:pStyle w:val="ListBullet"/>
            </w:pPr>
            <w:r w:rsidRPr="00372D2B">
              <w:t>relevant state and territory:</w:t>
            </w:r>
          </w:p>
          <w:p w:rsidR="00000000" w:rsidRPr="00372D2B" w:rsidP="00372D2B">
            <w:pPr>
              <w:pStyle w:val="ListBullet2"/>
            </w:pPr>
            <w:r w:rsidRPr="00372D2B">
              <w:t>roads and traffic authority driving regul</w:t>
            </w:r>
            <w:r w:rsidRPr="00372D2B">
              <w:t xml:space="preserve">ations and licence or permit requirements pertaining to operating heavy vehicles on unsealed roads </w:t>
            </w:r>
          </w:p>
          <w:p w:rsidR="00000000" w:rsidRPr="00372D2B" w:rsidP="00372D2B">
            <w:pPr>
              <w:pStyle w:val="ListBullet2"/>
            </w:pPr>
            <w:r w:rsidRPr="00372D2B">
              <w:t>road rules</w:t>
            </w:r>
          </w:p>
          <w:p w:rsidR="00000000" w:rsidRPr="00372D2B" w:rsidP="00372D2B">
            <w:pPr>
              <w:pStyle w:val="ListBullet2"/>
            </w:pPr>
            <w:r w:rsidRPr="00372D2B">
              <w:t>OH&amp;S legislation</w:t>
            </w:r>
          </w:p>
          <w:p w:rsidR="00000000" w:rsidRPr="00372D2B" w:rsidP="00372D2B">
            <w:pPr>
              <w:pStyle w:val="ListBullet2"/>
            </w:pPr>
            <w:r w:rsidRPr="00372D2B">
              <w:t>fatigue management regulations</w:t>
            </w:r>
          </w:p>
          <w:p w:rsidR="00000000" w:rsidRPr="00372D2B" w:rsidP="00372D2B">
            <w:pPr>
              <w:pStyle w:val="ListBullet"/>
            </w:pPr>
          </w:p>
        </w:tc>
      </w:tr>
    </w:tbl>
    <w:p w:rsidR="00000000" w:rsidRPr="00372D2B" w:rsidP="00372D2B">
      <w:pPr>
        <w:pStyle w:val="BodyText"/>
      </w:pPr>
    </w:p>
    <w:p w:rsidR="00000000" w:rsidRPr="00372D2B" w:rsidP="00372D2B">
      <w:pPr>
        <w:pStyle w:val="AllowPageBreak"/>
      </w:pPr>
    </w:p>
    <w:p w:rsidR="00000000" w:rsidRPr="00372D2B" w:rsidP="00372D2B">
      <w:pPr>
        <w:pStyle w:val="Heading1"/>
      </w:pPr>
      <w:bookmarkStart w:id="12" w:name="O_357276"/>
      <w:bookmarkEnd w:id="12"/>
      <w:r w:rsidRPr="00372D2B">
        <w:t>Unit Sector(s)</w:t>
      </w:r>
    </w:p>
    <w:p w:rsidR="00000000" w:rsidRPr="00372D2B" w:rsidP="00372D2B">
      <w:pPr>
        <w:pStyle w:val="BodyText"/>
      </w:pPr>
      <w:r w:rsidRPr="00372D2B">
        <w:t>Not applicable.</w:t>
      </w:r>
    </w:p>
    <w:p w:rsidR="00000000" w:rsidRPr="00372D2B" w:rsidP="00372D2B">
      <w:pPr>
        <w:pStyle w:val="AllowPageBreak"/>
      </w:pPr>
    </w:p>
    <w:p w:rsidR="00000000" w:rsidRPr="00372D2B" w:rsidP="00372D2B">
      <w:pPr>
        <w:pStyle w:val="Heading1"/>
      </w:pPr>
      <w:bookmarkStart w:id="13" w:name="O_357277"/>
      <w:bookmarkEnd w:id="13"/>
      <w:r w:rsidRPr="00372D2B">
        <w:t>Competency Field</w:t>
      </w:r>
    </w:p>
    <w:p w:rsidR="00000000" w:rsidRPr="00372D2B" w:rsidP="00372D2B">
      <w:pPr>
        <w:pStyle w:val="BodyText"/>
      </w:pPr>
      <w:r w:rsidRPr="00372D2B">
        <w:t>C –</w:t>
      </w:r>
      <w:r w:rsidRPr="00372D2B">
        <w:t xml:space="preserve"> Vehicle Operation</w:t>
      </w:r>
    </w:p>
    <w:p w:rsidR="00000000" w:rsidRPr="00372D2B" w:rsidP="00372D2B"/>
    <w:sectPr w:rsidSect="00372D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795A" w:rsidP="001D79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95A" w:rsidP="00372D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D795A" w:rsidP="00372D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D795A" w:rsidP="00372D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795A" w:rsidP="001D795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D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95A" w:rsidP="00372D2B">
    <w:pPr>
      <w:pStyle w:val="Header"/>
      <w:framePr w:wrap="around"/>
    </w:pPr>
    <w:r>
      <w:fldChar w:fldCharType="begin"/>
    </w:r>
    <w:r>
      <w:instrText xml:space="preserve"> TITLE   \* MERGEFORMAT </w:instrText>
    </w:r>
    <w:r>
      <w:fldChar w:fldCharType="separate"/>
    </w:r>
    <w:r>
      <w:t>TLIC4068A Operate heavy recovery ancillary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D795A" w:rsidP="00372D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44DA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DAA4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0C09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D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2D2B"/>
    <w:pPr>
      <w:spacing w:before="360" w:after="60"/>
      <w:outlineLvl w:val="0"/>
    </w:pPr>
    <w:rPr>
      <w:sz w:val="32"/>
    </w:rPr>
  </w:style>
  <w:style w:type="paragraph" w:styleId="Heading2">
    <w:name w:val="heading 2"/>
    <w:basedOn w:val="HeadingBase"/>
    <w:next w:val="BodyText"/>
    <w:link w:val="Heading2Char"/>
    <w:qFormat/>
    <w:rsid w:val="00372D2B"/>
    <w:pPr>
      <w:keepLines/>
      <w:spacing w:before="240" w:after="120"/>
      <w:outlineLvl w:val="1"/>
    </w:pPr>
    <w:rPr>
      <w:sz w:val="28"/>
      <w:szCs w:val="40"/>
    </w:rPr>
  </w:style>
  <w:style w:type="paragraph" w:styleId="Heading3">
    <w:name w:val="heading 3"/>
    <w:basedOn w:val="HeadingBase"/>
    <w:next w:val="BodyText"/>
    <w:link w:val="Heading3Char"/>
    <w:qFormat/>
    <w:rsid w:val="00372D2B"/>
    <w:pPr>
      <w:spacing w:before="180" w:after="120"/>
      <w:outlineLvl w:val="2"/>
    </w:pPr>
    <w:rPr>
      <w:spacing w:val="-10"/>
      <w:kern w:val="32"/>
    </w:rPr>
  </w:style>
  <w:style w:type="paragraph" w:styleId="Heading4">
    <w:name w:val="heading 4"/>
    <w:basedOn w:val="HeadingBase"/>
    <w:next w:val="BodyText"/>
    <w:link w:val="Heading4Char"/>
    <w:qFormat/>
    <w:rsid w:val="00372D2B"/>
    <w:pPr>
      <w:spacing w:before="160" w:after="120"/>
      <w:outlineLvl w:val="3"/>
    </w:pPr>
    <w:rPr>
      <w:sz w:val="22"/>
    </w:rPr>
  </w:style>
  <w:style w:type="paragraph" w:styleId="Heading5">
    <w:name w:val="heading 5"/>
    <w:basedOn w:val="HeadingBase"/>
    <w:next w:val="Normal"/>
    <w:link w:val="Heading5Char"/>
    <w:qFormat/>
    <w:rsid w:val="00372D2B"/>
    <w:pPr>
      <w:spacing w:before="80"/>
      <w:outlineLvl w:val="4"/>
    </w:pPr>
    <w:rPr>
      <w:color w:val="918585"/>
      <w:sz w:val="20"/>
    </w:rPr>
  </w:style>
  <w:style w:type="paragraph" w:styleId="Heading6">
    <w:name w:val="heading 6"/>
    <w:basedOn w:val="HeadingBase"/>
    <w:next w:val="Normal"/>
    <w:link w:val="Heading6Char"/>
    <w:qFormat/>
    <w:rsid w:val="00372D2B"/>
    <w:pPr>
      <w:spacing w:before="60"/>
      <w:outlineLvl w:val="5"/>
    </w:pPr>
    <w:rPr>
      <w:color w:val="918585"/>
      <w:sz w:val="20"/>
    </w:rPr>
  </w:style>
  <w:style w:type="paragraph" w:styleId="Heading7">
    <w:name w:val="heading 7"/>
    <w:basedOn w:val="Normal"/>
    <w:next w:val="Normal"/>
    <w:link w:val="Heading7Char"/>
    <w:qFormat/>
    <w:rsid w:val="00372D2B"/>
    <w:pPr>
      <w:ind w:left="720"/>
      <w:outlineLvl w:val="6"/>
    </w:pPr>
    <w:rPr>
      <w:i/>
    </w:rPr>
  </w:style>
  <w:style w:type="paragraph" w:styleId="Heading8">
    <w:name w:val="heading 8"/>
    <w:basedOn w:val="Normal"/>
    <w:next w:val="Normal"/>
    <w:link w:val="Heading8Char"/>
    <w:qFormat/>
    <w:rsid w:val="00372D2B"/>
    <w:pPr>
      <w:ind w:left="720"/>
      <w:outlineLvl w:val="7"/>
    </w:pPr>
    <w:rPr>
      <w:i/>
    </w:rPr>
  </w:style>
  <w:style w:type="paragraph" w:styleId="Heading9">
    <w:name w:val="heading 9"/>
    <w:basedOn w:val="Normal"/>
    <w:next w:val="Normal"/>
    <w:link w:val="Heading9Char"/>
    <w:qFormat/>
    <w:rsid w:val="00372D2B"/>
    <w:pPr>
      <w:ind w:left="720"/>
      <w:outlineLvl w:val="8"/>
    </w:pPr>
    <w:rPr>
      <w:i/>
    </w:rPr>
  </w:style>
  <w:style w:type="character" w:default="1" w:styleId="DefaultParagraphFont">
    <w:name w:val="Default Paragraph Font"/>
    <w:uiPriority w:val="1"/>
    <w:unhideWhenUsed/>
    <w:rsid w:val="00372D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2D2B"/>
  </w:style>
  <w:style w:type="character" w:customStyle="1" w:styleId="Heading1Char">
    <w:name w:val="Heading 1 Char"/>
    <w:link w:val="Heading1"/>
    <w:rsid w:val="00372D2B"/>
    <w:rPr>
      <w:rFonts w:ascii="Times New Roman" w:eastAsia="Times New Roman" w:hAnsi="Times New Roman" w:cs="Times New Roman"/>
      <w:b/>
      <w:sz w:val="32"/>
      <w:szCs w:val="20"/>
      <w:lang w:eastAsia="en-US"/>
    </w:rPr>
  </w:style>
  <w:style w:type="paragraph" w:styleId="BodyText">
    <w:name w:val="Body Text"/>
    <w:basedOn w:val="Normal"/>
    <w:link w:val="BodyTextChar"/>
    <w:rsid w:val="00372D2B"/>
    <w:pPr>
      <w:spacing w:before="120" w:after="120"/>
      <w:contextualSpacing/>
    </w:pPr>
    <w:rPr>
      <w:rFonts w:ascii="Times New Roman" w:hAnsi="Times New Roman"/>
      <w:sz w:val="24"/>
      <w:szCs w:val="22"/>
    </w:rPr>
  </w:style>
  <w:style w:type="character" w:customStyle="1" w:styleId="BodyTextChar">
    <w:name w:val="Body Text Char"/>
    <w:link w:val="BodyText"/>
    <w:rsid w:val="00372D2B"/>
    <w:rPr>
      <w:rFonts w:ascii="Times New Roman" w:eastAsia="Times New Roman" w:hAnsi="Times New Roman" w:cs="Times New Roman"/>
      <w:sz w:val="24"/>
      <w:lang w:val="en-US" w:eastAsia="en-US"/>
    </w:rPr>
  </w:style>
  <w:style w:type="paragraph" w:styleId="Footer">
    <w:name w:val="footer"/>
    <w:basedOn w:val="Normal"/>
    <w:link w:val="FooterChar"/>
    <w:rsid w:val="00372D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72D2B"/>
    <w:rPr>
      <w:rFonts w:ascii="Times New Roman" w:eastAsia="Times New Roman" w:hAnsi="Times New Roman" w:cs="Times New Roman"/>
      <w:sz w:val="16"/>
      <w:lang w:val="en-US" w:eastAsia="en-US"/>
    </w:rPr>
  </w:style>
  <w:style w:type="paragraph" w:styleId="ListBullet">
    <w:name w:val="List Bullet"/>
    <w:basedOn w:val="List"/>
    <w:rsid w:val="00372D2B"/>
    <w:pPr>
      <w:numPr>
        <w:numId w:val="13"/>
      </w:numPr>
      <w:tabs>
        <w:tab w:val="clear" w:pos="340"/>
      </w:tabs>
      <w:spacing w:before="40" w:after="40"/>
    </w:pPr>
  </w:style>
  <w:style w:type="character" w:customStyle="1" w:styleId="SpecialBold">
    <w:name w:val="Special Bold"/>
    <w:rsid w:val="00372D2B"/>
    <w:rPr>
      <w:b/>
      <w:spacing w:val="0"/>
    </w:rPr>
  </w:style>
  <w:style w:type="paragraph" w:styleId="ListBullet2">
    <w:name w:val="List Bullet 2"/>
    <w:basedOn w:val="List2"/>
    <w:rsid w:val="00372D2B"/>
    <w:pPr>
      <w:numPr>
        <w:numId w:val="14"/>
      </w:numPr>
      <w:tabs>
        <w:tab w:val="clear" w:pos="680"/>
      </w:tabs>
    </w:pPr>
  </w:style>
  <w:style w:type="paragraph" w:styleId="Header">
    <w:name w:val="header"/>
    <w:basedOn w:val="Normal"/>
    <w:link w:val="HeaderChar"/>
    <w:rsid w:val="00372D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72D2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72D2B"/>
    <w:pPr>
      <w:spacing w:before="240" w:after="120"/>
      <w:outlineLvl w:val="0"/>
    </w:pPr>
    <w:rPr>
      <w:rFonts w:ascii="Times New Roman" w:hAnsi="Times New Roman"/>
      <w:b/>
      <w:sz w:val="28"/>
    </w:rPr>
  </w:style>
  <w:style w:type="paragraph" w:customStyle="1" w:styleId="AllowPageBreak">
    <w:name w:val="AllowPageBreak"/>
    <w:rsid w:val="00372D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72D2B"/>
    <w:rPr>
      <w:rFonts w:ascii="Times New Roman" w:eastAsia="Times New Roman" w:hAnsi="Times New Roman" w:cs="Times New Roman"/>
      <w:b/>
      <w:sz w:val="28"/>
      <w:szCs w:val="40"/>
      <w:lang w:eastAsia="en-US"/>
    </w:rPr>
  </w:style>
  <w:style w:type="character" w:customStyle="1" w:styleId="Heading3Char">
    <w:name w:val="Heading 3 Char"/>
    <w:link w:val="Heading3"/>
    <w:rsid w:val="00372D2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72D2B"/>
    <w:rPr>
      <w:rFonts w:ascii="Times New Roman" w:eastAsia="Times New Roman" w:hAnsi="Times New Roman" w:cs="Times New Roman"/>
      <w:b/>
      <w:szCs w:val="20"/>
      <w:lang w:eastAsia="en-US"/>
    </w:rPr>
  </w:style>
  <w:style w:type="character" w:customStyle="1" w:styleId="Heading5Char">
    <w:name w:val="Heading 5 Char"/>
    <w:link w:val="Heading5"/>
    <w:rsid w:val="00372D2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72D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2D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2D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2D2B"/>
    <w:rPr>
      <w:rFonts w:ascii="Courier New" w:eastAsia="Times New Roman" w:hAnsi="Courier New" w:cs="Times New Roman"/>
      <w:i/>
      <w:szCs w:val="20"/>
      <w:lang w:val="en-US" w:eastAsia="en-US"/>
    </w:rPr>
  </w:style>
  <w:style w:type="paragraph" w:customStyle="1" w:styleId="HeadingBase">
    <w:name w:val="Heading Base"/>
    <w:rsid w:val="00372D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2D2B"/>
    <w:pPr>
      <w:tabs>
        <w:tab w:val="right" w:leader="dot" w:pos="9072"/>
      </w:tabs>
      <w:ind w:left="567"/>
    </w:pPr>
    <w:rPr>
      <w:szCs w:val="22"/>
    </w:rPr>
  </w:style>
  <w:style w:type="paragraph" w:customStyle="1" w:styleId="TOCBase">
    <w:name w:val="TOC Base"/>
    <w:rsid w:val="00372D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2D2B"/>
    <w:pPr>
      <w:tabs>
        <w:tab w:val="right" w:leader="dot" w:pos="9072"/>
      </w:tabs>
      <w:spacing w:before="40" w:after="40"/>
      <w:ind w:left="284"/>
    </w:pPr>
    <w:rPr>
      <w:rFonts w:ascii="Times New Roman" w:hAnsi="Times New Roman"/>
    </w:rPr>
  </w:style>
  <w:style w:type="paragraph" w:styleId="TOC1">
    <w:name w:val="toc 1"/>
    <w:basedOn w:val="TOCBase"/>
    <w:next w:val="Normal"/>
    <w:rsid w:val="00372D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2D2B"/>
    <w:pPr>
      <w:spacing w:before="5040"/>
      <w:jc w:val="center"/>
    </w:pPr>
    <w:rPr>
      <w:sz w:val="48"/>
      <w:szCs w:val="72"/>
      <w:lang w:val="en-US"/>
    </w:rPr>
  </w:style>
  <w:style w:type="character" w:customStyle="1" w:styleId="TitleChar">
    <w:name w:val="Title Char"/>
    <w:link w:val="Title"/>
    <w:rsid w:val="00372D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2D2B"/>
    <w:pPr>
      <w:tabs>
        <w:tab w:val="left" w:pos="3600"/>
        <w:tab w:val="left" w:pos="3958"/>
      </w:tabs>
    </w:pPr>
  </w:style>
  <w:style w:type="paragraph" w:styleId="List">
    <w:name w:val="List"/>
    <w:basedOn w:val="BodyText"/>
    <w:next w:val="BodyText"/>
    <w:rsid w:val="00372D2B"/>
    <w:pPr>
      <w:tabs>
        <w:tab w:val="left" w:pos="340"/>
      </w:tabs>
      <w:spacing w:before="60" w:after="60"/>
      <w:ind w:left="340" w:hanging="340"/>
    </w:pPr>
  </w:style>
  <w:style w:type="paragraph" w:customStyle="1" w:styleId="Note">
    <w:name w:val="Note"/>
    <w:basedOn w:val="BodyText"/>
    <w:rsid w:val="00372D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2D2B"/>
    <w:pPr>
      <w:framePr w:wrap="auto" w:hAnchor="text" w:y="6049"/>
    </w:pPr>
    <w:rPr>
      <w:color w:val="000000"/>
      <w:sz w:val="40"/>
    </w:rPr>
  </w:style>
  <w:style w:type="paragraph" w:customStyle="1" w:styleId="TOCTitle">
    <w:name w:val="TOCTitle"/>
    <w:basedOn w:val="Heading1"/>
    <w:rsid w:val="00372D2B"/>
    <w:pPr>
      <w:spacing w:after="240"/>
      <w:jc w:val="center"/>
      <w:outlineLvl w:val="9"/>
    </w:pPr>
    <w:rPr>
      <w:caps/>
    </w:rPr>
  </w:style>
  <w:style w:type="paragraph" w:customStyle="1" w:styleId="Version">
    <w:name w:val="Version"/>
    <w:rsid w:val="00372D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2D2B"/>
    <w:pPr>
      <w:keepNext w:val="0"/>
      <w:tabs>
        <w:tab w:val="right" w:pos="4176"/>
      </w:tabs>
      <w:ind w:left="198" w:hanging="198"/>
    </w:pPr>
    <w:rPr>
      <w:rFonts w:ascii="Garamond" w:hAnsi="Garamond"/>
    </w:rPr>
  </w:style>
  <w:style w:type="paragraph" w:styleId="IndexHeading">
    <w:name w:val="index heading"/>
    <w:basedOn w:val="Normal"/>
    <w:next w:val="Index1"/>
    <w:semiHidden/>
    <w:rsid w:val="00372D2B"/>
    <w:pPr>
      <w:spacing w:before="120" w:after="120"/>
    </w:pPr>
    <w:rPr>
      <w:rFonts w:ascii="Arial" w:hAnsi="Arial"/>
      <w:b/>
      <w:color w:val="918585"/>
      <w:sz w:val="24"/>
    </w:rPr>
  </w:style>
  <w:style w:type="paragraph" w:customStyle="1" w:styleId="Chapter">
    <w:name w:val="Chapter"/>
    <w:basedOn w:val="Normal"/>
    <w:rsid w:val="00372D2B"/>
    <w:pPr>
      <w:spacing w:before="240"/>
    </w:pPr>
    <w:rPr>
      <w:rFonts w:ascii="Times New Roman" w:hAnsi="Times New Roman"/>
      <w:smallCaps/>
      <w:spacing w:val="80"/>
      <w:sz w:val="28"/>
    </w:rPr>
  </w:style>
  <w:style w:type="paragraph" w:customStyle="1" w:styleId="InChapter">
    <w:name w:val="InChapter"/>
    <w:basedOn w:val="Heading3"/>
    <w:rsid w:val="00372D2B"/>
    <w:pPr>
      <w:spacing w:after="240"/>
      <w:outlineLvl w:val="9"/>
    </w:pPr>
    <w:rPr>
      <w:noProof/>
    </w:rPr>
  </w:style>
  <w:style w:type="paragraph" w:styleId="Index2">
    <w:name w:val="index 2"/>
    <w:basedOn w:val="Normal"/>
    <w:next w:val="Normal"/>
    <w:semiHidden/>
    <w:rsid w:val="00372D2B"/>
    <w:pPr>
      <w:tabs>
        <w:tab w:val="right" w:pos="4176"/>
      </w:tabs>
      <w:ind w:left="568" w:hanging="284"/>
    </w:pPr>
    <w:rPr>
      <w:rFonts w:ascii="Garamond" w:hAnsi="Garamond"/>
    </w:rPr>
  </w:style>
  <w:style w:type="paragraph" w:customStyle="1" w:styleId="Byline">
    <w:name w:val="Byline"/>
    <w:rsid w:val="00372D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2D2B"/>
    <w:pPr>
      <w:tabs>
        <w:tab w:val="clear" w:pos="3600"/>
        <w:tab w:val="clear" w:pos="3958"/>
      </w:tabs>
      <w:jc w:val="right"/>
    </w:pPr>
  </w:style>
  <w:style w:type="character" w:styleId="Emphasis">
    <w:name w:val="Emphasis"/>
    <w:qFormat/>
    <w:rsid w:val="00372D2B"/>
    <w:rPr>
      <w:i/>
    </w:rPr>
  </w:style>
  <w:style w:type="paragraph" w:styleId="Caption">
    <w:name w:val="caption"/>
    <w:basedOn w:val="BodyText"/>
    <w:next w:val="Normal"/>
    <w:qFormat/>
    <w:rsid w:val="00372D2B"/>
    <w:pPr>
      <w:framePr w:w="2268" w:hSpace="181" w:vSpace="181" w:wrap="around" w:vAnchor="text" w:hAnchor="page" w:x="1135" w:y="285" w:anchorLock="1"/>
    </w:pPr>
    <w:rPr>
      <w:i/>
    </w:rPr>
  </w:style>
  <w:style w:type="paragraph" w:customStyle="1" w:styleId="MiniTOCTitle">
    <w:name w:val="MiniTOCTitle"/>
    <w:basedOn w:val="Heading4"/>
    <w:rsid w:val="00372D2B"/>
    <w:pPr>
      <w:spacing w:before="240"/>
      <w:outlineLvl w:val="9"/>
    </w:pPr>
    <w:rPr>
      <w:noProof/>
      <w:sz w:val="24"/>
    </w:rPr>
  </w:style>
  <w:style w:type="paragraph" w:customStyle="1" w:styleId="MiniTOCItem">
    <w:name w:val="MiniTOCItem"/>
    <w:basedOn w:val="ListBullet"/>
    <w:rsid w:val="00372D2B"/>
    <w:pPr>
      <w:numPr>
        <w:numId w:val="0"/>
      </w:numPr>
      <w:tabs>
        <w:tab w:val="right" w:leader="dot" w:pos="6521"/>
      </w:tabs>
      <w:spacing w:before="0" w:after="0"/>
    </w:pPr>
  </w:style>
  <w:style w:type="paragraph" w:customStyle="1" w:styleId="TOFTitle">
    <w:name w:val="TOFTitle"/>
    <w:basedOn w:val="TOCTitle"/>
    <w:rsid w:val="00372D2B"/>
  </w:style>
  <w:style w:type="paragraph" w:styleId="TableofFigures">
    <w:name w:val="table of figures"/>
    <w:basedOn w:val="Normal"/>
    <w:next w:val="Normal"/>
    <w:semiHidden/>
    <w:rsid w:val="00372D2B"/>
    <w:pPr>
      <w:tabs>
        <w:tab w:val="right" w:leader="dot" w:pos="9072"/>
      </w:tabs>
      <w:ind w:left="970" w:hanging="403"/>
    </w:pPr>
    <w:rPr>
      <w:rFonts w:ascii="Times New Roman" w:hAnsi="Times New Roman"/>
      <w:b/>
    </w:rPr>
  </w:style>
  <w:style w:type="paragraph" w:styleId="ListNumber">
    <w:name w:val="List Number"/>
    <w:basedOn w:val="List"/>
    <w:rsid w:val="00372D2B"/>
    <w:pPr>
      <w:numPr>
        <w:numId w:val="11"/>
      </w:numPr>
    </w:pPr>
  </w:style>
  <w:style w:type="character" w:customStyle="1" w:styleId="WingdingSymbols">
    <w:name w:val="Wingding Symbols"/>
    <w:rsid w:val="00372D2B"/>
    <w:rPr>
      <w:rFonts w:ascii="Wingdings" w:hAnsi="Wingdings"/>
    </w:rPr>
  </w:style>
  <w:style w:type="paragraph" w:customStyle="1" w:styleId="TableHeading">
    <w:name w:val="Table Heading"/>
    <w:basedOn w:val="HeadingBase"/>
    <w:rsid w:val="00372D2B"/>
    <w:pPr>
      <w:keepLines/>
      <w:pBdr>
        <w:bottom w:val="single" w:sz="6" w:space="1" w:color="918585"/>
      </w:pBdr>
      <w:spacing w:before="240"/>
    </w:pPr>
  </w:style>
  <w:style w:type="character" w:customStyle="1" w:styleId="HotSpot">
    <w:name w:val="HotSpot"/>
    <w:rsid w:val="00372D2B"/>
    <w:rPr>
      <w:color w:val="0033CC"/>
      <w:u w:val="none"/>
    </w:rPr>
  </w:style>
  <w:style w:type="paragraph" w:customStyle="1" w:styleId="BodyTextRight">
    <w:name w:val="Body Text Right"/>
    <w:basedOn w:val="BodyText"/>
    <w:rsid w:val="00372D2B"/>
    <w:pPr>
      <w:spacing w:before="0" w:after="0"/>
      <w:jc w:val="right"/>
    </w:pPr>
  </w:style>
  <w:style w:type="paragraph" w:styleId="Index3">
    <w:name w:val="index 3"/>
    <w:basedOn w:val="ListNumber2"/>
    <w:next w:val="Normal"/>
    <w:semiHidden/>
    <w:rsid w:val="00372D2B"/>
    <w:pPr>
      <w:numPr>
        <w:numId w:val="0"/>
      </w:numPr>
      <w:tabs>
        <w:tab w:val="right" w:leader="dot" w:pos="4176"/>
      </w:tabs>
    </w:pPr>
  </w:style>
  <w:style w:type="paragraph" w:styleId="ListNumber2">
    <w:name w:val="List Number 2"/>
    <w:basedOn w:val="List2"/>
    <w:rsid w:val="00372D2B"/>
    <w:pPr>
      <w:numPr>
        <w:numId w:val="10"/>
      </w:numPr>
      <w:tabs>
        <w:tab w:val="clear" w:pos="1060"/>
      </w:tabs>
    </w:pPr>
  </w:style>
  <w:style w:type="paragraph" w:customStyle="1" w:styleId="MarginNote">
    <w:name w:val="Margin Note"/>
    <w:basedOn w:val="BodyText"/>
    <w:rsid w:val="00372D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2D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72D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2D2B"/>
    <w:rPr>
      <w:sz w:val="32"/>
    </w:rPr>
  </w:style>
  <w:style w:type="paragraph" w:customStyle="1" w:styleId="HeadingProcedure">
    <w:name w:val="Heading Procedure"/>
    <w:basedOn w:val="HeadingBase"/>
    <w:next w:val="Normal"/>
    <w:rsid w:val="00372D2B"/>
    <w:pPr>
      <w:tabs>
        <w:tab w:val="left" w:pos="0"/>
      </w:tabs>
      <w:spacing w:before="120" w:after="60"/>
    </w:pPr>
    <w:rPr>
      <w:i/>
      <w:color w:val="918585"/>
      <w:sz w:val="22"/>
    </w:rPr>
  </w:style>
  <w:style w:type="paragraph" w:customStyle="1" w:styleId="TableBodyText">
    <w:name w:val="Table Body Text"/>
    <w:basedOn w:val="BodyText"/>
    <w:rsid w:val="00372D2B"/>
    <w:pPr>
      <w:spacing w:before="60" w:after="60"/>
    </w:pPr>
  </w:style>
  <w:style w:type="paragraph" w:styleId="ListContinue">
    <w:name w:val="List Continue"/>
    <w:basedOn w:val="List"/>
    <w:rsid w:val="00372D2B"/>
    <w:pPr>
      <w:ind w:firstLine="0"/>
    </w:pPr>
  </w:style>
  <w:style w:type="paragraph" w:customStyle="1" w:styleId="ListNote">
    <w:name w:val="List Note"/>
    <w:basedOn w:val="List"/>
    <w:rsid w:val="00372D2B"/>
    <w:pPr>
      <w:pBdr>
        <w:top w:val="single" w:sz="6" w:space="2" w:color="918585"/>
        <w:bottom w:val="single" w:sz="6" w:space="2" w:color="918585"/>
      </w:pBdr>
      <w:tabs>
        <w:tab w:val="left" w:pos="1021"/>
      </w:tabs>
      <w:ind w:firstLine="0"/>
    </w:pPr>
  </w:style>
  <w:style w:type="paragraph" w:customStyle="1" w:styleId="Warning">
    <w:name w:val="Warning"/>
    <w:basedOn w:val="BodyText"/>
    <w:rsid w:val="00372D2B"/>
    <w:pPr>
      <w:shd w:val="clear" w:color="auto" w:fill="D9D9D9"/>
      <w:tabs>
        <w:tab w:val="left" w:pos="992"/>
      </w:tabs>
      <w:ind w:left="119" w:right="119"/>
    </w:pPr>
    <w:rPr>
      <w:sz w:val="20"/>
    </w:rPr>
  </w:style>
  <w:style w:type="paragraph" w:customStyle="1" w:styleId="MarginIcons">
    <w:name w:val="Margin Icons"/>
    <w:basedOn w:val="BodyText"/>
    <w:rsid w:val="00372D2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72D2B"/>
    <w:rPr>
      <w:rFonts w:ascii="Courier New" w:hAnsi="Courier New"/>
    </w:rPr>
  </w:style>
  <w:style w:type="paragraph" w:customStyle="1" w:styleId="NoteBullet">
    <w:name w:val="Note Bullet"/>
    <w:basedOn w:val="Note"/>
    <w:rsid w:val="00372D2B"/>
    <w:pPr>
      <w:tabs>
        <w:tab w:val="clear" w:pos="680"/>
      </w:tabs>
      <w:spacing w:before="60" w:after="60"/>
    </w:pPr>
  </w:style>
  <w:style w:type="paragraph" w:customStyle="1" w:styleId="SubHeading2">
    <w:name w:val="SubHeading2"/>
    <w:basedOn w:val="HeadingBase"/>
    <w:rsid w:val="00372D2B"/>
    <w:pPr>
      <w:spacing w:before="240" w:after="60"/>
    </w:pPr>
    <w:rPr>
      <w:sz w:val="20"/>
    </w:rPr>
  </w:style>
  <w:style w:type="paragraph" w:customStyle="1" w:styleId="SubHeading1">
    <w:name w:val="SubHeading1"/>
    <w:basedOn w:val="HeadingBase"/>
    <w:rsid w:val="00372D2B"/>
    <w:pPr>
      <w:spacing w:before="240" w:after="60"/>
    </w:pPr>
    <w:rPr>
      <w:color w:val="918585"/>
      <w:sz w:val="22"/>
    </w:rPr>
  </w:style>
  <w:style w:type="paragraph" w:customStyle="1" w:styleId="SideHeading">
    <w:name w:val="Side Heading"/>
    <w:basedOn w:val="HeadingBase"/>
    <w:rsid w:val="00372D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2D2B"/>
    <w:pPr>
      <w:numPr>
        <w:numId w:val="12"/>
      </w:numPr>
    </w:pPr>
  </w:style>
  <w:style w:type="paragraph" w:styleId="PlainText">
    <w:name w:val="Plain Text"/>
    <w:basedOn w:val="Normal"/>
    <w:link w:val="PlainTextChar"/>
    <w:rsid w:val="00372D2B"/>
    <w:rPr>
      <w:sz w:val="20"/>
    </w:rPr>
  </w:style>
  <w:style w:type="character" w:customStyle="1" w:styleId="PlainTextChar">
    <w:name w:val="Plain Text Char"/>
    <w:basedOn w:val="DefaultParagraphFont"/>
    <w:link w:val="PlainText"/>
    <w:rsid w:val="00372D2B"/>
    <w:rPr>
      <w:rFonts w:ascii="Courier New" w:eastAsia="Times New Roman" w:hAnsi="Courier New" w:cs="Times New Roman"/>
      <w:sz w:val="20"/>
      <w:szCs w:val="20"/>
      <w:lang w:val="en-US" w:eastAsia="en-US"/>
    </w:rPr>
  </w:style>
  <w:style w:type="character" w:customStyle="1" w:styleId="MenuOption">
    <w:name w:val="Menu Option"/>
    <w:rsid w:val="00372D2B"/>
    <w:rPr>
      <w:b/>
      <w:smallCaps/>
    </w:rPr>
  </w:style>
  <w:style w:type="paragraph" w:customStyle="1" w:styleId="TableListNumber">
    <w:name w:val="Table List Number"/>
    <w:basedOn w:val="ListNumber"/>
    <w:rsid w:val="00372D2B"/>
    <w:pPr>
      <w:numPr>
        <w:numId w:val="0"/>
      </w:numPr>
    </w:pPr>
  </w:style>
  <w:style w:type="paragraph" w:styleId="TOC4">
    <w:name w:val="toc 4"/>
    <w:basedOn w:val="TOCBase"/>
    <w:next w:val="Normal"/>
    <w:semiHidden/>
    <w:rsid w:val="00372D2B"/>
    <w:pPr>
      <w:tabs>
        <w:tab w:val="right" w:leader="dot" w:pos="9071"/>
      </w:tabs>
      <w:ind w:left="1701"/>
    </w:pPr>
  </w:style>
  <w:style w:type="paragraph" w:customStyle="1" w:styleId="ListAlpha">
    <w:name w:val="List Alpha"/>
    <w:basedOn w:val="List"/>
    <w:rsid w:val="00372D2B"/>
    <w:pPr>
      <w:numPr>
        <w:numId w:val="9"/>
      </w:numPr>
    </w:pPr>
  </w:style>
  <w:style w:type="paragraph" w:customStyle="1" w:styleId="ListAlpha2">
    <w:name w:val="List Alpha 2"/>
    <w:basedOn w:val="List2"/>
    <w:rsid w:val="00372D2B"/>
    <w:pPr>
      <w:numPr>
        <w:numId w:val="8"/>
      </w:numPr>
    </w:pPr>
  </w:style>
  <w:style w:type="paragraph" w:styleId="List2">
    <w:name w:val="List 2"/>
    <w:basedOn w:val="BodyText"/>
    <w:rsid w:val="00372D2B"/>
    <w:pPr>
      <w:tabs>
        <w:tab w:val="left" w:pos="680"/>
      </w:tabs>
      <w:spacing w:before="60" w:after="60"/>
      <w:ind w:left="680" w:hanging="340"/>
    </w:pPr>
  </w:style>
  <w:style w:type="paragraph" w:styleId="List3">
    <w:name w:val="List 3"/>
    <w:basedOn w:val="BodyText"/>
    <w:rsid w:val="00372D2B"/>
    <w:pPr>
      <w:tabs>
        <w:tab w:val="left" w:pos="1021"/>
      </w:tabs>
      <w:spacing w:before="60" w:after="60"/>
      <w:ind w:left="1020" w:hanging="340"/>
    </w:pPr>
  </w:style>
  <w:style w:type="paragraph" w:styleId="List4">
    <w:name w:val="List 4"/>
    <w:basedOn w:val="BodyText"/>
    <w:rsid w:val="00372D2B"/>
    <w:pPr>
      <w:tabs>
        <w:tab w:val="left" w:pos="1361"/>
      </w:tabs>
      <w:spacing w:before="60" w:after="60"/>
      <w:ind w:left="1361" w:hanging="340"/>
    </w:pPr>
  </w:style>
  <w:style w:type="paragraph" w:styleId="List5">
    <w:name w:val="List 5"/>
    <w:basedOn w:val="BodyText"/>
    <w:rsid w:val="00372D2B"/>
    <w:pPr>
      <w:tabs>
        <w:tab w:val="left" w:pos="1701"/>
      </w:tabs>
      <w:spacing w:before="60" w:after="60"/>
      <w:ind w:left="1701" w:hanging="340"/>
    </w:pPr>
  </w:style>
  <w:style w:type="paragraph" w:styleId="ListBullet3">
    <w:name w:val="List Bullet 3"/>
    <w:basedOn w:val="List3"/>
    <w:rsid w:val="00372D2B"/>
    <w:pPr>
      <w:numPr>
        <w:numId w:val="15"/>
      </w:numPr>
      <w:tabs>
        <w:tab w:val="clear" w:pos="1021"/>
      </w:tabs>
      <w:ind w:left="1037" w:hanging="357"/>
    </w:pPr>
  </w:style>
  <w:style w:type="paragraph" w:styleId="ListBullet4">
    <w:name w:val="List Bullet 4"/>
    <w:basedOn w:val="List4"/>
    <w:rsid w:val="00372D2B"/>
    <w:pPr>
      <w:numPr>
        <w:numId w:val="3"/>
      </w:numPr>
    </w:pPr>
  </w:style>
  <w:style w:type="paragraph" w:styleId="ListBullet5">
    <w:name w:val="List Bullet 5"/>
    <w:basedOn w:val="List5"/>
    <w:rsid w:val="00372D2B"/>
    <w:pPr>
      <w:numPr>
        <w:numId w:val="4"/>
      </w:numPr>
    </w:pPr>
  </w:style>
  <w:style w:type="paragraph" w:styleId="ListContinue2">
    <w:name w:val="List Continue 2"/>
    <w:basedOn w:val="List2"/>
    <w:rsid w:val="00372D2B"/>
    <w:pPr>
      <w:ind w:firstLine="0"/>
    </w:pPr>
  </w:style>
  <w:style w:type="paragraph" w:styleId="ListContinue3">
    <w:name w:val="List Continue 3"/>
    <w:basedOn w:val="List3"/>
    <w:rsid w:val="00372D2B"/>
    <w:pPr>
      <w:ind w:left="1021" w:firstLine="0"/>
    </w:pPr>
  </w:style>
  <w:style w:type="paragraph" w:styleId="ListContinue4">
    <w:name w:val="List Continue 4"/>
    <w:basedOn w:val="List4"/>
    <w:rsid w:val="00372D2B"/>
    <w:pPr>
      <w:ind w:firstLine="0"/>
    </w:pPr>
  </w:style>
  <w:style w:type="paragraph" w:styleId="ListContinue5">
    <w:name w:val="List Continue 5"/>
    <w:basedOn w:val="List5"/>
    <w:rsid w:val="00372D2B"/>
    <w:pPr>
      <w:ind w:firstLine="0"/>
    </w:pPr>
  </w:style>
  <w:style w:type="paragraph" w:styleId="ListNumber3">
    <w:name w:val="List Number 3"/>
    <w:basedOn w:val="List3"/>
    <w:rsid w:val="00372D2B"/>
    <w:pPr>
      <w:numPr>
        <w:numId w:val="5"/>
      </w:numPr>
    </w:pPr>
  </w:style>
  <w:style w:type="paragraph" w:styleId="ListNumber4">
    <w:name w:val="List Number 4"/>
    <w:basedOn w:val="List4"/>
    <w:rsid w:val="00372D2B"/>
    <w:pPr>
      <w:numPr>
        <w:numId w:val="6"/>
      </w:numPr>
    </w:pPr>
  </w:style>
  <w:style w:type="paragraph" w:styleId="ListNumber5">
    <w:name w:val="List Number 5"/>
    <w:basedOn w:val="List5"/>
    <w:rsid w:val="00372D2B"/>
    <w:pPr>
      <w:numPr>
        <w:numId w:val="7"/>
      </w:numPr>
    </w:pPr>
  </w:style>
  <w:style w:type="paragraph" w:styleId="BlockText">
    <w:name w:val="Block Text"/>
    <w:basedOn w:val="Normal"/>
    <w:rsid w:val="00372D2B"/>
    <w:pPr>
      <w:spacing w:after="120"/>
      <w:ind w:left="1440" w:right="1440"/>
    </w:pPr>
  </w:style>
  <w:style w:type="character" w:customStyle="1" w:styleId="Subscript">
    <w:name w:val="Subscript"/>
    <w:rsid w:val="00372D2B"/>
    <w:rPr>
      <w:sz w:val="16"/>
      <w:vertAlign w:val="subscript"/>
    </w:rPr>
  </w:style>
  <w:style w:type="character" w:customStyle="1" w:styleId="Superscript">
    <w:name w:val="Superscript"/>
    <w:rsid w:val="00372D2B"/>
    <w:rPr>
      <w:sz w:val="16"/>
      <w:vertAlign w:val="superscript"/>
    </w:rPr>
  </w:style>
  <w:style w:type="character" w:customStyle="1" w:styleId="Symbols">
    <w:name w:val="Symbols"/>
    <w:rsid w:val="00372D2B"/>
    <w:rPr>
      <w:rFonts w:ascii="Symbol" w:hAnsi="Symbol"/>
    </w:rPr>
  </w:style>
  <w:style w:type="character" w:customStyle="1" w:styleId="MenuOptions">
    <w:name w:val="Menu Options"/>
    <w:rsid w:val="00372D2B"/>
    <w:rPr>
      <w:rFonts w:ascii="Arial Narrow" w:hAnsi="Arial Narrow"/>
      <w:smallCaps/>
    </w:rPr>
  </w:style>
  <w:style w:type="character" w:customStyle="1" w:styleId="Buttons">
    <w:name w:val="Buttons"/>
    <w:rsid w:val="00372D2B"/>
    <w:rPr>
      <w:b/>
    </w:rPr>
  </w:style>
  <w:style w:type="character" w:customStyle="1" w:styleId="Underlined">
    <w:name w:val="Underlined"/>
    <w:rsid w:val="00372D2B"/>
    <w:rPr>
      <w:u w:val="single"/>
    </w:rPr>
  </w:style>
  <w:style w:type="paragraph" w:customStyle="1" w:styleId="TableBodyTextRight">
    <w:name w:val="Table Body Text Right"/>
    <w:basedOn w:val="TableBodyText"/>
    <w:rsid w:val="00372D2B"/>
    <w:pPr>
      <w:widowControl w:val="0"/>
      <w:autoSpaceDE w:val="0"/>
      <w:autoSpaceDN w:val="0"/>
      <w:adjustRightInd w:val="0"/>
      <w:jc w:val="right"/>
    </w:pPr>
    <w:rPr>
      <w:rFonts w:cs="Arial"/>
      <w:szCs w:val="18"/>
    </w:rPr>
  </w:style>
  <w:style w:type="paragraph" w:customStyle="1" w:styleId="CopyrightText">
    <w:name w:val="Copyright Text"/>
    <w:basedOn w:val="BodyText"/>
    <w:rsid w:val="00372D2B"/>
    <w:rPr>
      <w:sz w:val="18"/>
    </w:rPr>
  </w:style>
  <w:style w:type="paragraph" w:customStyle="1" w:styleId="BodySmallRight">
    <w:name w:val="Body Small Right"/>
    <w:basedOn w:val="BodyTextRight"/>
    <w:rsid w:val="00372D2B"/>
    <w:rPr>
      <w:sz w:val="18"/>
      <w:szCs w:val="18"/>
    </w:rPr>
  </w:style>
  <w:style w:type="paragraph" w:customStyle="1" w:styleId="MarginEdition">
    <w:name w:val="Margin Edition"/>
    <w:basedOn w:val="MarginNote"/>
    <w:rsid w:val="00372D2B"/>
    <w:pPr>
      <w:spacing w:before="0" w:after="0"/>
    </w:pPr>
    <w:rPr>
      <w:rFonts w:ascii="Times New Roman" w:hAnsi="Times New Roman"/>
      <w:color w:val="999999"/>
    </w:rPr>
  </w:style>
  <w:style w:type="paragraph" w:customStyle="1" w:styleId="Spacer">
    <w:name w:val="Spacer"/>
    <w:basedOn w:val="Normal"/>
    <w:rsid w:val="00372D2B"/>
    <w:rPr>
      <w:sz w:val="2"/>
      <w:szCs w:val="2"/>
    </w:rPr>
  </w:style>
  <w:style w:type="character" w:customStyle="1" w:styleId="Small">
    <w:name w:val="Small"/>
    <w:rsid w:val="00372D2B"/>
    <w:rPr>
      <w:sz w:val="16"/>
    </w:rPr>
  </w:style>
  <w:style w:type="paragraph" w:customStyle="1" w:styleId="WideTable">
    <w:name w:val="Wide Table"/>
    <w:basedOn w:val="Normal"/>
    <w:rsid w:val="00372D2B"/>
    <w:pPr>
      <w:ind w:left="-1418"/>
    </w:pPr>
    <w:rPr>
      <w:sz w:val="2"/>
      <w:szCs w:val="2"/>
    </w:rPr>
  </w:style>
  <w:style w:type="character" w:styleId="PageNumber">
    <w:name w:val="page number"/>
    <w:rsid w:val="00372D2B"/>
  </w:style>
  <w:style w:type="paragraph" w:styleId="Quote">
    <w:name w:val="Quote"/>
    <w:basedOn w:val="Heading1"/>
    <w:link w:val="QuoteChar"/>
    <w:qFormat/>
    <w:rsid w:val="00372D2B"/>
    <w:rPr>
      <w:b w:val="0"/>
      <w:sz w:val="72"/>
      <w:szCs w:val="72"/>
      <w:lang w:val="en-NZ"/>
    </w:rPr>
  </w:style>
  <w:style w:type="character" w:customStyle="1" w:styleId="QuoteChar">
    <w:name w:val="Quote Char"/>
    <w:link w:val="Quote"/>
    <w:rsid w:val="00372D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2D2B"/>
    <w:pPr>
      <w:pageBreakBefore/>
    </w:pPr>
  </w:style>
  <w:style w:type="paragraph" w:customStyle="1" w:styleId="Border">
    <w:name w:val="Border"/>
    <w:basedOn w:val="Normal"/>
    <w:qFormat/>
    <w:rsid w:val="00372D2B"/>
    <w:pPr>
      <w:pBdr>
        <w:top w:val="single" w:sz="18" w:space="1" w:color="auto"/>
      </w:pBdr>
    </w:pPr>
    <w:rPr>
      <w:rFonts w:ascii="Times New Roman" w:hAnsi="Times New Roman"/>
      <w:color w:val="FFFFFF"/>
      <w:sz w:val="2"/>
    </w:rPr>
  </w:style>
  <w:style w:type="character" w:styleId="IntenseEmphasis">
    <w:name w:val="Intense Emphasis"/>
    <w:uiPriority w:val="21"/>
    <w:qFormat/>
    <w:rsid w:val="00372D2B"/>
    <w:rPr>
      <w:b/>
      <w:bCs/>
      <w:i/>
      <w:iCs/>
      <w:color w:val="auto"/>
    </w:rPr>
  </w:style>
  <w:style w:type="paragraph" w:styleId="IntenseQuote">
    <w:name w:val="Intense Quote"/>
    <w:basedOn w:val="Normal"/>
    <w:next w:val="Normal"/>
    <w:link w:val="IntenseQuoteChar"/>
    <w:uiPriority w:val="30"/>
    <w:qFormat/>
    <w:rsid w:val="00372D2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72D2B"/>
    <w:rPr>
      <w:rFonts w:ascii="Courier New" w:eastAsia="Times New Roman" w:hAnsi="Courier New" w:cs="Times New Roman"/>
      <w:b/>
      <w:bCs/>
      <w:i/>
      <w:iCs/>
      <w:szCs w:val="20"/>
      <w:lang w:val="en-US" w:eastAsia="en-US"/>
    </w:rPr>
  </w:style>
  <w:style w:type="character" w:styleId="SubtleReference">
    <w:name w:val="Subtle Reference"/>
    <w:uiPriority w:val="31"/>
    <w:qFormat/>
    <w:rsid w:val="00372D2B"/>
    <w:rPr>
      <w:smallCaps/>
      <w:color w:val="auto"/>
      <w:u w:val="single"/>
    </w:rPr>
  </w:style>
  <w:style w:type="character" w:styleId="IntenseReference">
    <w:name w:val="Intense Reference"/>
    <w:uiPriority w:val="32"/>
    <w:qFormat/>
    <w:rsid w:val="00372D2B"/>
    <w:rPr>
      <w:b/>
      <w:bCs/>
      <w:smallCaps/>
      <w:color w:val="auto"/>
      <w:spacing w:val="5"/>
      <w:u w:val="single"/>
    </w:rPr>
  </w:style>
  <w:style w:type="paragraph" w:customStyle="1" w:styleId="2ColumnHeading">
    <w:name w:val="2Column Heading"/>
    <w:basedOn w:val="BodyText"/>
    <w:qFormat/>
    <w:rsid w:val="00372D2B"/>
    <w:pPr>
      <w:spacing w:after="60"/>
      <w:ind w:left="-2268"/>
    </w:pPr>
    <w:rPr>
      <w:b/>
    </w:rPr>
  </w:style>
  <w:style w:type="paragraph" w:customStyle="1" w:styleId="Heading1TOC">
    <w:name w:val="Heading1 TOC"/>
    <w:basedOn w:val="Normal"/>
    <w:qFormat/>
    <w:rsid w:val="00372D2B"/>
    <w:pPr>
      <w:spacing w:before="240" w:after="120"/>
    </w:pPr>
    <w:rPr>
      <w:rFonts w:ascii="Times New Roman" w:hAnsi="Times New Roman"/>
      <w:b/>
      <w:sz w:val="32"/>
    </w:rPr>
  </w:style>
  <w:style w:type="paragraph" w:customStyle="1" w:styleId="Heading2TOC">
    <w:name w:val="Heading2 TOC"/>
    <w:basedOn w:val="Normal"/>
    <w:qFormat/>
    <w:rsid w:val="00372D2B"/>
    <w:pPr>
      <w:spacing w:before="240" w:after="60"/>
    </w:pPr>
    <w:rPr>
      <w:rFonts w:ascii="Times New Roman" w:hAnsi="Times New Roman"/>
      <w:b/>
      <w:sz w:val="28"/>
    </w:rPr>
  </w:style>
  <w:style w:type="character" w:customStyle="1" w:styleId="Underline">
    <w:name w:val="Underline"/>
    <w:qFormat/>
    <w:rsid w:val="00372D2B"/>
    <w:rPr>
      <w:u w:val="single"/>
    </w:rPr>
  </w:style>
  <w:style w:type="character" w:customStyle="1" w:styleId="BoldandItalics">
    <w:name w:val="Bold and Italics"/>
    <w:qFormat/>
    <w:rsid w:val="00372D2B"/>
    <w:rPr>
      <w:b/>
      <w:i/>
      <w:u w:val="none"/>
    </w:rPr>
  </w:style>
  <w:style w:type="paragraph" w:styleId="BalloonText">
    <w:name w:val="Balloon Text"/>
    <w:basedOn w:val="Normal"/>
    <w:link w:val="BalloonTextChar"/>
    <w:rsid w:val="00372D2B"/>
    <w:rPr>
      <w:rFonts w:ascii="Tahoma" w:hAnsi="Tahoma" w:cs="Tahoma"/>
      <w:sz w:val="16"/>
      <w:szCs w:val="16"/>
    </w:rPr>
  </w:style>
  <w:style w:type="character" w:customStyle="1" w:styleId="BalloonTextChar">
    <w:name w:val="Balloon Text Char"/>
    <w:link w:val="BalloonText"/>
    <w:rsid w:val="00372D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2D2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72D2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D7E4F37F.dotm</Template>
  <TotalTime>0</TotalTime>
  <Pages>5</Pages>
  <Words>1177</Words>
  <Characters>7633</Characters>
  <Application>Microsoft Office Word</Application>
  <DocSecurity>0</DocSecurity>
  <Lines>251</Lines>
  <Paragraphs>147</Paragraphs>
  <ScaleCrop>false</ScaleCrop>
  <Company>Author-it Software Corporation Ltd.</Company>
  <LinksUpToDate>false</LinksUpToDate>
  <CharactersWithSpaces>8768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TLIC4068A Operate heavy recovery ancillary equipment</dc:title>
  <dc:subject>Approved</dc:subject>
  <dc:creator>Transport &amp; Logistics Industry Skills Council</dc:creator>
  <cp:keywords>Release: 1</cp:keywords>
  <dc:description>Copyright © 1996-2007 Author-it Software Corporation Ltd., all rights reserved.</dc:description>
  <cp:lastModifiedBy>Narendra Tomar</cp:lastModifiedBy>
  <cp:revision>3</cp:revision>
  <dcterms:created xsi:type="dcterms:W3CDTF">2012-05-27T03:38:00Z</dcterms:created>
  <dcterms:modified xsi:type="dcterms:W3CDTF">2012-05-27T03:38:00Z</dcterms:modified>
</cp:coreProperties>
</file>