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060" w:rsidP="001B1060">
      <w:pPr>
        <w:pStyle w:val="Title"/>
      </w:pPr>
      <w:r>
        <w:fldChar w:fldCharType="begin"/>
      </w:r>
      <w:r>
        <w:instrText xml:space="preserve"> TITLE   \* MERGEFORMAT </w:instrText>
      </w:r>
      <w:r>
        <w:fldChar w:fldCharType="separate"/>
      </w:r>
      <w:r>
        <w:t>TLIC3048A Shunt, couple and uncouple electric passenger trains</w:t>
      </w:r>
      <w:r>
        <w:fldChar w:fldCharType="end"/>
      </w:r>
    </w:p>
    <w:p w:rsidR="001B1060" w:rsidP="001B1060">
      <w:pPr>
        <w:pStyle w:val="Version"/>
        <w:sectPr w:rsidSect="004B0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BFF" w:rsidP="004B0BFF">
      <w:pPr>
        <w:pStyle w:val="SuperHeading"/>
      </w:pPr>
      <w:r w:rsidRPr="004B0BFF">
        <w:t>TLIC3048A Shunt, couple and uncouple electric passenger trains</w:t>
      </w:r>
    </w:p>
    <w:p w:rsidR="00000000" w:rsidRPr="004B0BFF" w:rsidP="004B0BFF">
      <w:pPr>
        <w:pStyle w:val="Heading1"/>
      </w:pPr>
      <w:bookmarkStart w:id="1" w:name="O_274032"/>
      <w:bookmarkEnd w:id="1"/>
      <w:r w:rsidRPr="004B0BFF">
        <w:t>Modification History</w:t>
      </w:r>
    </w:p>
    <w:p w:rsidR="00000000" w:rsidRPr="004B0BFF" w:rsidP="004B0BFF">
      <w:pPr>
        <w:pStyle w:val="BodyText"/>
      </w:pPr>
      <w:r w:rsidRPr="004B0BFF">
        <w:t>Not Applicable</w:t>
      </w:r>
    </w:p>
    <w:p w:rsidR="00000000" w:rsidRPr="004B0BFF" w:rsidP="004B0BFF">
      <w:pPr>
        <w:pStyle w:val="AllowPageBreak"/>
      </w:pPr>
    </w:p>
    <w:p w:rsidR="00000000" w:rsidRPr="004B0BFF" w:rsidP="004B0BFF">
      <w:pPr>
        <w:pStyle w:val="Heading1"/>
      </w:pPr>
      <w:bookmarkStart w:id="2" w:name="O_223202"/>
      <w:bookmarkEnd w:id="2"/>
      <w:r w:rsidRPr="004B0BFF">
        <w:t>Unit Descriptor</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BodyText"/>
            </w:pPr>
            <w:r w:rsidRPr="004B0BFF">
              <w:t>Th</w:t>
            </w:r>
            <w:r w:rsidRPr="004B0BFF">
              <w:t>is unit involves the skills and knowledge required to shunt, couple and uncouple an electric passenger train to operational requirements in accordance with safeworking and regulatory requirements and workplace procedures. This includes planning and prepari</w:t>
            </w:r>
            <w:r w:rsidRPr="004B0BFF">
              <w:t>ng for shunting operations, shunting the train, coupling and uncoupling the train, and using a coupling adaptor. Licensing or certification requirements are not applicable to this unit.</w:t>
            </w:r>
          </w:p>
        </w:tc>
      </w:tr>
    </w:tbl>
    <w:p w:rsidR="001B1060" w:rsidP="004B0BFF">
      <w:pPr>
        <w:pStyle w:val="BodyText"/>
      </w:pPr>
    </w:p>
    <w:p w:rsidR="001B1060" w:rsidP="004B0BFF">
      <w:pPr>
        <w:pStyle w:val="BodyText"/>
      </w:pPr>
    </w:p>
    <w:p w:rsidR="00000000" w:rsidRPr="004B0BFF" w:rsidP="004B0BFF">
      <w:pPr>
        <w:pStyle w:val="Heading1"/>
      </w:pPr>
      <w:bookmarkStart w:id="3" w:name="O_223204"/>
      <w:bookmarkEnd w:id="3"/>
      <w:r w:rsidRPr="004B0BFF">
        <w:t>Application of the Unit</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BodyText"/>
            </w:pPr>
            <w:r w:rsidRPr="004B0BFF">
              <w:t>Persons achieving competence in this unit will need to fulfil the applicable legislated rail safety requirements including state and territory acts and regulations together with any nationally approved compliance codes and/or guidelines.</w:t>
            </w:r>
          </w:p>
          <w:p w:rsidR="00000000" w:rsidRPr="004B0BFF" w:rsidP="004B0BFF">
            <w:pPr>
              <w:pStyle w:val="BodyText"/>
            </w:pPr>
            <w:r w:rsidRPr="004B0BFF">
              <w:t xml:space="preserve">Work is generally </w:t>
            </w:r>
            <w:r w:rsidRPr="004B0BFF">
              <w:t>performed without supervision and within a team environment. It involves the application of routine operational principles and procedures to shunting, coupling and uncoupling electric passenger trains to operational requirements as part of workplace activi</w:t>
            </w:r>
            <w:r w:rsidRPr="004B0BFF">
              <w:t>ties across a variety of operational contexts within the Australian rail system.</w:t>
            </w:r>
          </w:p>
        </w:tc>
      </w:tr>
    </w:tbl>
    <w:p w:rsidR="001B1060" w:rsidP="004B0BFF">
      <w:pPr>
        <w:pStyle w:val="BodyText"/>
      </w:pPr>
    </w:p>
    <w:p w:rsidR="001B1060" w:rsidP="004B0BFF">
      <w:pPr>
        <w:pStyle w:val="BodyText"/>
      </w:pPr>
    </w:p>
    <w:p w:rsidR="00000000" w:rsidRPr="004B0BFF" w:rsidP="004B0BFF">
      <w:pPr>
        <w:pStyle w:val="Heading1"/>
      </w:pPr>
      <w:bookmarkStart w:id="4" w:name="O_282292"/>
      <w:bookmarkEnd w:id="4"/>
      <w:r w:rsidRPr="004B0BFF">
        <w:t>Licensing/Regulatory Information</w:t>
      </w:r>
    </w:p>
    <w:p w:rsidR="00000000" w:rsidRPr="004B0BFF" w:rsidP="004B0BFF">
      <w:pPr>
        <w:pStyle w:val="BodyText"/>
      </w:pPr>
      <w:r w:rsidRPr="004B0BFF">
        <w:t>Refer to Unit Descriptor</w:t>
      </w:r>
    </w:p>
    <w:p w:rsidR="00000000" w:rsidRPr="004B0BFF" w:rsidP="004B0BFF">
      <w:pPr>
        <w:pStyle w:val="AllowPageBreak"/>
      </w:pPr>
    </w:p>
    <w:p w:rsidR="00000000" w:rsidRPr="004B0BFF" w:rsidP="004B0BFF">
      <w:pPr>
        <w:pStyle w:val="Heading1"/>
      </w:pPr>
      <w:bookmarkStart w:id="5" w:name="O_284742"/>
      <w:bookmarkEnd w:id="5"/>
      <w:r w:rsidRPr="004B0BFF">
        <w:t>Pre-Requisites</w:t>
      </w:r>
    </w:p>
    <w:p w:rsidR="00000000" w:rsidRPr="004B0BFF" w:rsidP="004B0BFF">
      <w:pPr>
        <w:pStyle w:val="BodyText"/>
      </w:pPr>
      <w:r w:rsidRPr="004B0BFF">
        <w:t>Not Applicable</w:t>
      </w:r>
    </w:p>
    <w:p w:rsidR="00000000" w:rsidRPr="004B0BFF" w:rsidP="004B0BFF">
      <w:pPr>
        <w:pStyle w:val="AllowPageBreak"/>
      </w:pPr>
    </w:p>
    <w:p w:rsidR="00000000" w:rsidRPr="004B0BFF" w:rsidP="004B0BFF">
      <w:pPr>
        <w:pStyle w:val="Heading1"/>
      </w:pPr>
      <w:bookmarkStart w:id="6" w:name="O_223203"/>
      <w:bookmarkEnd w:id="6"/>
      <w:r w:rsidRPr="004B0BFF">
        <w:t>Employability Skills Information</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BodyText"/>
            </w:pPr>
            <w:r w:rsidRPr="004B0BFF">
              <w:t>This unit contains employability skills.</w:t>
            </w:r>
          </w:p>
        </w:tc>
      </w:tr>
    </w:tbl>
    <w:p w:rsidR="001B1060" w:rsidP="004B0BFF">
      <w:pPr>
        <w:pStyle w:val="BodyText"/>
      </w:pPr>
    </w:p>
    <w:p w:rsidR="001B1060" w:rsidP="004B0BFF">
      <w:pPr>
        <w:pStyle w:val="BodyText"/>
      </w:pPr>
    </w:p>
    <w:p w:rsidR="00000000" w:rsidRPr="004B0BFF" w:rsidP="004B0BFF">
      <w:pPr>
        <w:pStyle w:val="Heading1"/>
      </w:pPr>
      <w:bookmarkStart w:id="7" w:name="O_292078"/>
      <w:bookmarkEnd w:id="7"/>
      <w:r w:rsidRPr="004B0BFF">
        <w:t>Elements and Performance Criteria Pre-Content</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BodyText"/>
            </w:pPr>
            <w:r w:rsidRPr="004B0BFF">
              <w:t>Performance criteria describe the required performance needed to demonstrate achievement of the element. Assessment of performance is to be consistent with the evidence guide.</w:t>
            </w:r>
          </w:p>
        </w:tc>
      </w:tr>
    </w:tbl>
    <w:p w:rsidR="00000000" w:rsidRPr="004B0BFF" w:rsidP="004B0BFF">
      <w:pPr>
        <w:pStyle w:val="BodyText"/>
      </w:pPr>
    </w:p>
    <w:p w:rsidR="00000000" w:rsidRPr="004B0BFF" w:rsidP="004B0BFF">
      <w:pPr>
        <w:pStyle w:val="AllowPageBreak"/>
      </w:pPr>
    </w:p>
    <w:p w:rsidR="00000000" w:rsidRPr="004B0BFF" w:rsidP="004B0BFF">
      <w:pPr>
        <w:pStyle w:val="Heading1"/>
      </w:pPr>
      <w:bookmarkStart w:id="8" w:name="O_238746"/>
      <w:bookmarkEnd w:id="8"/>
      <w:r w:rsidRPr="004B0BFF">
        <w:t>Elements and Performance Criteria</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PERFORMANCE CRITERI</w:t>
            </w:r>
            <w:r w:rsidRPr="004B0BFF">
              <w:rPr>
                <w:rStyle w:val="SpecialBold"/>
              </w:rPr>
              <w:t>A</w:t>
            </w:r>
          </w:p>
        </w:tc>
      </w:tr>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1</w:t>
            </w:r>
            <w:r w:rsidRPr="004B0BFF">
              <w:tab/>
            </w:r>
            <w:r w:rsidRPr="004B0BFF">
              <w:rPr>
                <w:rStyle w:val="SpecialBold"/>
              </w:rPr>
              <w:t>Plan and prepare for shunting operation</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t>1.1</w:t>
            </w:r>
            <w:r w:rsidRPr="004B0BFF">
              <w:tab/>
              <w:t>Shunting requirements are confirmed through workplace documents and/or relevant personnel</w:t>
            </w:r>
          </w:p>
          <w:p w:rsidR="00000000" w:rsidRPr="004B0BFF" w:rsidP="004B0BFF">
            <w:pPr>
              <w:pStyle w:val="List"/>
            </w:pPr>
            <w:r w:rsidRPr="004B0BFF">
              <w:t>1.2</w:t>
            </w:r>
            <w:r w:rsidRPr="004B0BFF">
              <w:tab/>
              <w:t>Local safety requirements are identified and performed according to workplace procedures</w:t>
            </w:r>
          </w:p>
          <w:p w:rsidR="00000000" w:rsidP="004B0BFF">
            <w:pPr>
              <w:pStyle w:val="List"/>
              <w:rPr>
                <w:lang w:val="en-NZ"/>
              </w:rPr>
            </w:pPr>
            <w:r w:rsidRPr="004B0BFF">
              <w:t>1.3</w:t>
            </w:r>
            <w:r w:rsidRPr="004B0BFF">
              <w:tab/>
            </w:r>
            <w:r w:rsidRPr="004B0BFF">
              <w:t>Relevant OH&amp;S requirements are followed to prevent injury and damage</w:t>
            </w:r>
          </w:p>
        </w:tc>
      </w:tr>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2</w:t>
            </w:r>
            <w:r w:rsidRPr="004B0BFF">
              <w:tab/>
            </w:r>
            <w:r w:rsidRPr="004B0BFF">
              <w:rPr>
                <w:rStyle w:val="SpecialBold"/>
              </w:rPr>
              <w:t>Shunt trains</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t>2.1</w:t>
            </w:r>
            <w:r w:rsidRPr="004B0BFF">
              <w:tab/>
              <w:t>Where required, points, levers and/or switches are operated in accordance with workplace requirements</w:t>
            </w:r>
          </w:p>
          <w:p w:rsidR="00000000" w:rsidRPr="004B0BFF" w:rsidP="004B0BFF">
            <w:pPr>
              <w:pStyle w:val="List"/>
            </w:pPr>
            <w:r w:rsidRPr="004B0BFF">
              <w:t>2.2</w:t>
            </w:r>
            <w:r w:rsidRPr="004B0BFF">
              <w:tab/>
              <w:t>Audible signals, hand signals and other line of sight communi</w:t>
            </w:r>
            <w:r w:rsidRPr="004B0BFF">
              <w:t>cations are used to assist the control of train movements</w:t>
            </w:r>
          </w:p>
          <w:p w:rsidR="00000000" w:rsidRPr="004B0BFF" w:rsidP="004B0BFF">
            <w:pPr>
              <w:pStyle w:val="List"/>
            </w:pPr>
            <w:r w:rsidRPr="004B0BFF">
              <w:t>2.3</w:t>
            </w:r>
            <w:r w:rsidRPr="004B0BFF">
              <w:tab/>
              <w:t>Hand, light and radio shunting commands used are responded to in accordance with workplace requirements</w:t>
            </w:r>
          </w:p>
          <w:p w:rsidR="00000000" w:rsidRPr="004B0BFF" w:rsidP="004B0BFF">
            <w:pPr>
              <w:pStyle w:val="List"/>
            </w:pPr>
            <w:r w:rsidRPr="004B0BFF">
              <w:t>2.4</w:t>
            </w:r>
            <w:r w:rsidRPr="004B0BFF">
              <w:tab/>
              <w:t>Pre-movement inspection/tests are carried out prior to moving trains</w:t>
            </w:r>
          </w:p>
          <w:p w:rsidR="00000000" w:rsidRPr="004B0BFF" w:rsidP="004B0BFF">
            <w:pPr>
              <w:pStyle w:val="List"/>
            </w:pPr>
            <w:r w:rsidRPr="004B0BFF">
              <w:t>2.5</w:t>
            </w:r>
            <w:r w:rsidRPr="004B0BFF">
              <w:tab/>
              <w:t>Train is shun</w:t>
            </w:r>
            <w:r w:rsidRPr="004B0BFF">
              <w:t>ted and positioned as per operational/workplace requirements</w:t>
            </w:r>
          </w:p>
          <w:p w:rsidR="00000000" w:rsidP="004B0BFF">
            <w:pPr>
              <w:pStyle w:val="List"/>
              <w:rPr>
                <w:lang w:val="en-NZ"/>
              </w:rPr>
            </w:pPr>
            <w:r w:rsidRPr="004B0BFF">
              <w:t>2.6</w:t>
            </w:r>
            <w:r w:rsidRPr="004B0BFF">
              <w:tab/>
              <w:t>Following shunt movement train is secured according to workplace requirements</w:t>
            </w:r>
          </w:p>
        </w:tc>
      </w:tr>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3</w:t>
            </w:r>
            <w:r w:rsidRPr="004B0BFF">
              <w:tab/>
            </w:r>
            <w:r w:rsidRPr="004B0BFF">
              <w:rPr>
                <w:rStyle w:val="SpecialBold"/>
              </w:rPr>
              <w:t>Couple trains</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t>3.1</w:t>
            </w:r>
            <w:r w:rsidRPr="004B0BFF">
              <w:tab/>
              <w:t>Type of connections required are identified prior to coupling</w:t>
            </w:r>
          </w:p>
          <w:p w:rsidR="00000000" w:rsidRPr="004B0BFF" w:rsidP="004B0BFF">
            <w:pPr>
              <w:pStyle w:val="List"/>
            </w:pPr>
            <w:r w:rsidRPr="004B0BFF">
              <w:t>3.2</w:t>
            </w:r>
            <w:r w:rsidRPr="004B0BFF">
              <w:tab/>
              <w:t>Trains to be coupled are p</w:t>
            </w:r>
            <w:r w:rsidRPr="004B0BFF">
              <w:t>ositioned according to operating procedures and workplace requirements</w:t>
            </w:r>
          </w:p>
          <w:p w:rsidR="00000000" w:rsidRPr="004B0BFF" w:rsidP="004B0BFF">
            <w:pPr>
              <w:pStyle w:val="List"/>
            </w:pPr>
            <w:r w:rsidRPr="004B0BFF">
              <w:t>3.3</w:t>
            </w:r>
            <w:r w:rsidRPr="004B0BFF">
              <w:tab/>
              <w:t>Trains to be coupled are fully secured</w:t>
            </w:r>
          </w:p>
          <w:p w:rsidR="00000000" w:rsidRPr="004B0BFF" w:rsidP="004B0BFF">
            <w:pPr>
              <w:pStyle w:val="List"/>
            </w:pPr>
            <w:r w:rsidRPr="004B0BFF">
              <w:t>3.4</w:t>
            </w:r>
            <w:r w:rsidRPr="004B0BFF">
              <w:tab/>
              <w:t>Ensure couplers are aligned and in the appropriate position for type of connection required</w:t>
            </w:r>
          </w:p>
          <w:p w:rsidR="00000000" w:rsidRPr="004B0BFF" w:rsidP="004B0BFF">
            <w:pPr>
              <w:pStyle w:val="List"/>
            </w:pPr>
            <w:r w:rsidRPr="004B0BFF">
              <w:t>3.5</w:t>
            </w:r>
            <w:r w:rsidRPr="004B0BFF">
              <w:tab/>
            </w:r>
            <w:r w:rsidRPr="004B0BFF">
              <w:t>Ensure all safety requirements are met prior to coupling trains</w:t>
            </w:r>
          </w:p>
          <w:p w:rsidR="00000000" w:rsidRPr="004B0BFF" w:rsidP="004B0BFF">
            <w:pPr>
              <w:pStyle w:val="List"/>
            </w:pPr>
            <w:r w:rsidRPr="004B0BFF">
              <w:t>3.6</w:t>
            </w:r>
            <w:r w:rsidRPr="004B0BFF">
              <w:tab/>
              <w:t>Trains are coupled as per operational/workplace requirements</w:t>
            </w:r>
          </w:p>
          <w:p w:rsidR="00000000" w:rsidP="004B0BFF">
            <w:pPr>
              <w:pStyle w:val="List"/>
              <w:rPr>
                <w:lang w:val="en-NZ"/>
              </w:rPr>
            </w:pPr>
            <w:r w:rsidRPr="004B0BFF">
              <w:t>3.7</w:t>
            </w:r>
            <w:r w:rsidRPr="004B0BFF">
              <w:tab/>
              <w:t>Post-coupling inspection/tests are carried out according to operating procedures and workplace requirements</w:t>
            </w:r>
          </w:p>
        </w:tc>
      </w:tr>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4</w:t>
            </w:r>
            <w:r w:rsidRPr="004B0BFF">
              <w:tab/>
            </w:r>
            <w:r w:rsidRPr="004B0BFF">
              <w:rPr>
                <w:rStyle w:val="SpecialBold"/>
              </w:rPr>
              <w:t>Uncouple tra</w:t>
            </w:r>
            <w:r w:rsidRPr="004B0BFF">
              <w:rPr>
                <w:rStyle w:val="SpecialBold"/>
              </w:rPr>
              <w:t>ins</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t>4.1</w:t>
            </w:r>
            <w:r w:rsidRPr="004B0BFF">
              <w:tab/>
              <w:t>Trains to be uncoupled are identified and pre-uncoupling checks and, where required, procedures are conducted according to operating procedures and workplace requirements</w:t>
            </w:r>
          </w:p>
          <w:p w:rsidR="00000000" w:rsidRPr="004B0BFF" w:rsidP="004B0BFF">
            <w:pPr>
              <w:pStyle w:val="List"/>
            </w:pPr>
            <w:r w:rsidRPr="004B0BFF">
              <w:t>4.2</w:t>
            </w:r>
            <w:r w:rsidRPr="004B0BFF">
              <w:tab/>
              <w:t>Ensure all safety requirements are met prior to uncoupling trains</w:t>
            </w:r>
          </w:p>
          <w:p w:rsidR="00000000" w:rsidRPr="004B0BFF" w:rsidP="004B0BFF">
            <w:pPr>
              <w:pStyle w:val="List"/>
            </w:pPr>
            <w:r w:rsidRPr="004B0BFF">
              <w:t>4.3</w:t>
            </w:r>
            <w:r w:rsidRPr="004B0BFF">
              <w:tab/>
              <w:t>Tra</w:t>
            </w:r>
            <w:r w:rsidRPr="004B0BFF">
              <w:t>in that will remain after uncoupling is fully secured</w:t>
            </w:r>
          </w:p>
          <w:p w:rsidR="00000000" w:rsidRPr="004B0BFF" w:rsidP="004B0BFF">
            <w:pPr>
              <w:pStyle w:val="List"/>
            </w:pPr>
            <w:r w:rsidRPr="004B0BFF">
              <w:t>4.4</w:t>
            </w:r>
            <w:r w:rsidRPr="004B0BFF">
              <w:tab/>
              <w:t>Trains are uncoupled according to operating procedures and workplace requirements</w:t>
            </w:r>
          </w:p>
          <w:p w:rsidR="00000000" w:rsidP="004B0BFF">
            <w:pPr>
              <w:pStyle w:val="List"/>
              <w:rPr>
                <w:lang w:val="en-NZ"/>
              </w:rPr>
            </w:pPr>
            <w:r w:rsidRPr="004B0BFF">
              <w:t>4.5</w:t>
            </w:r>
            <w:r w:rsidRPr="004B0BFF">
              <w:tab/>
              <w:t>Post-uncoupling inspection/tests are carried out according to operating procedures and workplace requirements</w:t>
            </w:r>
          </w:p>
        </w:tc>
      </w:tr>
      <w:tr w:rsidTr="001B1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0BFF">
            <w:pPr>
              <w:pStyle w:val="List"/>
              <w:rPr>
                <w:lang w:val="en-NZ"/>
              </w:rPr>
            </w:pPr>
            <w:r w:rsidRPr="004B0BFF">
              <w:rPr>
                <w:rStyle w:val="SpecialBold"/>
              </w:rPr>
              <w:t>5</w:t>
            </w:r>
            <w:r w:rsidRPr="004B0BFF">
              <w:tab/>
            </w:r>
            <w:r w:rsidRPr="004B0BFF">
              <w:rPr>
                <w:rStyle w:val="SpecialBold"/>
              </w:rPr>
              <w:t>Use coupling adaptor</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List"/>
            </w:pPr>
            <w:r w:rsidRPr="004B0BFF">
              <w:t>5.1</w:t>
            </w:r>
            <w:r w:rsidRPr="004B0BFF">
              <w:tab/>
              <w:t xml:space="preserve">Situations requiring the use of a coupling adaptor are identified </w:t>
            </w:r>
            <w:r w:rsidRPr="004B0BFF">
              <w:t>as per workplace procedures</w:t>
            </w:r>
          </w:p>
          <w:p w:rsidR="00000000" w:rsidRPr="004B0BFF" w:rsidP="004B0BFF">
            <w:pPr>
              <w:pStyle w:val="List"/>
            </w:pPr>
            <w:r w:rsidRPr="004B0BFF">
              <w:t>5.2</w:t>
            </w:r>
            <w:r w:rsidRPr="004B0BFF">
              <w:tab/>
              <w:t>Coupling adaptor is accessed and transported to required location for use</w:t>
            </w:r>
          </w:p>
          <w:p w:rsidR="00000000" w:rsidRPr="004B0BFF" w:rsidP="004B0BFF">
            <w:pPr>
              <w:pStyle w:val="List"/>
            </w:pPr>
            <w:r w:rsidRPr="004B0BFF">
              <w:t>5.3</w:t>
            </w:r>
            <w:r w:rsidRPr="004B0BFF">
              <w:tab/>
              <w:t>Ensure all safety requirements are met prior to fittin</w:t>
            </w:r>
            <w:r w:rsidRPr="004B0BFF">
              <w:t>g coupling adaptor</w:t>
            </w:r>
          </w:p>
          <w:p w:rsidR="00000000" w:rsidRPr="004B0BFF" w:rsidP="004B0BFF">
            <w:pPr>
              <w:pStyle w:val="List"/>
            </w:pPr>
            <w:r w:rsidRPr="004B0BFF">
              <w:t>5.4</w:t>
            </w:r>
            <w:r w:rsidRPr="004B0BFF">
              <w:tab/>
              <w:t>Coupling adaptor is attached to one of the trains prior to coupling according to workplace procedures</w:t>
            </w:r>
          </w:p>
          <w:p w:rsidR="00000000" w:rsidRPr="004B0BFF" w:rsidP="004B0BFF">
            <w:pPr>
              <w:pStyle w:val="List"/>
            </w:pPr>
            <w:r w:rsidRPr="004B0BFF">
              <w:t>5.5</w:t>
            </w:r>
            <w:r w:rsidRPr="004B0BFF">
              <w:tab/>
              <w:t>Trains are coupled in accordance with workplace procedures and coupling adaptor is secured in place</w:t>
            </w:r>
          </w:p>
          <w:p w:rsidR="00000000" w:rsidRPr="004B0BFF" w:rsidP="004B0BFF">
            <w:pPr>
              <w:pStyle w:val="List"/>
            </w:pPr>
            <w:r w:rsidRPr="004B0BFF">
              <w:t>5.6</w:t>
            </w:r>
            <w:r w:rsidRPr="004B0BFF">
              <w:tab/>
              <w:t>Post-coupling inspectio</w:t>
            </w:r>
            <w:r w:rsidRPr="004B0BFF">
              <w:t>n/tests and/or procedures are carried out according to operating procedures and workplace requirements</w:t>
            </w:r>
          </w:p>
        </w:tc>
      </w:tr>
    </w:tbl>
    <w:p w:rsidR="001B1060" w:rsidP="004B0BFF">
      <w:pPr>
        <w:pStyle w:val="BodyText"/>
      </w:pPr>
    </w:p>
    <w:p w:rsidR="001B1060" w:rsidP="004B0BFF">
      <w:pPr>
        <w:pStyle w:val="BodyText"/>
      </w:pPr>
    </w:p>
    <w:p w:rsidR="00000000" w:rsidRPr="004B0BFF" w:rsidP="004B0BFF">
      <w:pPr>
        <w:pStyle w:val="Heading1"/>
      </w:pPr>
      <w:bookmarkStart w:id="9" w:name="O_262537"/>
      <w:bookmarkEnd w:id="9"/>
      <w:r w:rsidRPr="004B0BFF">
        <w:t>Required Skills and Knowledge</w:t>
      </w:r>
    </w:p>
    <w:tbl>
      <w:tblPr>
        <w:tblW w:w="9640" w:type="dxa"/>
        <w:tblLayout w:type="fixed"/>
        <w:tblCellMar>
          <w:left w:w="62" w:type="dxa"/>
          <w:right w:w="62" w:type="dxa"/>
        </w:tblCellMar>
        <w:tblLook w:val="0000"/>
      </w:tblPr>
      <w:tblGrid>
        <w:gridCol w:w="9640"/>
      </w:tblGrid>
      <w:tr w:rsidTr="001B10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REQUIRED KNOWLEDGE AND SKILLS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This describes the essential knowledge and skills and their level required for this unit.</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Required knowledge</w:t>
            </w:r>
            <w:r w:rsidRPr="004B0BFF">
              <w:t>:</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Applicable minimum standards and approved compliance codes and/or guidelines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Relevant OH&amp;S and environmental procedures and regulations including codes of practice for manual handling</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Shunting procedures and requirements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Coupling systems, their components and their operation</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Types of couplers and their purpose</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Types of coup</w:t>
            </w:r>
            <w:r w:rsidRPr="004B0BFF">
              <w:t>ling adaptors and their purpose</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Diagnostic techniques relating to shunting, coupling and uncoupling electric passenger trains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Communication protocols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Procedures to be followed in the event of an emergency</w:t>
            </w:r>
          </w:p>
        </w:tc>
      </w:tr>
    </w:tbl>
    <w:p w:rsidR="00000000" w:rsidRPr="004B0BFF" w:rsidP="004B0BFF">
      <w:pPr>
        <w:pStyle w:val="BodyText"/>
      </w:pPr>
    </w:p>
    <w:tbl>
      <w:tblPr>
        <w:tblW w:w="9640" w:type="dxa"/>
        <w:tblLayout w:type="fixed"/>
        <w:tblCellMar>
          <w:left w:w="62" w:type="dxa"/>
          <w:right w:w="62" w:type="dxa"/>
        </w:tblCellMar>
        <w:tblLook w:val="0000"/>
      </w:tblPr>
      <w:tblGrid>
        <w:gridCol w:w="9640"/>
      </w:tblGrid>
      <w:tr w:rsidTr="001B10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Required skills</w:t>
            </w:r>
            <w:r w:rsidRPr="004B0BFF">
              <w:t>:</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Communicate effectively with others when shunting, coupling and uncoupling electric passenger trains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Read and interpret instructions, procedures, information and signs relevant to shunting, coupling and uncoupling electric passenger trains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Interpret an</w:t>
            </w:r>
            <w:r w:rsidRPr="004B0BFF">
              <w:t>d follow operational instructions and prioritise work</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Operate electronic communication equipment to required protocol</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Work collaboratively with others when shunting, coupling and uncoupling electric passenger trains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Identify and assess electric passenger train defects and deficiencies and take appropriate action to report, isolate, repair or replace any identified defective equipment as per workplace procedures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Promptly report and/or rectify any identified problems,</w:t>
            </w:r>
            <w:r w:rsidRPr="004B0BFF">
              <w:t xml:space="preserve"> faults or malfunctions when shunting, coupling and uncoupling electric passenger trains in accordance with regulatory requirements and workplace procedures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Apply rail safety practices and regulations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Implement contingency plans for unplanned events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Apply precautions and required action to minimise, control or eliminate hazards that may exist during work activities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Monitor work activities in terms of planned schedule</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Modify activities depending on differing operational contingencies, risk situations and environments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Work systematically with required attention to detail without injury to self or others, or damage to goods or equipment</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Assess shunting, coupling and u</w:t>
            </w:r>
            <w:r w:rsidRPr="004B0BFF">
              <w:t>ncoupling defects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0BFF">
            <w:pPr>
              <w:pStyle w:val="ListBullet"/>
              <w:rPr>
                <w:lang w:val="en-NZ"/>
              </w:rPr>
            </w:pPr>
            <w:r w:rsidRPr="004B0BFF">
              <w:t>Operate and adapt to differences in trains and related equipment in accordance with standard operating procedures</w:t>
            </w:r>
          </w:p>
        </w:tc>
      </w:tr>
      <w:tr w:rsidTr="001B1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Select and use required personal protective equipment conforming to industry and OH&amp;S standards</w:t>
            </w:r>
          </w:p>
        </w:tc>
      </w:tr>
    </w:tbl>
    <w:p w:rsidR="001B1060" w:rsidP="004B0BFF">
      <w:pPr>
        <w:pStyle w:val="BodyText"/>
      </w:pPr>
    </w:p>
    <w:p w:rsidR="001B1060" w:rsidP="004B0BFF">
      <w:pPr>
        <w:pStyle w:val="BodyText"/>
      </w:pPr>
    </w:p>
    <w:p w:rsidR="00000000" w:rsidRPr="004B0BFF" w:rsidP="004B0BFF">
      <w:pPr>
        <w:pStyle w:val="Heading1"/>
      </w:pPr>
      <w:bookmarkStart w:id="10" w:name="O_246730"/>
      <w:bookmarkEnd w:id="10"/>
      <w:r w:rsidRPr="004B0BFF">
        <w:t>Evidence Guide</w:t>
      </w:r>
    </w:p>
    <w:tbl>
      <w:tblPr>
        <w:tblW w:w="9499" w:type="dxa"/>
        <w:tblLayout w:type="fixed"/>
        <w:tblCellMar>
          <w:left w:w="62" w:type="dxa"/>
          <w:right w:w="62" w:type="dxa"/>
        </w:tblCellMar>
        <w:tblLook w:val="0000"/>
      </w:tblPr>
      <w:tblGrid>
        <w:gridCol w:w="3524"/>
        <w:gridCol w:w="5975"/>
      </w:tblGrid>
      <w:tr w:rsidTr="001B106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EVIDENCE GUIDE</w:t>
            </w:r>
          </w:p>
        </w:tc>
      </w:tr>
      <w:tr w:rsidTr="001B106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The evidence guide provides advice on assessment and must be read in conjunction with the performance criteria, required knowledge and skills, the range statement and the assessment guidelines for this Training Package.</w:t>
            </w:r>
          </w:p>
        </w:tc>
      </w:tr>
      <w:tr w:rsidTr="001B1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Cr</w:t>
            </w:r>
            <w:r w:rsidRPr="004B0BFF">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The evidence required to demonstrate competency in this unit must be relevant to and satisfy all of the requirements of the elements and performance criteria of thi</w:t>
            </w:r>
            <w:r w:rsidRPr="004B0BFF">
              <w:t>s unit and include demonstration of applying:</w:t>
            </w:r>
          </w:p>
          <w:p w:rsidR="00000000" w:rsidRPr="004B0BFF" w:rsidP="004B0BFF">
            <w:pPr>
              <w:pStyle w:val="ListBullet2"/>
            </w:pPr>
            <w:r w:rsidRPr="004B0BFF">
              <w:t>the underpinning knowledge and skills</w:t>
            </w:r>
          </w:p>
          <w:p w:rsidR="00000000" w:rsidRPr="004B0BFF" w:rsidP="004B0BFF">
            <w:pPr>
              <w:pStyle w:val="ListBullet2"/>
            </w:pPr>
            <w:r w:rsidRPr="004B0BFF">
              <w:t>relevant legislation and workplace procedures</w:t>
            </w:r>
          </w:p>
          <w:p w:rsidR="00000000" w:rsidRPr="004B0BFF" w:rsidP="004B0BFF">
            <w:pPr>
              <w:pStyle w:val="ListBullet2"/>
            </w:pPr>
            <w:r w:rsidRPr="004B0BFF">
              <w:t>other relevant aspects of the range statement</w:t>
            </w:r>
          </w:p>
          <w:p w:rsidR="00000000" w:rsidRPr="004B0BFF" w:rsidP="004B0BFF">
            <w:pPr>
              <w:pStyle w:val="ListBullet"/>
            </w:pPr>
            <w:r w:rsidRPr="004B0BFF">
              <w:t>Assessment must include exercises which demonstrate competent performance of the following in a range of situations:</w:t>
            </w:r>
          </w:p>
          <w:p w:rsidR="00000000" w:rsidRPr="004B0BFF" w:rsidP="004B0BFF">
            <w:pPr>
              <w:pStyle w:val="ListBullet2"/>
            </w:pPr>
            <w:r w:rsidRPr="004B0BFF">
              <w:t>carrying out pre-shunting checks correctly</w:t>
            </w:r>
          </w:p>
          <w:p w:rsidR="00000000" w:rsidRPr="004B0BFF" w:rsidP="004B0BFF">
            <w:pPr>
              <w:pStyle w:val="ListBullet2"/>
            </w:pPr>
            <w:r w:rsidRPr="004B0BFF">
              <w:t>shunting in a number of locations including sidings and depots/yards</w:t>
            </w:r>
          </w:p>
          <w:p w:rsidR="00000000" w:rsidP="004B0BFF">
            <w:pPr>
              <w:pStyle w:val="ListBullet2"/>
              <w:rPr>
                <w:lang w:val="en-NZ"/>
              </w:rPr>
            </w:pPr>
            <w:r w:rsidRPr="004B0BFF">
              <w:t>coupling an electric passe</w:t>
            </w:r>
            <w:r w:rsidRPr="004B0BFF">
              <w:t>nger train, including correct use of coupling adaptor</w:t>
            </w:r>
          </w:p>
        </w:tc>
      </w:tr>
      <w:tr w:rsidTr="001B1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Performance is demonstrated consistently over a period of time and in a suitable range of contexts</w:t>
            </w:r>
          </w:p>
          <w:p w:rsidR="00000000" w:rsidRPr="004B0BFF" w:rsidP="004B0BFF">
            <w:pPr>
              <w:pStyle w:val="ListBullet"/>
            </w:pPr>
            <w:r w:rsidRPr="004B0BFF">
              <w:t>Resources for assessment include:</w:t>
            </w:r>
          </w:p>
          <w:p w:rsidR="00000000" w:rsidRPr="004B0BFF" w:rsidP="004B0BFF">
            <w:pPr>
              <w:pStyle w:val="ListBullet2"/>
            </w:pPr>
            <w:r w:rsidRPr="004B0BFF">
              <w:t>a range of relevant exercises, case studies and/or other simulated practical and knowledge assessment, and/or</w:t>
            </w:r>
          </w:p>
          <w:p w:rsidR="00000000" w:rsidRPr="004B0BFF" w:rsidP="004B0BFF">
            <w:pPr>
              <w:pStyle w:val="ListBullet2"/>
            </w:pPr>
            <w:r w:rsidRPr="004B0BFF">
              <w:t>access to an appropriate range of relevant operational situations in the workplace</w:t>
            </w:r>
          </w:p>
          <w:p w:rsidR="00000000" w:rsidRPr="004B0BFF" w:rsidP="004B0BFF">
            <w:pPr>
              <w:pStyle w:val="ListBullet"/>
            </w:pPr>
            <w:r w:rsidRPr="004B0BFF">
              <w:t>In both real and simulated environments, access is required to</w:t>
            </w:r>
            <w:r w:rsidRPr="004B0BFF">
              <w:t>:</w:t>
            </w:r>
          </w:p>
          <w:p w:rsidR="00000000" w:rsidRPr="004B0BFF" w:rsidP="004B0BFF">
            <w:pPr>
              <w:pStyle w:val="ListBullet2"/>
            </w:pPr>
            <w:r w:rsidRPr="004B0BFF">
              <w:t>relevant and appropriate materials and equipment, and</w:t>
            </w:r>
          </w:p>
          <w:p w:rsidR="00000000" w:rsidP="004B0BFF">
            <w:pPr>
              <w:pStyle w:val="ListBullet2"/>
              <w:rPr>
                <w:lang w:val="en-NZ"/>
              </w:rPr>
            </w:pPr>
            <w:r w:rsidRPr="004B0BFF">
              <w:t>applicable documentation including workplace procedures, regulations, codes of practice and operation manuals</w:t>
            </w:r>
          </w:p>
        </w:tc>
      </w:tr>
      <w:tr w:rsidTr="001B1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Assessment of this unit must be undertaken by a registered training organisation</w:t>
            </w:r>
          </w:p>
          <w:p w:rsidR="00000000" w:rsidRPr="004B0BFF" w:rsidP="004B0BFF">
            <w:pPr>
              <w:pStyle w:val="ListBullet"/>
            </w:pPr>
            <w:r w:rsidRPr="004B0BFF">
              <w:t>As a minimum, assessment of knowledge must be conducted through appropriate written/oral tests</w:t>
            </w:r>
          </w:p>
          <w:p w:rsidR="00000000" w:rsidRPr="004B0BFF" w:rsidP="004B0BFF">
            <w:pPr>
              <w:pStyle w:val="ListBullet"/>
            </w:pPr>
            <w:r w:rsidRPr="004B0BFF">
              <w:t>Practical assessment must occur:</w:t>
            </w:r>
          </w:p>
          <w:p w:rsidR="00000000" w:rsidRPr="004B0BFF" w:rsidP="004B0BFF">
            <w:pPr>
              <w:pStyle w:val="ListBullet2"/>
            </w:pPr>
            <w:r w:rsidRPr="004B0BFF">
              <w:t>through activities in an appropriately simulated environment, and/or</w:t>
            </w:r>
          </w:p>
          <w:p w:rsidR="00000000" w:rsidRPr="004B0BFF" w:rsidP="004B0BFF">
            <w:pPr>
              <w:pStyle w:val="ListBullet2"/>
            </w:pPr>
            <w:r w:rsidRPr="004B0BFF">
              <w:t>in an appropriate range of situations in the workplace</w:t>
            </w:r>
          </w:p>
        </w:tc>
      </w:tr>
    </w:tbl>
    <w:p w:rsidR="001B1060" w:rsidP="004B0BFF">
      <w:pPr>
        <w:pStyle w:val="BodyText"/>
      </w:pPr>
    </w:p>
    <w:p w:rsidR="001B1060" w:rsidP="004B0BFF">
      <w:pPr>
        <w:pStyle w:val="BodyText"/>
      </w:pPr>
    </w:p>
    <w:p w:rsidR="00000000" w:rsidRPr="004B0BFF" w:rsidP="004B0BFF">
      <w:pPr>
        <w:pStyle w:val="Heading1"/>
      </w:pPr>
      <w:bookmarkStart w:id="11" w:name="O_254713"/>
      <w:bookmarkEnd w:id="11"/>
      <w:r w:rsidRPr="004B0BFF">
        <w:t>Range Statement</w:t>
      </w:r>
    </w:p>
    <w:tbl>
      <w:tblPr>
        <w:tblW w:w="9640" w:type="dxa"/>
        <w:tblLayout w:type="fixed"/>
        <w:tblCellMar>
          <w:left w:w="62" w:type="dxa"/>
          <w:right w:w="62" w:type="dxa"/>
        </w:tblCellMar>
        <w:tblLook w:val="0000"/>
      </w:tblPr>
      <w:tblGrid>
        <w:gridCol w:w="3486"/>
        <w:gridCol w:w="6154"/>
      </w:tblGrid>
      <w:tr w:rsidTr="001B106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RANGE STATEMENT</w:t>
            </w:r>
            <w:r w:rsidRPr="004B0BFF">
              <w:t xml:space="preserve"> </w:t>
            </w:r>
          </w:p>
        </w:tc>
      </w:tr>
      <w:tr w:rsidTr="001B106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The range statement relates to the unit of competency as a whole. It allows for different work environments and situations that may affect performance.</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by day or night</w:t>
            </w:r>
          </w:p>
          <w:p w:rsidR="00000000" w:rsidP="004B0BFF">
            <w:pPr>
              <w:pStyle w:val="ListBullet"/>
              <w:rPr>
                <w:lang w:val="en-NZ"/>
              </w:rPr>
            </w:pPr>
            <w:r w:rsidRPr="004B0BFF">
              <w:t>in all weather conditions</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Equipment may include: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electric passenger train</w:t>
            </w:r>
          </w:p>
          <w:p w:rsidR="00000000" w:rsidRPr="004B0BFF" w:rsidP="004B0BFF">
            <w:pPr>
              <w:pStyle w:val="ListBullet"/>
            </w:pPr>
            <w:r w:rsidRPr="004B0BFF">
              <w:t>transition coupler</w:t>
            </w:r>
          </w:p>
          <w:p w:rsidR="00000000" w:rsidRPr="004B0BFF" w:rsidP="004B0BFF">
            <w:pPr>
              <w:pStyle w:val="ListBullet"/>
            </w:pPr>
            <w:r w:rsidRPr="004B0BFF">
              <w:t>emergency coupler</w:t>
            </w:r>
          </w:p>
          <w:p w:rsidR="00000000" w:rsidP="004B0BFF">
            <w:pPr>
              <w:pStyle w:val="ListBullet"/>
              <w:rPr>
                <w:lang w:val="en-NZ"/>
              </w:rPr>
            </w:pPr>
            <w:r w:rsidRPr="004B0BFF">
              <w:t>coupling adaptor</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OH&amp;S requirements may include the use of:</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gloves</w:t>
            </w:r>
          </w:p>
          <w:p w:rsidR="00000000" w:rsidRPr="004B0BFF" w:rsidP="004B0BFF">
            <w:pPr>
              <w:pStyle w:val="ListBullet"/>
            </w:pPr>
            <w:r w:rsidRPr="004B0BFF">
              <w:t>sunscreen, sunglasses and safety glasses</w:t>
            </w:r>
          </w:p>
          <w:p w:rsidR="00000000" w:rsidRPr="004B0BFF" w:rsidP="004B0BFF">
            <w:pPr>
              <w:pStyle w:val="ListBullet"/>
            </w:pPr>
            <w:r w:rsidRPr="004B0BFF">
              <w:t>insect repellent</w:t>
            </w:r>
          </w:p>
          <w:p w:rsidR="00000000" w:rsidRPr="004B0BFF" w:rsidP="004B0BFF">
            <w:pPr>
              <w:pStyle w:val="ListBullet"/>
            </w:pPr>
            <w:r w:rsidRPr="004B0BFF">
              <w:t>safety footwear</w:t>
            </w:r>
          </w:p>
          <w:p w:rsidR="00000000" w:rsidRPr="004B0BFF" w:rsidP="004B0BFF">
            <w:pPr>
              <w:pStyle w:val="ListBullet"/>
            </w:pPr>
            <w:r w:rsidRPr="004B0BFF">
              <w:t>portable radios</w:t>
            </w:r>
          </w:p>
          <w:p w:rsidR="00000000" w:rsidRPr="004B0BFF" w:rsidP="004B0BFF">
            <w:pPr>
              <w:pStyle w:val="ListBullet"/>
            </w:pPr>
            <w:r w:rsidRPr="004B0BFF">
              <w:t>hand lamps</w:t>
            </w:r>
          </w:p>
          <w:p w:rsidR="00000000" w:rsidRPr="004B0BFF" w:rsidP="004B0BFF">
            <w:pPr>
              <w:pStyle w:val="ListBullet"/>
            </w:pPr>
            <w:r w:rsidRPr="004B0BFF">
              <w:t>flags</w:t>
            </w:r>
          </w:p>
          <w:p w:rsidR="00000000" w:rsidRPr="004B0BFF" w:rsidP="004B0BFF">
            <w:pPr>
              <w:pStyle w:val="ListBullet"/>
            </w:pPr>
            <w:r w:rsidRPr="004B0BFF">
              <w:t>high visibility clothing</w:t>
            </w:r>
          </w:p>
          <w:p w:rsidR="00000000" w:rsidRPr="004B0BFF" w:rsidP="004B0BFF">
            <w:pPr>
              <w:pStyle w:val="ListBullet"/>
            </w:pPr>
            <w:r w:rsidRPr="004B0BFF">
              <w:t>emergency warning devices</w:t>
            </w:r>
          </w:p>
          <w:p w:rsidR="00000000" w:rsidP="004B0BFF">
            <w:pPr>
              <w:pStyle w:val="ListBullet"/>
              <w:rPr>
                <w:lang w:val="en-NZ"/>
              </w:rPr>
            </w:pPr>
            <w:r w:rsidRPr="004B0BFF">
              <w:t>portable signs and markers</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Contingencies may include: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derailments</w:t>
            </w:r>
          </w:p>
          <w:p w:rsidR="00000000" w:rsidRPr="004B0BFF" w:rsidP="004B0BFF">
            <w:pPr>
              <w:pStyle w:val="ListBullet"/>
            </w:pPr>
            <w:r w:rsidRPr="004B0BFF">
              <w:t>collisions</w:t>
            </w:r>
          </w:p>
          <w:p w:rsidR="00000000" w:rsidRPr="004B0BFF" w:rsidP="004B0BFF">
            <w:pPr>
              <w:pStyle w:val="ListBullet"/>
            </w:pPr>
            <w:r w:rsidRPr="004B0BFF">
              <w:t>breakdowns</w:t>
            </w:r>
          </w:p>
          <w:p w:rsidR="00000000" w:rsidRPr="004B0BFF" w:rsidP="004B0BFF">
            <w:pPr>
              <w:pStyle w:val="ListBullet"/>
            </w:pPr>
            <w:r w:rsidRPr="004B0BFF">
              <w:t>injuries and fatalities</w:t>
            </w:r>
          </w:p>
          <w:p w:rsidR="00000000" w:rsidRPr="004B0BFF" w:rsidP="004B0BFF">
            <w:pPr>
              <w:pStyle w:val="ListBullet"/>
            </w:pPr>
            <w:r w:rsidRPr="004B0BFF">
              <w:t>fires</w:t>
            </w:r>
          </w:p>
          <w:p w:rsidR="00000000" w:rsidRPr="004B0BFF" w:rsidP="004B0BFF">
            <w:pPr>
              <w:pStyle w:val="ListBullet"/>
            </w:pPr>
            <w:r w:rsidRPr="004B0BFF">
              <w:t>track damage</w:t>
            </w:r>
          </w:p>
          <w:p w:rsidR="00000000" w:rsidRPr="004B0BFF" w:rsidP="004B0BFF">
            <w:pPr>
              <w:pStyle w:val="ListBullet"/>
            </w:pPr>
            <w:r w:rsidRPr="004B0BFF">
              <w:t>powerline damage</w:t>
            </w:r>
          </w:p>
          <w:p w:rsidR="00000000" w:rsidP="004B0BFF">
            <w:pPr>
              <w:pStyle w:val="ListBullet"/>
              <w:rPr>
                <w:lang w:val="en-NZ"/>
              </w:rPr>
            </w:pPr>
            <w:r w:rsidRPr="004B0BFF">
              <w:t>broken/missing equipment</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Contingency plans and contingencies may involve: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emergency procedures manuals</w:t>
            </w:r>
          </w:p>
          <w:p w:rsidR="00000000" w:rsidP="004B0BFF">
            <w:pPr>
              <w:pStyle w:val="ListBullet"/>
              <w:rPr>
                <w:lang w:val="en-NZ"/>
              </w:rPr>
            </w:pPr>
            <w:r w:rsidRPr="004B0BFF">
              <w:t>safeworking systems and requirements</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company procedures</w:t>
            </w:r>
          </w:p>
          <w:p w:rsidR="00000000" w:rsidRPr="004B0BFF" w:rsidP="004B0BFF">
            <w:pPr>
              <w:pStyle w:val="ListBullet"/>
            </w:pPr>
            <w:r w:rsidRPr="004B0BFF">
              <w:t>enter</w:t>
            </w:r>
            <w:r w:rsidRPr="004B0BFF">
              <w:t>prise procedures</w:t>
            </w:r>
          </w:p>
          <w:p w:rsidR="00000000" w:rsidRPr="004B0BFF" w:rsidP="004B0BFF">
            <w:pPr>
              <w:pStyle w:val="ListBullet"/>
            </w:pPr>
            <w:r w:rsidRPr="004B0BFF">
              <w:t>organisational procedures</w:t>
            </w:r>
          </w:p>
          <w:p w:rsidR="00000000" w:rsidP="004B0BFF">
            <w:pPr>
              <w:pStyle w:val="ListBullet"/>
              <w:rPr>
                <w:lang w:val="en-NZ"/>
              </w:rPr>
            </w:pPr>
            <w:r w:rsidRPr="004B0BFF">
              <w:t>established procedures</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 xml:space="preserve">applicable legislated rail safety requirements including state and territory acts and regulations together with any nationally approved compliance codes </w:t>
            </w:r>
            <w:r w:rsidRPr="004B0BFF">
              <w:t>and/or guidelines</w:t>
            </w:r>
          </w:p>
          <w:p w:rsidR="00000000" w:rsidRPr="004B0BFF" w:rsidP="004B0BFF">
            <w:pPr>
              <w:pStyle w:val="ListBullet"/>
            </w:pPr>
            <w:r w:rsidRPr="004B0BFF">
              <w:t>noticeboards</w:t>
            </w:r>
          </w:p>
          <w:p w:rsidR="00000000" w:rsidRPr="004B0BFF" w:rsidP="004B0BFF">
            <w:pPr>
              <w:pStyle w:val="ListBullet"/>
            </w:pPr>
            <w:r w:rsidRPr="004B0BFF">
              <w:t>special train notices</w:t>
            </w:r>
          </w:p>
          <w:p w:rsidR="00000000" w:rsidRPr="004B0BFF" w:rsidP="004B0BFF">
            <w:pPr>
              <w:pStyle w:val="ListBullet"/>
            </w:pPr>
            <w:r w:rsidRPr="004B0BFF">
              <w:t>periodical circulars</w:t>
            </w:r>
          </w:p>
          <w:p w:rsidR="00000000" w:rsidRPr="004B0BFF" w:rsidP="004B0BFF">
            <w:pPr>
              <w:pStyle w:val="ListBullet"/>
            </w:pPr>
            <w:r w:rsidRPr="004B0BFF">
              <w:t>rules and operating procedures</w:t>
            </w:r>
          </w:p>
          <w:p w:rsidR="00000000" w:rsidRPr="004B0BFF" w:rsidP="004B0BFF">
            <w:pPr>
              <w:pStyle w:val="ListBullet"/>
            </w:pPr>
            <w:r w:rsidRPr="004B0BFF">
              <w:t>computer-based data systems</w:t>
            </w:r>
          </w:p>
          <w:p w:rsidR="00000000" w:rsidRPr="004B0BFF" w:rsidP="004B0BFF">
            <w:pPr>
              <w:pStyle w:val="ListBullet"/>
            </w:pPr>
            <w:r w:rsidRPr="004B0BFF">
              <w:t>timetables</w:t>
            </w:r>
          </w:p>
          <w:p w:rsidR="00000000" w:rsidRPr="004B0BFF" w:rsidP="004B0BFF">
            <w:pPr>
              <w:pStyle w:val="ListBullet"/>
            </w:pPr>
            <w:r w:rsidRPr="004B0BFF">
              <w:t>train consist</w:t>
            </w:r>
          </w:p>
          <w:p w:rsidR="00000000" w:rsidRPr="004B0BFF" w:rsidP="004B0BFF">
            <w:pPr>
              <w:pStyle w:val="ListBullet"/>
            </w:pPr>
            <w:r w:rsidRPr="004B0BFF">
              <w:t>incident reports</w:t>
            </w:r>
          </w:p>
          <w:p w:rsidR="00000000" w:rsidRPr="004B0BFF" w:rsidP="004B0BFF">
            <w:pPr>
              <w:pStyle w:val="ListBullet"/>
            </w:pPr>
            <w:r w:rsidRPr="004B0BFF">
              <w:t>train register book</w:t>
            </w:r>
          </w:p>
          <w:p w:rsidR="00000000" w:rsidRPr="004B0BFF" w:rsidP="004B0BFF">
            <w:pPr>
              <w:pStyle w:val="ListBullet"/>
            </w:pPr>
            <w:r w:rsidRPr="004B0BFF">
              <w:t>emergency procedures manual</w:t>
            </w:r>
          </w:p>
          <w:p w:rsidR="00000000" w:rsidP="004B0BFF">
            <w:pPr>
              <w:pStyle w:val="ListBullet"/>
              <w:rPr>
                <w:lang w:val="en-NZ"/>
              </w:rPr>
            </w:pPr>
            <w:r w:rsidRPr="004B0BFF">
              <w:t>conditions of service, legislation and industrial agreements including workplace agreements and awards</w:t>
            </w:r>
          </w:p>
        </w:tc>
      </w:tr>
      <w:tr w:rsidTr="001B1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4B0BFF" w:rsidP="004B0BFF">
            <w:pPr>
              <w:pStyle w:val="ListBullet"/>
            </w:pPr>
            <w:r w:rsidRPr="004B0BFF">
              <w:t>relevant state/territory codes of practice and safeworking system requirements</w:t>
            </w:r>
          </w:p>
          <w:p w:rsidR="00000000" w:rsidRPr="004B0BFF" w:rsidP="004B0BFF">
            <w:pPr>
              <w:pStyle w:val="ListBullet"/>
            </w:pPr>
            <w:r w:rsidRPr="004B0BFF">
              <w:t>relevant stat</w:t>
            </w:r>
            <w:r w:rsidRPr="004B0BFF">
              <w:t>e/territory OH&amp;S legislation</w:t>
            </w:r>
          </w:p>
          <w:p w:rsidR="00000000" w:rsidRPr="004B0BFF" w:rsidP="004B0BFF">
            <w:pPr>
              <w:pStyle w:val="ListBullet"/>
            </w:pPr>
            <w:r w:rsidRPr="004B0BFF">
              <w:t>relevant state/territory fatigue management regulations</w:t>
            </w:r>
          </w:p>
          <w:p w:rsidR="00000000" w:rsidRPr="004B0BFF" w:rsidP="004B0BFF">
            <w:pPr>
              <w:pStyle w:val="ListBullet"/>
            </w:pPr>
            <w:r w:rsidRPr="004B0BFF">
              <w:t>relevant state/territory environmental protection legislation</w:t>
            </w:r>
          </w:p>
          <w:p w:rsidR="00000000" w:rsidRPr="004B0BFF" w:rsidP="004B0BFF">
            <w:pPr>
              <w:pStyle w:val="ListBullet"/>
            </w:pPr>
            <w:r w:rsidRPr="004B0BFF">
              <w:t>relevant Australian Standards</w:t>
            </w:r>
          </w:p>
        </w:tc>
      </w:tr>
    </w:tbl>
    <w:p w:rsidR="001B1060" w:rsidP="004B0BFF">
      <w:pPr>
        <w:pStyle w:val="BodyText"/>
      </w:pPr>
    </w:p>
    <w:p w:rsidR="001B1060" w:rsidP="004B0BFF">
      <w:pPr>
        <w:pStyle w:val="BodyText"/>
      </w:pPr>
    </w:p>
    <w:p w:rsidR="00000000" w:rsidRPr="004B0BFF" w:rsidP="004B0BFF">
      <w:pPr>
        <w:pStyle w:val="Heading1"/>
      </w:pPr>
      <w:bookmarkStart w:id="12" w:name="O_295726"/>
      <w:bookmarkEnd w:id="12"/>
      <w:r w:rsidRPr="004B0BFF">
        <w:t>Unit Sector(s)</w:t>
      </w:r>
    </w:p>
    <w:p w:rsidR="00000000" w:rsidRPr="004B0BFF" w:rsidP="004B0BFF">
      <w:pPr>
        <w:pStyle w:val="BodyText"/>
      </w:pPr>
      <w:r w:rsidRPr="004B0BFF">
        <w:t>Not Applicable</w:t>
      </w:r>
    </w:p>
    <w:p w:rsidR="00000000" w:rsidRPr="004B0BFF" w:rsidP="004B0BFF">
      <w:pPr>
        <w:pStyle w:val="AllowPageBreak"/>
      </w:pPr>
    </w:p>
    <w:p w:rsidR="00000000" w:rsidRPr="004B0BFF" w:rsidP="004B0BFF">
      <w:pPr>
        <w:pStyle w:val="Heading1"/>
      </w:pPr>
      <w:bookmarkStart w:id="13" w:name="O_223205"/>
      <w:bookmarkEnd w:id="13"/>
      <w:r w:rsidRPr="004B0BFF">
        <w:t>Competency Field</w:t>
      </w:r>
    </w:p>
    <w:tbl>
      <w:tblPr>
        <w:tblW w:w="9640" w:type="dxa"/>
        <w:tblLayout w:type="fixed"/>
        <w:tblCellMar>
          <w:left w:w="62" w:type="dxa"/>
          <w:right w:w="62" w:type="dxa"/>
        </w:tblCellMar>
        <w:tblLook w:val="0000"/>
      </w:tblPr>
      <w:tblGrid>
        <w:gridCol w:w="2978"/>
        <w:gridCol w:w="6662"/>
      </w:tblGrid>
      <w:tr w:rsidTr="001B1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0BFF">
            <w:pPr>
              <w:pStyle w:val="BodyText"/>
              <w:rPr>
                <w:lang w:val="en-NZ"/>
              </w:rPr>
            </w:pPr>
            <w:r w:rsidRPr="004B0BFF">
              <w:rPr>
                <w:rStyle w:val="SpecialBold"/>
              </w:rPr>
              <w:t>Competency Field</w:t>
            </w:r>
            <w:r w:rsidRPr="004B0BFF">
              <w:t xml:space="preserve"> </w:t>
            </w:r>
          </w:p>
        </w:tc>
        <w:tc>
          <w:tcPr>
            <w:tcW w:w="6662" w:type="dxa"/>
            <w:tcBorders>
              <w:top w:val="nil"/>
              <w:left w:val="nil"/>
              <w:bottom w:val="nil"/>
              <w:right w:val="nil"/>
            </w:tcBorders>
            <w:tcMar>
              <w:top w:w="0" w:type="dxa"/>
              <w:left w:w="62" w:type="dxa"/>
              <w:bottom w:w="0" w:type="dxa"/>
              <w:right w:w="62" w:type="dxa"/>
            </w:tcMar>
          </w:tcPr>
          <w:p w:rsidR="00000000" w:rsidRPr="004B0BFF" w:rsidP="004B0BFF">
            <w:pPr>
              <w:pStyle w:val="BodyText"/>
            </w:pPr>
            <w:r w:rsidRPr="004B0BFF">
              <w:t>C - Vehicle Operation</w:t>
            </w:r>
          </w:p>
        </w:tc>
      </w:tr>
    </w:tbl>
    <w:p w:rsidR="001B1060" w:rsidP="004B0BFF">
      <w:pPr>
        <w:pStyle w:val="BodyText"/>
      </w:pPr>
    </w:p>
    <w:p w:rsidR="001B1060" w:rsidP="004B0BFF">
      <w:pPr>
        <w:pStyle w:val="BodyText"/>
      </w:pPr>
    </w:p>
    <w:p w:rsidR="00000000" w:rsidRPr="004B0BFF" w:rsidP="004B0BFF"/>
    <w:sectPr w:rsidSect="004B0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060" w:rsidP="001B1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0" w:rsidP="004B0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1060" w:rsidP="004B0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1060" w:rsidP="004B0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FF" w:rsidRPr="001B1060" w:rsidP="001B10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0" w:rsidP="004B0BFF">
    <w:pPr>
      <w:pStyle w:val="Header"/>
      <w:framePr w:wrap="around"/>
    </w:pPr>
    <w:r>
      <w:fldChar w:fldCharType="begin"/>
    </w:r>
    <w:r>
      <w:instrText xml:space="preserve"> TITLE   \* MERGEFORMAT </w:instrText>
    </w:r>
    <w:r>
      <w:fldChar w:fldCharType="separate"/>
    </w:r>
    <w:r>
      <w:t>TLIC3048A Shunt, couple and uncouple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060" w:rsidP="004B0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4E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00F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AE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BFF"/>
    <w:pPr>
      <w:spacing w:before="360" w:after="60"/>
      <w:outlineLvl w:val="0"/>
    </w:pPr>
    <w:rPr>
      <w:sz w:val="32"/>
    </w:rPr>
  </w:style>
  <w:style w:type="paragraph" w:styleId="Heading2">
    <w:name w:val="heading 2"/>
    <w:basedOn w:val="HeadingBase"/>
    <w:next w:val="BodyText"/>
    <w:link w:val="Heading2Char"/>
    <w:qFormat/>
    <w:rsid w:val="004B0BFF"/>
    <w:pPr>
      <w:keepLines/>
      <w:spacing w:before="240" w:after="120"/>
      <w:outlineLvl w:val="1"/>
    </w:pPr>
    <w:rPr>
      <w:sz w:val="28"/>
      <w:szCs w:val="40"/>
    </w:rPr>
  </w:style>
  <w:style w:type="paragraph" w:styleId="Heading3">
    <w:name w:val="heading 3"/>
    <w:basedOn w:val="HeadingBase"/>
    <w:next w:val="BodyText"/>
    <w:link w:val="Heading3Char"/>
    <w:qFormat/>
    <w:rsid w:val="004B0BFF"/>
    <w:pPr>
      <w:spacing w:before="180" w:after="120"/>
      <w:outlineLvl w:val="2"/>
    </w:pPr>
    <w:rPr>
      <w:spacing w:val="-10"/>
      <w:kern w:val="32"/>
    </w:rPr>
  </w:style>
  <w:style w:type="paragraph" w:styleId="Heading4">
    <w:name w:val="heading 4"/>
    <w:basedOn w:val="HeadingBase"/>
    <w:next w:val="BodyText"/>
    <w:link w:val="Heading4Char"/>
    <w:qFormat/>
    <w:rsid w:val="004B0BFF"/>
    <w:pPr>
      <w:spacing w:before="160" w:after="120"/>
      <w:outlineLvl w:val="3"/>
    </w:pPr>
    <w:rPr>
      <w:sz w:val="22"/>
    </w:rPr>
  </w:style>
  <w:style w:type="paragraph" w:styleId="Heading5">
    <w:name w:val="heading 5"/>
    <w:basedOn w:val="HeadingBase"/>
    <w:next w:val="Normal"/>
    <w:link w:val="Heading5Char"/>
    <w:qFormat/>
    <w:rsid w:val="004B0BFF"/>
    <w:pPr>
      <w:spacing w:before="80"/>
      <w:outlineLvl w:val="4"/>
    </w:pPr>
    <w:rPr>
      <w:color w:val="918585"/>
      <w:sz w:val="20"/>
    </w:rPr>
  </w:style>
  <w:style w:type="paragraph" w:styleId="Heading6">
    <w:name w:val="heading 6"/>
    <w:basedOn w:val="HeadingBase"/>
    <w:next w:val="Normal"/>
    <w:link w:val="Heading6Char"/>
    <w:qFormat/>
    <w:rsid w:val="004B0BFF"/>
    <w:pPr>
      <w:spacing w:before="60"/>
      <w:outlineLvl w:val="5"/>
    </w:pPr>
    <w:rPr>
      <w:color w:val="918585"/>
      <w:sz w:val="20"/>
    </w:rPr>
  </w:style>
  <w:style w:type="paragraph" w:styleId="Heading7">
    <w:name w:val="heading 7"/>
    <w:basedOn w:val="Normal"/>
    <w:next w:val="Normal"/>
    <w:link w:val="Heading7Char"/>
    <w:qFormat/>
    <w:rsid w:val="004B0BFF"/>
    <w:pPr>
      <w:ind w:left="720"/>
      <w:outlineLvl w:val="6"/>
    </w:pPr>
    <w:rPr>
      <w:i/>
    </w:rPr>
  </w:style>
  <w:style w:type="paragraph" w:styleId="Heading8">
    <w:name w:val="heading 8"/>
    <w:basedOn w:val="Normal"/>
    <w:next w:val="Normal"/>
    <w:link w:val="Heading8Char"/>
    <w:qFormat/>
    <w:rsid w:val="004B0BFF"/>
    <w:pPr>
      <w:ind w:left="720"/>
      <w:outlineLvl w:val="7"/>
    </w:pPr>
    <w:rPr>
      <w:i/>
    </w:rPr>
  </w:style>
  <w:style w:type="paragraph" w:styleId="Heading9">
    <w:name w:val="heading 9"/>
    <w:basedOn w:val="Normal"/>
    <w:next w:val="Normal"/>
    <w:link w:val="Heading9Char"/>
    <w:qFormat/>
    <w:rsid w:val="004B0BFF"/>
    <w:pPr>
      <w:ind w:left="720"/>
      <w:outlineLvl w:val="8"/>
    </w:pPr>
    <w:rPr>
      <w:i/>
    </w:rPr>
  </w:style>
  <w:style w:type="character" w:default="1" w:styleId="DefaultParagraphFont">
    <w:name w:val="Default Paragraph Font"/>
    <w:uiPriority w:val="1"/>
    <w:unhideWhenUsed/>
    <w:rsid w:val="004B0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BFF"/>
  </w:style>
  <w:style w:type="character" w:customStyle="1" w:styleId="Heading1Char">
    <w:name w:val="Heading 1 Char"/>
    <w:link w:val="Heading1"/>
    <w:rsid w:val="004B0BFF"/>
    <w:rPr>
      <w:rFonts w:ascii="Times New Roman" w:eastAsia="Times New Roman" w:hAnsi="Times New Roman" w:cs="Times New Roman"/>
      <w:b/>
      <w:sz w:val="32"/>
      <w:szCs w:val="20"/>
      <w:lang w:eastAsia="en-US"/>
    </w:rPr>
  </w:style>
  <w:style w:type="paragraph" w:styleId="BodyText">
    <w:name w:val="Body Text"/>
    <w:basedOn w:val="Normal"/>
    <w:link w:val="BodyTextChar"/>
    <w:rsid w:val="004B0BFF"/>
    <w:pPr>
      <w:spacing w:before="120" w:after="120"/>
      <w:contextualSpacing/>
    </w:pPr>
    <w:rPr>
      <w:rFonts w:ascii="Times New Roman" w:hAnsi="Times New Roman"/>
      <w:sz w:val="24"/>
      <w:szCs w:val="22"/>
    </w:rPr>
  </w:style>
  <w:style w:type="character" w:customStyle="1" w:styleId="BodyTextChar">
    <w:name w:val="Body Text Char"/>
    <w:link w:val="BodyText"/>
    <w:rsid w:val="004B0BFF"/>
    <w:rPr>
      <w:rFonts w:ascii="Times New Roman" w:eastAsia="Times New Roman" w:hAnsi="Times New Roman" w:cs="Times New Roman"/>
      <w:sz w:val="24"/>
      <w:lang w:val="en-US" w:eastAsia="en-US"/>
    </w:rPr>
  </w:style>
  <w:style w:type="paragraph" w:styleId="Footer">
    <w:name w:val="footer"/>
    <w:basedOn w:val="Normal"/>
    <w:link w:val="FooterChar"/>
    <w:rsid w:val="004B0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0BFF"/>
    <w:rPr>
      <w:rFonts w:ascii="Times New Roman" w:eastAsia="Times New Roman" w:hAnsi="Times New Roman" w:cs="Times New Roman"/>
      <w:sz w:val="16"/>
      <w:lang w:val="en-US" w:eastAsia="en-US"/>
    </w:rPr>
  </w:style>
  <w:style w:type="paragraph" w:styleId="List">
    <w:name w:val="List"/>
    <w:basedOn w:val="BodyText"/>
    <w:next w:val="BodyText"/>
    <w:rsid w:val="004B0BFF"/>
    <w:pPr>
      <w:tabs>
        <w:tab w:val="left" w:pos="340"/>
      </w:tabs>
      <w:spacing w:before="60" w:after="60"/>
      <w:ind w:left="340" w:hanging="340"/>
    </w:pPr>
  </w:style>
  <w:style w:type="paragraph" w:styleId="ListBullet">
    <w:name w:val="List Bullet"/>
    <w:basedOn w:val="List"/>
    <w:rsid w:val="004B0BFF"/>
    <w:pPr>
      <w:numPr>
        <w:numId w:val="13"/>
      </w:numPr>
      <w:tabs>
        <w:tab w:val="clear" w:pos="340"/>
      </w:tabs>
      <w:spacing w:before="40" w:after="40"/>
    </w:pPr>
  </w:style>
  <w:style w:type="character" w:customStyle="1" w:styleId="SpecialBold">
    <w:name w:val="Special Bold"/>
    <w:rsid w:val="004B0BFF"/>
    <w:rPr>
      <w:b/>
      <w:spacing w:val="0"/>
    </w:rPr>
  </w:style>
  <w:style w:type="paragraph" w:styleId="ListBullet2">
    <w:name w:val="List Bullet 2"/>
    <w:basedOn w:val="List2"/>
    <w:rsid w:val="004B0BFF"/>
    <w:pPr>
      <w:numPr>
        <w:numId w:val="14"/>
      </w:numPr>
      <w:tabs>
        <w:tab w:val="clear" w:pos="680"/>
      </w:tabs>
    </w:pPr>
  </w:style>
  <w:style w:type="paragraph" w:customStyle="1" w:styleId="SuperHeading">
    <w:name w:val="SuperHeading"/>
    <w:basedOn w:val="Normal"/>
    <w:rsid w:val="004B0BFF"/>
    <w:pPr>
      <w:spacing w:before="240" w:after="120"/>
      <w:outlineLvl w:val="0"/>
    </w:pPr>
    <w:rPr>
      <w:rFonts w:ascii="Times New Roman" w:hAnsi="Times New Roman"/>
      <w:b/>
      <w:sz w:val="28"/>
    </w:rPr>
  </w:style>
  <w:style w:type="paragraph" w:customStyle="1" w:styleId="AllowPageBreak">
    <w:name w:val="AllowPageBreak"/>
    <w:rsid w:val="004B0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0BFF"/>
    <w:rPr>
      <w:rFonts w:ascii="Times New Roman" w:eastAsia="Times New Roman" w:hAnsi="Times New Roman" w:cs="Times New Roman"/>
      <w:b/>
      <w:sz w:val="28"/>
      <w:szCs w:val="40"/>
      <w:lang w:eastAsia="en-US"/>
    </w:rPr>
  </w:style>
  <w:style w:type="character" w:customStyle="1" w:styleId="Heading3Char">
    <w:name w:val="Heading 3 Char"/>
    <w:link w:val="Heading3"/>
    <w:rsid w:val="004B0B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0BFF"/>
    <w:rPr>
      <w:rFonts w:ascii="Times New Roman" w:eastAsia="Times New Roman" w:hAnsi="Times New Roman" w:cs="Times New Roman"/>
      <w:b/>
      <w:szCs w:val="20"/>
      <w:lang w:eastAsia="en-US"/>
    </w:rPr>
  </w:style>
  <w:style w:type="character" w:customStyle="1" w:styleId="Heading5Char">
    <w:name w:val="Heading 5 Char"/>
    <w:link w:val="Heading5"/>
    <w:rsid w:val="004B0B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0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B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B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BFF"/>
    <w:rPr>
      <w:rFonts w:ascii="Courier New" w:eastAsia="Times New Roman" w:hAnsi="Courier New" w:cs="Times New Roman"/>
      <w:i/>
      <w:szCs w:val="20"/>
      <w:lang w:val="en-US" w:eastAsia="en-US"/>
    </w:rPr>
  </w:style>
  <w:style w:type="paragraph" w:customStyle="1" w:styleId="HeadingBase">
    <w:name w:val="Heading Base"/>
    <w:rsid w:val="004B0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BFF"/>
    <w:pPr>
      <w:tabs>
        <w:tab w:val="right" w:leader="dot" w:pos="9072"/>
      </w:tabs>
      <w:ind w:left="567"/>
    </w:pPr>
    <w:rPr>
      <w:szCs w:val="22"/>
    </w:rPr>
  </w:style>
  <w:style w:type="paragraph" w:customStyle="1" w:styleId="TOCBase">
    <w:name w:val="TOC Base"/>
    <w:rsid w:val="004B0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BFF"/>
    <w:pPr>
      <w:tabs>
        <w:tab w:val="right" w:leader="dot" w:pos="9072"/>
      </w:tabs>
      <w:spacing w:before="40" w:after="40"/>
      <w:ind w:left="284"/>
    </w:pPr>
    <w:rPr>
      <w:rFonts w:ascii="Times New Roman" w:hAnsi="Times New Roman"/>
    </w:rPr>
  </w:style>
  <w:style w:type="paragraph" w:styleId="TOC1">
    <w:name w:val="toc 1"/>
    <w:basedOn w:val="TOCBase"/>
    <w:next w:val="Normal"/>
    <w:rsid w:val="004B0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BFF"/>
    <w:pPr>
      <w:spacing w:before="5040"/>
      <w:jc w:val="center"/>
    </w:pPr>
    <w:rPr>
      <w:sz w:val="48"/>
      <w:szCs w:val="72"/>
      <w:lang w:val="en-US"/>
    </w:rPr>
  </w:style>
  <w:style w:type="character" w:customStyle="1" w:styleId="TitleChar">
    <w:name w:val="Title Char"/>
    <w:link w:val="Title"/>
    <w:rsid w:val="004B0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BFF"/>
    <w:pPr>
      <w:tabs>
        <w:tab w:val="left" w:pos="3600"/>
        <w:tab w:val="left" w:pos="3958"/>
      </w:tabs>
    </w:pPr>
  </w:style>
  <w:style w:type="paragraph" w:customStyle="1" w:styleId="Note">
    <w:name w:val="Note"/>
    <w:basedOn w:val="BodyText"/>
    <w:rsid w:val="004B0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BFF"/>
    <w:pPr>
      <w:framePr w:wrap="auto" w:hAnchor="text" w:y="6049"/>
    </w:pPr>
    <w:rPr>
      <w:color w:val="000000"/>
      <w:sz w:val="40"/>
    </w:rPr>
  </w:style>
  <w:style w:type="paragraph" w:customStyle="1" w:styleId="TOCTitle">
    <w:name w:val="TOCTitle"/>
    <w:basedOn w:val="Heading1"/>
    <w:rsid w:val="004B0BFF"/>
    <w:pPr>
      <w:spacing w:after="240"/>
      <w:jc w:val="center"/>
      <w:outlineLvl w:val="9"/>
    </w:pPr>
    <w:rPr>
      <w:caps/>
    </w:rPr>
  </w:style>
  <w:style w:type="paragraph" w:customStyle="1" w:styleId="Version">
    <w:name w:val="Version"/>
    <w:rsid w:val="004B0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BFF"/>
    <w:pPr>
      <w:keepNext w:val="0"/>
      <w:tabs>
        <w:tab w:val="right" w:pos="4176"/>
      </w:tabs>
      <w:ind w:left="198" w:hanging="198"/>
    </w:pPr>
    <w:rPr>
      <w:rFonts w:ascii="Garamond" w:hAnsi="Garamond"/>
    </w:rPr>
  </w:style>
  <w:style w:type="paragraph" w:styleId="IndexHeading">
    <w:name w:val="index heading"/>
    <w:basedOn w:val="Normal"/>
    <w:next w:val="Index1"/>
    <w:semiHidden/>
    <w:rsid w:val="004B0BFF"/>
    <w:pPr>
      <w:spacing w:before="120" w:after="120"/>
    </w:pPr>
    <w:rPr>
      <w:rFonts w:ascii="Arial" w:hAnsi="Arial"/>
      <w:b/>
      <w:color w:val="918585"/>
      <w:sz w:val="24"/>
    </w:rPr>
  </w:style>
  <w:style w:type="paragraph" w:styleId="Header">
    <w:name w:val="header"/>
    <w:basedOn w:val="Normal"/>
    <w:link w:val="HeaderChar"/>
    <w:rsid w:val="004B0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0BFF"/>
    <w:rPr>
      <w:rFonts w:ascii="Times New Roman" w:eastAsia="Times New Roman" w:hAnsi="Times New Roman" w:cs="Times New Roman"/>
      <w:sz w:val="16"/>
      <w:szCs w:val="20"/>
      <w:lang w:val="en-GB" w:eastAsia="en-US"/>
    </w:rPr>
  </w:style>
  <w:style w:type="paragraph" w:customStyle="1" w:styleId="Chapter">
    <w:name w:val="Chapter"/>
    <w:basedOn w:val="Normal"/>
    <w:rsid w:val="004B0BFF"/>
    <w:pPr>
      <w:spacing w:before="240"/>
    </w:pPr>
    <w:rPr>
      <w:rFonts w:ascii="Times New Roman" w:hAnsi="Times New Roman"/>
      <w:smallCaps/>
      <w:spacing w:val="80"/>
      <w:sz w:val="28"/>
    </w:rPr>
  </w:style>
  <w:style w:type="paragraph" w:customStyle="1" w:styleId="InChapter">
    <w:name w:val="InChapter"/>
    <w:basedOn w:val="Heading3"/>
    <w:rsid w:val="004B0BFF"/>
    <w:pPr>
      <w:spacing w:after="240"/>
      <w:outlineLvl w:val="9"/>
    </w:pPr>
    <w:rPr>
      <w:noProof/>
    </w:rPr>
  </w:style>
  <w:style w:type="paragraph" w:styleId="Index2">
    <w:name w:val="index 2"/>
    <w:basedOn w:val="Normal"/>
    <w:next w:val="Normal"/>
    <w:semiHidden/>
    <w:rsid w:val="004B0BFF"/>
    <w:pPr>
      <w:tabs>
        <w:tab w:val="right" w:pos="4176"/>
      </w:tabs>
      <w:ind w:left="568" w:hanging="284"/>
    </w:pPr>
    <w:rPr>
      <w:rFonts w:ascii="Garamond" w:hAnsi="Garamond"/>
    </w:rPr>
  </w:style>
  <w:style w:type="paragraph" w:customStyle="1" w:styleId="Byline">
    <w:name w:val="Byline"/>
    <w:rsid w:val="004B0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BFF"/>
    <w:pPr>
      <w:tabs>
        <w:tab w:val="clear" w:pos="3600"/>
        <w:tab w:val="clear" w:pos="3958"/>
      </w:tabs>
      <w:jc w:val="right"/>
    </w:pPr>
  </w:style>
  <w:style w:type="character" w:styleId="Emphasis">
    <w:name w:val="Emphasis"/>
    <w:qFormat/>
    <w:rsid w:val="004B0BFF"/>
    <w:rPr>
      <w:i/>
    </w:rPr>
  </w:style>
  <w:style w:type="paragraph" w:styleId="Caption">
    <w:name w:val="caption"/>
    <w:basedOn w:val="BodyText"/>
    <w:next w:val="Normal"/>
    <w:qFormat/>
    <w:rsid w:val="004B0BFF"/>
    <w:pPr>
      <w:framePr w:w="2268" w:hSpace="181" w:vSpace="181" w:wrap="around" w:vAnchor="text" w:hAnchor="page" w:x="1135" w:y="285" w:anchorLock="1"/>
    </w:pPr>
    <w:rPr>
      <w:i/>
    </w:rPr>
  </w:style>
  <w:style w:type="paragraph" w:customStyle="1" w:styleId="MiniTOCTitle">
    <w:name w:val="MiniTOCTitle"/>
    <w:basedOn w:val="Heading4"/>
    <w:rsid w:val="004B0BFF"/>
    <w:pPr>
      <w:spacing w:before="240"/>
      <w:outlineLvl w:val="9"/>
    </w:pPr>
    <w:rPr>
      <w:noProof/>
      <w:sz w:val="24"/>
    </w:rPr>
  </w:style>
  <w:style w:type="paragraph" w:customStyle="1" w:styleId="MiniTOCItem">
    <w:name w:val="MiniTOCItem"/>
    <w:basedOn w:val="ListBullet"/>
    <w:rsid w:val="004B0BFF"/>
    <w:pPr>
      <w:numPr>
        <w:numId w:val="0"/>
      </w:numPr>
      <w:tabs>
        <w:tab w:val="right" w:leader="dot" w:pos="6521"/>
      </w:tabs>
      <w:spacing w:before="0" w:after="0"/>
    </w:pPr>
  </w:style>
  <w:style w:type="paragraph" w:customStyle="1" w:styleId="TOFTitle">
    <w:name w:val="TOFTitle"/>
    <w:basedOn w:val="TOCTitle"/>
    <w:rsid w:val="004B0BFF"/>
  </w:style>
  <w:style w:type="paragraph" w:styleId="TableofFigures">
    <w:name w:val="table of figures"/>
    <w:basedOn w:val="Normal"/>
    <w:next w:val="Normal"/>
    <w:semiHidden/>
    <w:rsid w:val="004B0BFF"/>
    <w:pPr>
      <w:tabs>
        <w:tab w:val="right" w:leader="dot" w:pos="9072"/>
      </w:tabs>
      <w:ind w:left="970" w:hanging="403"/>
    </w:pPr>
    <w:rPr>
      <w:rFonts w:ascii="Times New Roman" w:hAnsi="Times New Roman"/>
      <w:b/>
    </w:rPr>
  </w:style>
  <w:style w:type="paragraph" w:styleId="ListNumber">
    <w:name w:val="List Number"/>
    <w:basedOn w:val="List"/>
    <w:rsid w:val="004B0BFF"/>
    <w:pPr>
      <w:numPr>
        <w:numId w:val="11"/>
      </w:numPr>
    </w:pPr>
  </w:style>
  <w:style w:type="character" w:customStyle="1" w:styleId="WingdingSymbols">
    <w:name w:val="Wingding Symbols"/>
    <w:rsid w:val="004B0BFF"/>
    <w:rPr>
      <w:rFonts w:ascii="Wingdings" w:hAnsi="Wingdings"/>
    </w:rPr>
  </w:style>
  <w:style w:type="paragraph" w:customStyle="1" w:styleId="TableHeading">
    <w:name w:val="Table Heading"/>
    <w:basedOn w:val="HeadingBase"/>
    <w:rsid w:val="004B0BFF"/>
    <w:pPr>
      <w:keepLines/>
      <w:pBdr>
        <w:bottom w:val="single" w:sz="6" w:space="1" w:color="918585"/>
      </w:pBdr>
      <w:spacing w:before="240"/>
    </w:pPr>
  </w:style>
  <w:style w:type="character" w:customStyle="1" w:styleId="HotSpot">
    <w:name w:val="HotSpot"/>
    <w:rsid w:val="004B0BFF"/>
    <w:rPr>
      <w:color w:val="0033CC"/>
      <w:u w:val="none"/>
    </w:rPr>
  </w:style>
  <w:style w:type="paragraph" w:customStyle="1" w:styleId="BodyTextRight">
    <w:name w:val="Body Text Right"/>
    <w:basedOn w:val="BodyText"/>
    <w:rsid w:val="004B0BFF"/>
    <w:pPr>
      <w:spacing w:before="0" w:after="0"/>
      <w:jc w:val="right"/>
    </w:pPr>
  </w:style>
  <w:style w:type="paragraph" w:styleId="Index3">
    <w:name w:val="index 3"/>
    <w:basedOn w:val="ListNumber2"/>
    <w:next w:val="Normal"/>
    <w:semiHidden/>
    <w:rsid w:val="004B0BFF"/>
    <w:pPr>
      <w:numPr>
        <w:numId w:val="0"/>
      </w:numPr>
      <w:tabs>
        <w:tab w:val="right" w:leader="dot" w:pos="4176"/>
      </w:tabs>
    </w:pPr>
  </w:style>
  <w:style w:type="paragraph" w:styleId="ListNumber2">
    <w:name w:val="List Number 2"/>
    <w:basedOn w:val="List2"/>
    <w:rsid w:val="004B0BFF"/>
    <w:pPr>
      <w:numPr>
        <w:numId w:val="10"/>
      </w:numPr>
      <w:tabs>
        <w:tab w:val="clear" w:pos="1060"/>
      </w:tabs>
    </w:pPr>
  </w:style>
  <w:style w:type="paragraph" w:customStyle="1" w:styleId="MarginNote">
    <w:name w:val="Margin Note"/>
    <w:basedOn w:val="BodyText"/>
    <w:rsid w:val="004B0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0B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BFF"/>
    <w:rPr>
      <w:sz w:val="32"/>
    </w:rPr>
  </w:style>
  <w:style w:type="paragraph" w:customStyle="1" w:styleId="HeadingProcedure">
    <w:name w:val="Heading Procedure"/>
    <w:basedOn w:val="HeadingBase"/>
    <w:next w:val="Normal"/>
    <w:rsid w:val="004B0BFF"/>
    <w:pPr>
      <w:tabs>
        <w:tab w:val="left" w:pos="0"/>
      </w:tabs>
      <w:spacing w:before="120" w:after="60"/>
    </w:pPr>
    <w:rPr>
      <w:i/>
      <w:color w:val="918585"/>
      <w:sz w:val="22"/>
    </w:rPr>
  </w:style>
  <w:style w:type="paragraph" w:customStyle="1" w:styleId="TableBodyText">
    <w:name w:val="Table Body Text"/>
    <w:basedOn w:val="BodyText"/>
    <w:rsid w:val="004B0BFF"/>
    <w:pPr>
      <w:spacing w:before="60" w:after="60"/>
    </w:pPr>
  </w:style>
  <w:style w:type="paragraph" w:styleId="ListContinue">
    <w:name w:val="List Continue"/>
    <w:basedOn w:val="List"/>
    <w:rsid w:val="004B0BFF"/>
    <w:pPr>
      <w:ind w:firstLine="0"/>
    </w:pPr>
  </w:style>
  <w:style w:type="paragraph" w:customStyle="1" w:styleId="ListNote">
    <w:name w:val="List Note"/>
    <w:basedOn w:val="List"/>
    <w:rsid w:val="004B0BFF"/>
    <w:pPr>
      <w:pBdr>
        <w:top w:val="single" w:sz="6" w:space="2" w:color="918585"/>
        <w:bottom w:val="single" w:sz="6" w:space="2" w:color="918585"/>
      </w:pBdr>
      <w:tabs>
        <w:tab w:val="left" w:pos="1021"/>
      </w:tabs>
      <w:ind w:firstLine="0"/>
    </w:pPr>
  </w:style>
  <w:style w:type="paragraph" w:customStyle="1" w:styleId="Warning">
    <w:name w:val="Warning"/>
    <w:basedOn w:val="BodyText"/>
    <w:rsid w:val="004B0BFF"/>
    <w:pPr>
      <w:shd w:val="clear" w:color="auto" w:fill="D9D9D9"/>
      <w:tabs>
        <w:tab w:val="left" w:pos="992"/>
      </w:tabs>
      <w:ind w:left="119" w:right="119"/>
    </w:pPr>
    <w:rPr>
      <w:sz w:val="20"/>
    </w:rPr>
  </w:style>
  <w:style w:type="paragraph" w:customStyle="1" w:styleId="MarginIcons">
    <w:name w:val="Margin Icons"/>
    <w:basedOn w:val="BodyText"/>
    <w:rsid w:val="004B0B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0BFF"/>
    <w:rPr>
      <w:rFonts w:ascii="Courier New" w:hAnsi="Courier New"/>
    </w:rPr>
  </w:style>
  <w:style w:type="paragraph" w:customStyle="1" w:styleId="NoteBullet">
    <w:name w:val="Note Bullet"/>
    <w:basedOn w:val="Note"/>
    <w:rsid w:val="004B0BFF"/>
    <w:pPr>
      <w:tabs>
        <w:tab w:val="clear" w:pos="680"/>
      </w:tabs>
      <w:spacing w:before="60" w:after="60"/>
    </w:pPr>
  </w:style>
  <w:style w:type="paragraph" w:customStyle="1" w:styleId="SubHeading2">
    <w:name w:val="SubHeading2"/>
    <w:basedOn w:val="HeadingBase"/>
    <w:rsid w:val="004B0BFF"/>
    <w:pPr>
      <w:spacing w:before="240" w:after="60"/>
    </w:pPr>
    <w:rPr>
      <w:sz w:val="20"/>
    </w:rPr>
  </w:style>
  <w:style w:type="paragraph" w:customStyle="1" w:styleId="SubHeading1">
    <w:name w:val="SubHeading1"/>
    <w:basedOn w:val="HeadingBase"/>
    <w:rsid w:val="004B0BFF"/>
    <w:pPr>
      <w:spacing w:before="240" w:after="60"/>
    </w:pPr>
    <w:rPr>
      <w:color w:val="918585"/>
      <w:sz w:val="22"/>
    </w:rPr>
  </w:style>
  <w:style w:type="paragraph" w:customStyle="1" w:styleId="SideHeading">
    <w:name w:val="Side Heading"/>
    <w:basedOn w:val="HeadingBase"/>
    <w:rsid w:val="004B0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BFF"/>
    <w:pPr>
      <w:numPr>
        <w:numId w:val="12"/>
      </w:numPr>
    </w:pPr>
  </w:style>
  <w:style w:type="paragraph" w:styleId="PlainText">
    <w:name w:val="Plain Text"/>
    <w:basedOn w:val="Normal"/>
    <w:link w:val="PlainTextChar"/>
    <w:rsid w:val="004B0BFF"/>
    <w:rPr>
      <w:sz w:val="20"/>
    </w:rPr>
  </w:style>
  <w:style w:type="character" w:customStyle="1" w:styleId="PlainTextChar">
    <w:name w:val="Plain Text Char"/>
    <w:basedOn w:val="DefaultParagraphFont"/>
    <w:link w:val="PlainText"/>
    <w:rsid w:val="004B0BFF"/>
    <w:rPr>
      <w:rFonts w:ascii="Courier New" w:eastAsia="Times New Roman" w:hAnsi="Courier New" w:cs="Times New Roman"/>
      <w:sz w:val="20"/>
      <w:szCs w:val="20"/>
      <w:lang w:val="en-US" w:eastAsia="en-US"/>
    </w:rPr>
  </w:style>
  <w:style w:type="character" w:customStyle="1" w:styleId="MenuOption">
    <w:name w:val="Menu Option"/>
    <w:rsid w:val="004B0BFF"/>
    <w:rPr>
      <w:b/>
      <w:smallCaps/>
    </w:rPr>
  </w:style>
  <w:style w:type="paragraph" w:customStyle="1" w:styleId="TableListNumber">
    <w:name w:val="Table List Number"/>
    <w:basedOn w:val="ListNumber"/>
    <w:rsid w:val="004B0BFF"/>
    <w:pPr>
      <w:numPr>
        <w:numId w:val="0"/>
      </w:numPr>
    </w:pPr>
  </w:style>
  <w:style w:type="paragraph" w:styleId="TOC4">
    <w:name w:val="toc 4"/>
    <w:basedOn w:val="TOCBase"/>
    <w:next w:val="Normal"/>
    <w:semiHidden/>
    <w:rsid w:val="004B0BFF"/>
    <w:pPr>
      <w:tabs>
        <w:tab w:val="right" w:leader="dot" w:pos="9071"/>
      </w:tabs>
      <w:ind w:left="1701"/>
    </w:pPr>
  </w:style>
  <w:style w:type="paragraph" w:customStyle="1" w:styleId="ListAlpha">
    <w:name w:val="List Alpha"/>
    <w:basedOn w:val="List"/>
    <w:rsid w:val="004B0BFF"/>
    <w:pPr>
      <w:numPr>
        <w:numId w:val="9"/>
      </w:numPr>
    </w:pPr>
  </w:style>
  <w:style w:type="paragraph" w:customStyle="1" w:styleId="ListAlpha2">
    <w:name w:val="List Alpha 2"/>
    <w:basedOn w:val="List2"/>
    <w:rsid w:val="004B0BFF"/>
    <w:pPr>
      <w:numPr>
        <w:numId w:val="8"/>
      </w:numPr>
    </w:pPr>
  </w:style>
  <w:style w:type="paragraph" w:styleId="List2">
    <w:name w:val="List 2"/>
    <w:basedOn w:val="BodyText"/>
    <w:rsid w:val="004B0BFF"/>
    <w:pPr>
      <w:tabs>
        <w:tab w:val="left" w:pos="680"/>
      </w:tabs>
      <w:spacing w:before="60" w:after="60"/>
      <w:ind w:left="680" w:hanging="340"/>
    </w:pPr>
  </w:style>
  <w:style w:type="paragraph" w:styleId="List3">
    <w:name w:val="List 3"/>
    <w:basedOn w:val="BodyText"/>
    <w:rsid w:val="004B0BFF"/>
    <w:pPr>
      <w:tabs>
        <w:tab w:val="left" w:pos="1021"/>
      </w:tabs>
      <w:spacing w:before="60" w:after="60"/>
      <w:ind w:left="1020" w:hanging="340"/>
    </w:pPr>
  </w:style>
  <w:style w:type="paragraph" w:styleId="List4">
    <w:name w:val="List 4"/>
    <w:basedOn w:val="BodyText"/>
    <w:rsid w:val="004B0BFF"/>
    <w:pPr>
      <w:tabs>
        <w:tab w:val="left" w:pos="1361"/>
      </w:tabs>
      <w:spacing w:before="60" w:after="60"/>
      <w:ind w:left="1361" w:hanging="340"/>
    </w:pPr>
  </w:style>
  <w:style w:type="paragraph" w:styleId="List5">
    <w:name w:val="List 5"/>
    <w:basedOn w:val="BodyText"/>
    <w:rsid w:val="004B0BFF"/>
    <w:pPr>
      <w:tabs>
        <w:tab w:val="left" w:pos="1701"/>
      </w:tabs>
      <w:spacing w:before="60" w:after="60"/>
      <w:ind w:left="1701" w:hanging="340"/>
    </w:pPr>
  </w:style>
  <w:style w:type="paragraph" w:styleId="ListBullet3">
    <w:name w:val="List Bullet 3"/>
    <w:basedOn w:val="List3"/>
    <w:rsid w:val="004B0BFF"/>
    <w:pPr>
      <w:numPr>
        <w:numId w:val="15"/>
      </w:numPr>
      <w:tabs>
        <w:tab w:val="clear" w:pos="1021"/>
      </w:tabs>
      <w:ind w:left="1037" w:hanging="357"/>
    </w:pPr>
  </w:style>
  <w:style w:type="paragraph" w:styleId="ListBullet4">
    <w:name w:val="List Bullet 4"/>
    <w:basedOn w:val="List4"/>
    <w:rsid w:val="004B0BFF"/>
    <w:pPr>
      <w:numPr>
        <w:numId w:val="3"/>
      </w:numPr>
    </w:pPr>
  </w:style>
  <w:style w:type="paragraph" w:styleId="ListBullet5">
    <w:name w:val="List Bullet 5"/>
    <w:basedOn w:val="List5"/>
    <w:rsid w:val="004B0BFF"/>
    <w:pPr>
      <w:numPr>
        <w:numId w:val="4"/>
      </w:numPr>
    </w:pPr>
  </w:style>
  <w:style w:type="paragraph" w:styleId="ListContinue2">
    <w:name w:val="List Continue 2"/>
    <w:basedOn w:val="List2"/>
    <w:rsid w:val="004B0BFF"/>
    <w:pPr>
      <w:ind w:firstLine="0"/>
    </w:pPr>
  </w:style>
  <w:style w:type="paragraph" w:styleId="ListContinue3">
    <w:name w:val="List Continue 3"/>
    <w:basedOn w:val="List3"/>
    <w:rsid w:val="004B0BFF"/>
    <w:pPr>
      <w:ind w:left="1021" w:firstLine="0"/>
    </w:pPr>
  </w:style>
  <w:style w:type="paragraph" w:styleId="ListContinue4">
    <w:name w:val="List Continue 4"/>
    <w:basedOn w:val="List4"/>
    <w:rsid w:val="004B0BFF"/>
    <w:pPr>
      <w:ind w:firstLine="0"/>
    </w:pPr>
  </w:style>
  <w:style w:type="paragraph" w:styleId="ListContinue5">
    <w:name w:val="List Continue 5"/>
    <w:basedOn w:val="List5"/>
    <w:rsid w:val="004B0BFF"/>
    <w:pPr>
      <w:ind w:firstLine="0"/>
    </w:pPr>
  </w:style>
  <w:style w:type="paragraph" w:styleId="ListNumber3">
    <w:name w:val="List Number 3"/>
    <w:basedOn w:val="List3"/>
    <w:rsid w:val="004B0BFF"/>
    <w:pPr>
      <w:numPr>
        <w:numId w:val="5"/>
      </w:numPr>
    </w:pPr>
  </w:style>
  <w:style w:type="paragraph" w:styleId="ListNumber4">
    <w:name w:val="List Number 4"/>
    <w:basedOn w:val="List4"/>
    <w:rsid w:val="004B0BFF"/>
    <w:pPr>
      <w:numPr>
        <w:numId w:val="6"/>
      </w:numPr>
    </w:pPr>
  </w:style>
  <w:style w:type="paragraph" w:styleId="ListNumber5">
    <w:name w:val="List Number 5"/>
    <w:basedOn w:val="List5"/>
    <w:rsid w:val="004B0BFF"/>
    <w:pPr>
      <w:numPr>
        <w:numId w:val="7"/>
      </w:numPr>
    </w:pPr>
  </w:style>
  <w:style w:type="paragraph" w:styleId="BlockText">
    <w:name w:val="Block Text"/>
    <w:basedOn w:val="Normal"/>
    <w:rsid w:val="004B0BFF"/>
    <w:pPr>
      <w:spacing w:after="120"/>
      <w:ind w:left="1440" w:right="1440"/>
    </w:pPr>
  </w:style>
  <w:style w:type="character" w:customStyle="1" w:styleId="Subscript">
    <w:name w:val="Subscript"/>
    <w:rsid w:val="004B0BFF"/>
    <w:rPr>
      <w:sz w:val="16"/>
      <w:vertAlign w:val="subscript"/>
    </w:rPr>
  </w:style>
  <w:style w:type="character" w:customStyle="1" w:styleId="Superscript">
    <w:name w:val="Superscript"/>
    <w:rsid w:val="004B0BFF"/>
    <w:rPr>
      <w:sz w:val="16"/>
      <w:vertAlign w:val="superscript"/>
    </w:rPr>
  </w:style>
  <w:style w:type="character" w:customStyle="1" w:styleId="Symbols">
    <w:name w:val="Symbols"/>
    <w:rsid w:val="004B0BFF"/>
    <w:rPr>
      <w:rFonts w:ascii="Symbol" w:hAnsi="Symbol"/>
    </w:rPr>
  </w:style>
  <w:style w:type="character" w:customStyle="1" w:styleId="MenuOptions">
    <w:name w:val="Menu Options"/>
    <w:rsid w:val="004B0BFF"/>
    <w:rPr>
      <w:rFonts w:ascii="Arial Narrow" w:hAnsi="Arial Narrow"/>
      <w:smallCaps/>
    </w:rPr>
  </w:style>
  <w:style w:type="character" w:customStyle="1" w:styleId="Buttons">
    <w:name w:val="Buttons"/>
    <w:rsid w:val="004B0BFF"/>
    <w:rPr>
      <w:b/>
    </w:rPr>
  </w:style>
  <w:style w:type="character" w:customStyle="1" w:styleId="Underlined">
    <w:name w:val="Underlined"/>
    <w:rsid w:val="004B0BFF"/>
    <w:rPr>
      <w:u w:val="single"/>
    </w:rPr>
  </w:style>
  <w:style w:type="paragraph" w:customStyle="1" w:styleId="TableBodyTextRight">
    <w:name w:val="Table Body Text Right"/>
    <w:basedOn w:val="TableBodyText"/>
    <w:rsid w:val="004B0BFF"/>
    <w:pPr>
      <w:widowControl w:val="0"/>
      <w:autoSpaceDE w:val="0"/>
      <w:autoSpaceDN w:val="0"/>
      <w:adjustRightInd w:val="0"/>
      <w:jc w:val="right"/>
    </w:pPr>
    <w:rPr>
      <w:rFonts w:cs="Arial"/>
      <w:szCs w:val="18"/>
    </w:rPr>
  </w:style>
  <w:style w:type="paragraph" w:customStyle="1" w:styleId="CopyrightText">
    <w:name w:val="Copyright Text"/>
    <w:basedOn w:val="BodyText"/>
    <w:rsid w:val="004B0BFF"/>
    <w:rPr>
      <w:sz w:val="18"/>
    </w:rPr>
  </w:style>
  <w:style w:type="paragraph" w:customStyle="1" w:styleId="BodySmallRight">
    <w:name w:val="Body Small Right"/>
    <w:basedOn w:val="BodyTextRight"/>
    <w:rsid w:val="004B0BFF"/>
    <w:rPr>
      <w:sz w:val="18"/>
      <w:szCs w:val="18"/>
    </w:rPr>
  </w:style>
  <w:style w:type="paragraph" w:customStyle="1" w:styleId="MarginEdition">
    <w:name w:val="Margin Edition"/>
    <w:basedOn w:val="MarginNote"/>
    <w:rsid w:val="004B0BFF"/>
    <w:pPr>
      <w:spacing w:before="0" w:after="0"/>
    </w:pPr>
    <w:rPr>
      <w:rFonts w:ascii="Times New Roman" w:hAnsi="Times New Roman"/>
      <w:color w:val="999999"/>
    </w:rPr>
  </w:style>
  <w:style w:type="paragraph" w:customStyle="1" w:styleId="Spacer">
    <w:name w:val="Spacer"/>
    <w:basedOn w:val="Normal"/>
    <w:rsid w:val="004B0BFF"/>
    <w:rPr>
      <w:sz w:val="2"/>
      <w:szCs w:val="2"/>
    </w:rPr>
  </w:style>
  <w:style w:type="character" w:customStyle="1" w:styleId="Small">
    <w:name w:val="Small"/>
    <w:rsid w:val="004B0BFF"/>
    <w:rPr>
      <w:sz w:val="16"/>
    </w:rPr>
  </w:style>
  <w:style w:type="paragraph" w:customStyle="1" w:styleId="WideTable">
    <w:name w:val="Wide Table"/>
    <w:basedOn w:val="Normal"/>
    <w:rsid w:val="004B0BFF"/>
    <w:pPr>
      <w:ind w:left="-1418"/>
    </w:pPr>
    <w:rPr>
      <w:sz w:val="2"/>
      <w:szCs w:val="2"/>
    </w:rPr>
  </w:style>
  <w:style w:type="character" w:styleId="PageNumber">
    <w:name w:val="page number"/>
    <w:rsid w:val="004B0BFF"/>
  </w:style>
  <w:style w:type="paragraph" w:styleId="Quote">
    <w:name w:val="Quote"/>
    <w:basedOn w:val="Heading1"/>
    <w:link w:val="QuoteChar"/>
    <w:qFormat/>
    <w:rsid w:val="004B0BFF"/>
    <w:rPr>
      <w:b w:val="0"/>
      <w:sz w:val="72"/>
      <w:szCs w:val="72"/>
      <w:lang w:val="en-NZ"/>
    </w:rPr>
  </w:style>
  <w:style w:type="character" w:customStyle="1" w:styleId="QuoteChar">
    <w:name w:val="Quote Char"/>
    <w:link w:val="Quote"/>
    <w:rsid w:val="004B0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BFF"/>
    <w:pPr>
      <w:pageBreakBefore/>
    </w:pPr>
  </w:style>
  <w:style w:type="paragraph" w:customStyle="1" w:styleId="Border">
    <w:name w:val="Border"/>
    <w:basedOn w:val="Normal"/>
    <w:qFormat/>
    <w:rsid w:val="004B0BFF"/>
    <w:pPr>
      <w:pBdr>
        <w:top w:val="single" w:sz="18" w:space="1" w:color="auto"/>
      </w:pBdr>
    </w:pPr>
    <w:rPr>
      <w:rFonts w:ascii="Times New Roman" w:hAnsi="Times New Roman"/>
      <w:color w:val="FFFFFF"/>
      <w:sz w:val="2"/>
    </w:rPr>
  </w:style>
  <w:style w:type="character" w:styleId="IntenseEmphasis">
    <w:name w:val="Intense Emphasis"/>
    <w:uiPriority w:val="21"/>
    <w:qFormat/>
    <w:rsid w:val="004B0BFF"/>
    <w:rPr>
      <w:b/>
      <w:bCs/>
      <w:i/>
      <w:iCs/>
      <w:color w:val="auto"/>
    </w:rPr>
  </w:style>
  <w:style w:type="paragraph" w:styleId="IntenseQuote">
    <w:name w:val="Intense Quote"/>
    <w:basedOn w:val="Normal"/>
    <w:next w:val="Normal"/>
    <w:link w:val="IntenseQuoteChar"/>
    <w:uiPriority w:val="30"/>
    <w:qFormat/>
    <w:rsid w:val="004B0B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0BFF"/>
    <w:rPr>
      <w:rFonts w:ascii="Courier New" w:eastAsia="Times New Roman" w:hAnsi="Courier New" w:cs="Times New Roman"/>
      <w:b/>
      <w:bCs/>
      <w:i/>
      <w:iCs/>
      <w:szCs w:val="20"/>
      <w:lang w:val="en-US" w:eastAsia="en-US"/>
    </w:rPr>
  </w:style>
  <w:style w:type="character" w:styleId="SubtleReference">
    <w:name w:val="Subtle Reference"/>
    <w:uiPriority w:val="31"/>
    <w:qFormat/>
    <w:rsid w:val="004B0BFF"/>
    <w:rPr>
      <w:smallCaps/>
      <w:color w:val="auto"/>
      <w:u w:val="single"/>
    </w:rPr>
  </w:style>
  <w:style w:type="character" w:styleId="IntenseReference">
    <w:name w:val="Intense Reference"/>
    <w:uiPriority w:val="32"/>
    <w:qFormat/>
    <w:rsid w:val="004B0BFF"/>
    <w:rPr>
      <w:b/>
      <w:bCs/>
      <w:smallCaps/>
      <w:color w:val="auto"/>
      <w:spacing w:val="5"/>
      <w:u w:val="single"/>
    </w:rPr>
  </w:style>
  <w:style w:type="paragraph" w:customStyle="1" w:styleId="2ColumnHeading">
    <w:name w:val="2Column Heading"/>
    <w:basedOn w:val="BodyText"/>
    <w:qFormat/>
    <w:rsid w:val="004B0BFF"/>
    <w:pPr>
      <w:spacing w:after="60"/>
      <w:ind w:left="-2268"/>
    </w:pPr>
    <w:rPr>
      <w:b/>
    </w:rPr>
  </w:style>
  <w:style w:type="paragraph" w:customStyle="1" w:styleId="Heading1TOC">
    <w:name w:val="Heading1 TOC"/>
    <w:basedOn w:val="Normal"/>
    <w:qFormat/>
    <w:rsid w:val="004B0BFF"/>
    <w:pPr>
      <w:spacing w:before="240" w:after="120"/>
    </w:pPr>
    <w:rPr>
      <w:rFonts w:ascii="Times New Roman" w:hAnsi="Times New Roman"/>
      <w:b/>
      <w:sz w:val="32"/>
    </w:rPr>
  </w:style>
  <w:style w:type="paragraph" w:customStyle="1" w:styleId="Heading2TOC">
    <w:name w:val="Heading2 TOC"/>
    <w:basedOn w:val="Normal"/>
    <w:qFormat/>
    <w:rsid w:val="004B0BFF"/>
    <w:pPr>
      <w:spacing w:before="240" w:after="60"/>
    </w:pPr>
    <w:rPr>
      <w:rFonts w:ascii="Times New Roman" w:hAnsi="Times New Roman"/>
      <w:b/>
      <w:sz w:val="28"/>
    </w:rPr>
  </w:style>
  <w:style w:type="character" w:customStyle="1" w:styleId="Underline">
    <w:name w:val="Underline"/>
    <w:qFormat/>
    <w:rsid w:val="004B0BFF"/>
    <w:rPr>
      <w:u w:val="single"/>
    </w:rPr>
  </w:style>
  <w:style w:type="character" w:customStyle="1" w:styleId="BoldandItalics">
    <w:name w:val="Bold and Italics"/>
    <w:qFormat/>
    <w:rsid w:val="004B0BFF"/>
    <w:rPr>
      <w:b/>
      <w:i/>
      <w:u w:val="none"/>
    </w:rPr>
  </w:style>
  <w:style w:type="paragraph" w:styleId="BalloonText">
    <w:name w:val="Balloon Text"/>
    <w:basedOn w:val="Normal"/>
    <w:link w:val="BalloonTextChar"/>
    <w:rsid w:val="004B0BFF"/>
    <w:rPr>
      <w:rFonts w:ascii="Tahoma" w:hAnsi="Tahoma" w:cs="Tahoma"/>
      <w:sz w:val="16"/>
      <w:szCs w:val="16"/>
    </w:rPr>
  </w:style>
  <w:style w:type="character" w:customStyle="1" w:styleId="BalloonTextChar">
    <w:name w:val="Balloon Text Char"/>
    <w:link w:val="BalloonText"/>
    <w:rsid w:val="004B0B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B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0B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9352</Characters>
  <Application>Microsoft Office Word</Application>
  <DocSecurity>0</DocSecurity>
  <Lines>292</Lines>
  <Paragraphs>176</Paragraphs>
  <ScaleCrop>false</ScaleCrop>
  <Company>Author-it Software Corporation Ltd.</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TLIC3048A Shunt, couple and uncouple electric passenger trains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