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5536" w:rsidP="008D5536">
      <w:pPr>
        <w:pStyle w:val="Title"/>
      </w:pPr>
      <w:r>
        <w:fldChar w:fldCharType="begin"/>
      </w:r>
      <w:r>
        <w:instrText xml:space="preserve"> TITLE   \* MERGEFORMAT </w:instrText>
      </w:r>
      <w:r>
        <w:fldChar w:fldCharType="separate"/>
      </w:r>
      <w:r>
        <w:t>TLIC3029A Stable a heritage motive power unit</w:t>
      </w:r>
      <w:r>
        <w:fldChar w:fldCharType="end"/>
      </w:r>
    </w:p>
    <w:p w:rsidR="008D5536" w:rsidP="008D5536">
      <w:pPr>
        <w:pStyle w:val="Version"/>
        <w:sectPr w:rsidSect="00597A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7AB4" w:rsidP="00597AB4">
      <w:pPr>
        <w:pStyle w:val="SuperHeading"/>
      </w:pPr>
      <w:r w:rsidRPr="00597AB4">
        <w:t>TLIC3029A Stable a heritage motive power unit</w:t>
      </w:r>
    </w:p>
    <w:p w:rsidR="00000000" w:rsidRPr="00597AB4" w:rsidP="00597AB4">
      <w:pPr>
        <w:pStyle w:val="Heading1"/>
      </w:pPr>
      <w:bookmarkStart w:id="1" w:name="O_274016"/>
      <w:bookmarkEnd w:id="1"/>
      <w:r w:rsidRPr="00597AB4">
        <w:t>Modification History</w:t>
      </w:r>
    </w:p>
    <w:p w:rsidR="00000000" w:rsidRPr="00597AB4" w:rsidP="00597AB4">
      <w:pPr>
        <w:pStyle w:val="BodyText"/>
      </w:pPr>
      <w:r w:rsidRPr="00597AB4">
        <w:t>Not Applicable</w:t>
      </w:r>
    </w:p>
    <w:p w:rsidR="00000000" w:rsidRPr="00597AB4" w:rsidP="00597AB4">
      <w:pPr>
        <w:pStyle w:val="AllowPageBreak"/>
      </w:pPr>
    </w:p>
    <w:p w:rsidR="00000000" w:rsidRPr="00597AB4" w:rsidP="00597AB4">
      <w:pPr>
        <w:pStyle w:val="Heading1"/>
      </w:pPr>
      <w:bookmarkStart w:id="2" w:name="O_223138"/>
      <w:bookmarkEnd w:id="2"/>
      <w:r w:rsidRPr="00597AB4">
        <w:t>Unit Descriptor</w:t>
      </w:r>
    </w:p>
    <w:tbl>
      <w:tblPr>
        <w:tblW w:w="9640" w:type="dxa"/>
        <w:tblLayout w:type="fixed"/>
        <w:tblCellMar>
          <w:left w:w="62" w:type="dxa"/>
          <w:right w:w="62" w:type="dxa"/>
        </w:tblCellMar>
        <w:tblLook w:val="0000"/>
      </w:tblPr>
      <w:tblGrid>
        <w:gridCol w:w="2978"/>
        <w:gridCol w:w="6662"/>
      </w:tblGrid>
      <w:tr w:rsidTr="008D553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97AB4">
            <w:pPr>
              <w:pStyle w:val="BodyText"/>
              <w:rPr>
                <w:lang w:val="en-NZ"/>
              </w:rPr>
            </w:pPr>
            <w:r w:rsidRPr="00597AB4">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597AB4" w:rsidP="00597AB4">
            <w:pPr>
              <w:pStyle w:val="BodyText"/>
            </w:pPr>
            <w:r w:rsidRPr="00597AB4">
              <w:t>This unit involves the skills and knowledge required to stable a motive power unit in accord</w:t>
            </w:r>
            <w:r w:rsidRPr="00597AB4">
              <w:t>ance with relevant workplace practices, rail regulations and codes of practice. It includes determining the required stabling location, shunting and securing the train, stabling and securing the motive power unit, carrying out all required post-operational</w:t>
            </w:r>
            <w:r w:rsidRPr="00597AB4">
              <w:t xml:space="preserve"> checks and completing post-operational paperwork. Licensing, legislative, regulatory or certification requirements are applicable to this unit.</w:t>
            </w:r>
          </w:p>
        </w:tc>
      </w:tr>
    </w:tbl>
    <w:p w:rsidR="008D5536" w:rsidP="00597AB4">
      <w:pPr>
        <w:pStyle w:val="BodyText"/>
      </w:pPr>
    </w:p>
    <w:p w:rsidR="008D5536" w:rsidP="00597AB4">
      <w:pPr>
        <w:pStyle w:val="BodyText"/>
      </w:pPr>
    </w:p>
    <w:p w:rsidR="00000000" w:rsidRPr="00597AB4" w:rsidP="00597AB4">
      <w:pPr>
        <w:pStyle w:val="Heading1"/>
      </w:pPr>
      <w:bookmarkStart w:id="3" w:name="O_223140"/>
      <w:bookmarkEnd w:id="3"/>
      <w:r w:rsidRPr="00597AB4">
        <w:t>Application of the Unit</w:t>
      </w:r>
    </w:p>
    <w:tbl>
      <w:tblPr>
        <w:tblW w:w="9640" w:type="dxa"/>
        <w:tblLayout w:type="fixed"/>
        <w:tblCellMar>
          <w:left w:w="62" w:type="dxa"/>
          <w:right w:w="62" w:type="dxa"/>
        </w:tblCellMar>
        <w:tblLook w:val="0000"/>
      </w:tblPr>
      <w:tblGrid>
        <w:gridCol w:w="2978"/>
        <w:gridCol w:w="6662"/>
      </w:tblGrid>
      <w:tr w:rsidTr="008D553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97AB4">
            <w:pPr>
              <w:pStyle w:val="BodyText"/>
              <w:rPr>
                <w:lang w:val="en-NZ"/>
              </w:rPr>
            </w:pPr>
            <w:r w:rsidRPr="00597AB4">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597AB4" w:rsidP="00597AB4">
            <w:pPr>
              <w:pStyle w:val="BodyText"/>
            </w:pPr>
            <w:r w:rsidRPr="00597AB4">
              <w:t>Persons achieving competence in this unit will need to fulfil the applicable legislated rail safety requirements including acts and regulations from each state and territory together with any nationally approved compliance codes and/or guidelines and local</w:t>
            </w:r>
            <w:r w:rsidRPr="00597AB4">
              <w:t xml:space="preserve"> rail regulations and codes of practice as they apply to the operation of heritage railway systems.</w:t>
            </w:r>
          </w:p>
          <w:p w:rsidR="00000000" w:rsidRPr="00597AB4" w:rsidP="00597AB4">
            <w:pPr>
              <w:pStyle w:val="BodyText"/>
            </w:pPr>
            <w:r w:rsidRPr="00597AB4">
              <w:t>Work is performed under some supervision, generally within a team environment.</w:t>
            </w:r>
          </w:p>
          <w:p w:rsidR="00000000" w:rsidRPr="00597AB4" w:rsidP="00597AB4">
            <w:pPr>
              <w:pStyle w:val="BodyText"/>
            </w:pPr>
            <w:r w:rsidRPr="00597AB4">
              <w:t xml:space="preserve">It involves the application of routine operational principles and procedures </w:t>
            </w:r>
            <w:r w:rsidRPr="00597AB4">
              <w:t>to the stabling and securing of a motive power unit across a variety of operational contexts in the Australian heritage rail system.</w:t>
            </w:r>
          </w:p>
        </w:tc>
      </w:tr>
    </w:tbl>
    <w:p w:rsidR="008D5536" w:rsidP="00597AB4">
      <w:pPr>
        <w:pStyle w:val="BodyText"/>
      </w:pPr>
    </w:p>
    <w:p w:rsidR="008D5536" w:rsidP="00597AB4">
      <w:pPr>
        <w:pStyle w:val="BodyText"/>
      </w:pPr>
    </w:p>
    <w:p w:rsidR="00000000" w:rsidRPr="00597AB4" w:rsidP="00597AB4">
      <w:pPr>
        <w:pStyle w:val="Heading1"/>
      </w:pPr>
      <w:bookmarkStart w:id="4" w:name="O_282276"/>
      <w:bookmarkEnd w:id="4"/>
      <w:r w:rsidRPr="00597AB4">
        <w:t>Licensing/Regulatory Information</w:t>
      </w:r>
    </w:p>
    <w:p w:rsidR="00000000" w:rsidRPr="00597AB4" w:rsidP="00597AB4">
      <w:pPr>
        <w:pStyle w:val="BodyText"/>
      </w:pPr>
      <w:r w:rsidRPr="00597AB4">
        <w:t>Refer to Unit Descriptor</w:t>
      </w:r>
    </w:p>
    <w:p w:rsidR="00000000" w:rsidRPr="00597AB4" w:rsidP="00597AB4">
      <w:pPr>
        <w:pStyle w:val="AllowPageBreak"/>
      </w:pPr>
    </w:p>
    <w:p w:rsidR="00000000" w:rsidRPr="00597AB4" w:rsidP="00597AB4">
      <w:pPr>
        <w:pStyle w:val="Heading1"/>
      </w:pPr>
      <w:bookmarkStart w:id="5" w:name="O_284726"/>
      <w:bookmarkEnd w:id="5"/>
      <w:r w:rsidRPr="00597AB4">
        <w:t>Pre-Requisites</w:t>
      </w:r>
    </w:p>
    <w:p w:rsidR="00000000" w:rsidRPr="00597AB4" w:rsidP="00597AB4">
      <w:pPr>
        <w:pStyle w:val="BodyText"/>
      </w:pPr>
      <w:r w:rsidRPr="00597AB4">
        <w:t>Not Applicable</w:t>
      </w:r>
    </w:p>
    <w:p w:rsidR="00000000" w:rsidRPr="00597AB4" w:rsidP="00597AB4">
      <w:pPr>
        <w:pStyle w:val="AllowPageBreak"/>
      </w:pPr>
    </w:p>
    <w:p w:rsidR="00000000" w:rsidRPr="00597AB4" w:rsidP="00597AB4">
      <w:pPr>
        <w:pStyle w:val="Heading1"/>
      </w:pPr>
      <w:bookmarkStart w:id="6" w:name="O_223139"/>
      <w:bookmarkEnd w:id="6"/>
      <w:r w:rsidRPr="00597AB4">
        <w:t>Employability Skills Information</w:t>
      </w:r>
    </w:p>
    <w:tbl>
      <w:tblPr>
        <w:tblW w:w="9640" w:type="dxa"/>
        <w:tblLayout w:type="fixed"/>
        <w:tblCellMar>
          <w:left w:w="62" w:type="dxa"/>
          <w:right w:w="62" w:type="dxa"/>
        </w:tblCellMar>
        <w:tblLook w:val="0000"/>
      </w:tblPr>
      <w:tblGrid>
        <w:gridCol w:w="2978"/>
        <w:gridCol w:w="6662"/>
      </w:tblGrid>
      <w:tr w:rsidTr="008D553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97AB4">
            <w:pPr>
              <w:pStyle w:val="BodyText"/>
              <w:rPr>
                <w:lang w:val="en-NZ"/>
              </w:rPr>
            </w:pPr>
            <w:r w:rsidRPr="00597AB4">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597AB4" w:rsidP="00597AB4">
            <w:pPr>
              <w:pStyle w:val="BodyText"/>
            </w:pPr>
            <w:r w:rsidRPr="00597AB4">
              <w:t>This unit contains employability skills.</w:t>
            </w:r>
          </w:p>
        </w:tc>
      </w:tr>
    </w:tbl>
    <w:p w:rsidR="008D5536" w:rsidP="00597AB4">
      <w:pPr>
        <w:pStyle w:val="BodyText"/>
      </w:pPr>
    </w:p>
    <w:p w:rsidR="008D5536" w:rsidP="00597AB4">
      <w:pPr>
        <w:pStyle w:val="BodyText"/>
      </w:pPr>
    </w:p>
    <w:p w:rsidR="00000000" w:rsidRPr="00597AB4" w:rsidP="00597AB4">
      <w:pPr>
        <w:pStyle w:val="Heading1"/>
      </w:pPr>
      <w:bookmarkStart w:id="7" w:name="O_292062"/>
      <w:bookmarkEnd w:id="7"/>
      <w:r w:rsidRPr="00597AB4">
        <w:t>Elements and Performance Criteria Pre-Content</w:t>
      </w:r>
    </w:p>
    <w:tbl>
      <w:tblPr>
        <w:tblW w:w="9640" w:type="dxa"/>
        <w:tblLayout w:type="fixed"/>
        <w:tblCellMar>
          <w:left w:w="62" w:type="dxa"/>
          <w:right w:w="62" w:type="dxa"/>
        </w:tblCellMar>
        <w:tblLook w:val="0000"/>
      </w:tblPr>
      <w:tblGrid>
        <w:gridCol w:w="2978"/>
        <w:gridCol w:w="6662"/>
      </w:tblGrid>
      <w:tr w:rsidTr="008D553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97AB4">
            <w:pPr>
              <w:pStyle w:val="BodyText"/>
              <w:rPr>
                <w:lang w:val="en-NZ"/>
              </w:rPr>
            </w:pPr>
            <w:r w:rsidRPr="00597AB4">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597AB4" w:rsidP="00597AB4">
            <w:pPr>
              <w:pStyle w:val="BodyText"/>
            </w:pPr>
            <w:r w:rsidRPr="00597AB4">
              <w:t>Performance criteria describe the required performance needed to demonstrate achievement of the element. Assessment of performance is to be consistent with the evidence guide.</w:t>
            </w:r>
          </w:p>
        </w:tc>
      </w:tr>
    </w:tbl>
    <w:p w:rsidR="00000000" w:rsidRPr="00597AB4" w:rsidP="00597AB4">
      <w:pPr>
        <w:pStyle w:val="BodyText"/>
      </w:pPr>
    </w:p>
    <w:p w:rsidR="00000000" w:rsidRPr="00597AB4" w:rsidP="00597AB4">
      <w:pPr>
        <w:pStyle w:val="AllowPageBreak"/>
      </w:pPr>
    </w:p>
    <w:p w:rsidR="00000000" w:rsidRPr="00597AB4" w:rsidP="00597AB4">
      <w:pPr>
        <w:pStyle w:val="Heading1"/>
      </w:pPr>
      <w:bookmarkStart w:id="8" w:name="O_238730"/>
      <w:bookmarkEnd w:id="8"/>
      <w:r w:rsidRPr="00597AB4">
        <w:t>Elements and Performance Criteria</w:t>
      </w:r>
    </w:p>
    <w:tbl>
      <w:tblPr>
        <w:tblW w:w="9640" w:type="dxa"/>
        <w:tblLayout w:type="fixed"/>
        <w:tblCellMar>
          <w:left w:w="62" w:type="dxa"/>
          <w:right w:w="62" w:type="dxa"/>
        </w:tblCellMar>
        <w:tblLook w:val="0000"/>
      </w:tblPr>
      <w:tblGrid>
        <w:gridCol w:w="2978"/>
        <w:gridCol w:w="6662"/>
      </w:tblGrid>
      <w:tr w:rsidTr="008D553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597AB4" w:rsidP="00597AB4">
            <w:pPr>
              <w:pStyle w:val="List"/>
            </w:pPr>
            <w:r w:rsidRPr="00597AB4">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597AB4">
            <w:pPr>
              <w:pStyle w:val="List"/>
              <w:rPr>
                <w:lang w:val="en-NZ"/>
              </w:rPr>
            </w:pPr>
            <w:r w:rsidRPr="00597AB4">
              <w:rPr>
                <w:rStyle w:val="SpecialBold"/>
              </w:rPr>
              <w:t>PERFORMANCE CRITERIA</w:t>
            </w:r>
          </w:p>
        </w:tc>
      </w:tr>
      <w:tr w:rsidTr="008D553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97AB4">
            <w:pPr>
              <w:pStyle w:val="List"/>
              <w:rPr>
                <w:lang w:val="en-NZ"/>
              </w:rPr>
            </w:pPr>
            <w:r w:rsidRPr="00597AB4">
              <w:rPr>
                <w:rStyle w:val="SpecialBold"/>
              </w:rPr>
              <w:t>1</w:t>
            </w:r>
            <w:r w:rsidRPr="00597AB4">
              <w:tab/>
            </w:r>
            <w:r w:rsidRPr="00597AB4">
              <w:rPr>
                <w:rStyle w:val="SpecialBold"/>
              </w:rPr>
              <w:t>Determine stabling location</w:t>
            </w:r>
          </w:p>
        </w:tc>
        <w:tc>
          <w:tcPr>
            <w:tcW w:w="6662" w:type="dxa"/>
            <w:tcBorders>
              <w:top w:val="nil"/>
              <w:left w:val="nil"/>
              <w:bottom w:val="nil"/>
              <w:right w:val="nil"/>
            </w:tcBorders>
            <w:tcMar>
              <w:top w:w="0" w:type="dxa"/>
              <w:left w:w="62" w:type="dxa"/>
              <w:bottom w:w="0" w:type="dxa"/>
              <w:right w:w="62" w:type="dxa"/>
            </w:tcMar>
          </w:tcPr>
          <w:p w:rsidR="00000000" w:rsidRPr="00597AB4" w:rsidP="00597AB4">
            <w:pPr>
              <w:pStyle w:val="List"/>
            </w:pPr>
            <w:r w:rsidRPr="00597AB4">
              <w:t>1.1</w:t>
            </w:r>
            <w:r w:rsidRPr="00597AB4">
              <w:tab/>
              <w:t>Contact is made with train controller and yard staff to determine planned location for stabling the motive power unit</w:t>
            </w:r>
          </w:p>
          <w:p w:rsidR="00000000" w:rsidRPr="00597AB4" w:rsidP="00597AB4">
            <w:pPr>
              <w:pStyle w:val="List"/>
            </w:pPr>
            <w:r w:rsidRPr="00597AB4">
              <w:t>1.2</w:t>
            </w:r>
            <w:r w:rsidRPr="00597AB4">
              <w:tab/>
            </w:r>
            <w:r w:rsidRPr="00597AB4">
              <w:t>Directions of train controller and yard staff are interpreted and followed</w:t>
            </w:r>
          </w:p>
          <w:p w:rsidR="00000000" w:rsidP="00597AB4">
            <w:pPr>
              <w:pStyle w:val="List"/>
              <w:rPr>
                <w:lang w:val="en-NZ"/>
              </w:rPr>
            </w:pPr>
            <w:r w:rsidRPr="00597AB4">
              <w:t>1.3</w:t>
            </w:r>
            <w:r w:rsidRPr="00597AB4">
              <w:tab/>
              <w:t>Care is taken to keep clear of other roads</w:t>
            </w:r>
          </w:p>
        </w:tc>
      </w:tr>
      <w:tr w:rsidTr="008D553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97AB4">
            <w:pPr>
              <w:pStyle w:val="List"/>
              <w:rPr>
                <w:lang w:val="en-NZ"/>
              </w:rPr>
            </w:pPr>
            <w:r w:rsidRPr="00597AB4">
              <w:rPr>
                <w:rStyle w:val="SpecialBold"/>
              </w:rPr>
              <w:t>2</w:t>
            </w:r>
            <w:r w:rsidRPr="00597AB4">
              <w:tab/>
            </w:r>
            <w:r w:rsidRPr="00597AB4">
              <w:rPr>
                <w:rStyle w:val="SpecialBold"/>
              </w:rPr>
              <w:t>Stable motive power unit</w:t>
            </w:r>
          </w:p>
        </w:tc>
        <w:tc>
          <w:tcPr>
            <w:tcW w:w="6662" w:type="dxa"/>
            <w:tcBorders>
              <w:top w:val="nil"/>
              <w:left w:val="nil"/>
              <w:bottom w:val="nil"/>
              <w:right w:val="nil"/>
            </w:tcBorders>
            <w:tcMar>
              <w:top w:w="0" w:type="dxa"/>
              <w:left w:w="62" w:type="dxa"/>
              <w:bottom w:w="0" w:type="dxa"/>
              <w:right w:w="62" w:type="dxa"/>
            </w:tcMar>
          </w:tcPr>
          <w:p w:rsidR="00000000" w:rsidRPr="00597AB4" w:rsidP="00597AB4">
            <w:pPr>
              <w:pStyle w:val="List"/>
            </w:pPr>
            <w:r w:rsidRPr="00597AB4">
              <w:t>2.1</w:t>
            </w:r>
            <w:r w:rsidRPr="00597AB4">
              <w:tab/>
              <w:t>Train is shunted and secured in accordance with directions, workplace procedures and rail regulations</w:t>
            </w:r>
          </w:p>
          <w:p w:rsidR="00000000" w:rsidRPr="00597AB4" w:rsidP="00597AB4">
            <w:pPr>
              <w:pStyle w:val="List"/>
            </w:pPr>
            <w:r w:rsidRPr="00597AB4">
              <w:t>2.2</w:t>
            </w:r>
            <w:r w:rsidRPr="00597AB4">
              <w:tab/>
              <w:t>Motive power unit is stabled as directed</w:t>
            </w:r>
          </w:p>
          <w:p w:rsidR="00000000" w:rsidRPr="00597AB4" w:rsidP="00597AB4">
            <w:pPr>
              <w:pStyle w:val="List"/>
            </w:pPr>
            <w:r w:rsidRPr="00597AB4">
              <w:t>2.3</w:t>
            </w:r>
            <w:r w:rsidRPr="00597AB4">
              <w:tab/>
              <w:t>Derailers are set in place as per workplace procedures and rail regulations</w:t>
            </w:r>
          </w:p>
          <w:p w:rsidR="00000000" w:rsidRPr="00597AB4" w:rsidP="00597AB4">
            <w:pPr>
              <w:pStyle w:val="List"/>
            </w:pPr>
            <w:r w:rsidRPr="00597AB4">
              <w:t>2.4</w:t>
            </w:r>
            <w:r w:rsidRPr="00597AB4">
              <w:tab/>
              <w:t>Handbrakes are applied</w:t>
            </w:r>
          </w:p>
          <w:p w:rsidR="00000000" w:rsidRPr="00597AB4" w:rsidP="00597AB4">
            <w:pPr>
              <w:pStyle w:val="List"/>
            </w:pPr>
            <w:r w:rsidRPr="00597AB4">
              <w:t>2.5</w:t>
            </w:r>
            <w:r w:rsidRPr="00597AB4">
              <w:tab/>
              <w:t>Power brakes are applied</w:t>
            </w:r>
          </w:p>
          <w:p w:rsidR="00000000" w:rsidRPr="00597AB4" w:rsidP="00597AB4">
            <w:pPr>
              <w:pStyle w:val="List"/>
            </w:pPr>
            <w:r w:rsidRPr="00597AB4">
              <w:t>2.6</w:t>
            </w:r>
            <w:r w:rsidRPr="00597AB4">
              <w:tab/>
              <w:t>Motive power unit is shut down as per manufacturers instructions and wo</w:t>
            </w:r>
            <w:r w:rsidRPr="00597AB4">
              <w:t>rkplace procedures</w:t>
            </w:r>
          </w:p>
          <w:p w:rsidR="00000000" w:rsidP="00597AB4">
            <w:pPr>
              <w:pStyle w:val="List"/>
              <w:rPr>
                <w:lang w:val="en-NZ"/>
              </w:rPr>
            </w:pPr>
            <w:r w:rsidRPr="00597AB4">
              <w:t>2.7</w:t>
            </w:r>
            <w:r w:rsidRPr="00597AB4">
              <w:tab/>
              <w:t>Cab is secured as per workplace procedures</w:t>
            </w:r>
          </w:p>
        </w:tc>
      </w:tr>
      <w:tr w:rsidTr="008D553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97AB4">
            <w:pPr>
              <w:pStyle w:val="List"/>
              <w:rPr>
                <w:lang w:val="en-NZ"/>
              </w:rPr>
            </w:pPr>
            <w:r w:rsidRPr="00597AB4">
              <w:rPr>
                <w:rStyle w:val="SpecialBold"/>
              </w:rPr>
              <w:t>3</w:t>
            </w:r>
            <w:r w:rsidRPr="00597AB4">
              <w:tab/>
            </w:r>
            <w:r w:rsidRPr="00597AB4">
              <w:rPr>
                <w:rStyle w:val="SpecialBold"/>
              </w:rPr>
              <w:t>Carry out post-operational checks</w:t>
            </w:r>
          </w:p>
        </w:tc>
        <w:tc>
          <w:tcPr>
            <w:tcW w:w="6662" w:type="dxa"/>
            <w:tcBorders>
              <w:top w:val="nil"/>
              <w:left w:val="nil"/>
              <w:bottom w:val="nil"/>
              <w:right w:val="nil"/>
            </w:tcBorders>
            <w:tcMar>
              <w:top w:w="0" w:type="dxa"/>
              <w:left w:w="62" w:type="dxa"/>
              <w:bottom w:w="0" w:type="dxa"/>
              <w:right w:w="62" w:type="dxa"/>
            </w:tcMar>
          </w:tcPr>
          <w:p w:rsidR="00000000" w:rsidRPr="00597AB4" w:rsidP="00597AB4">
            <w:pPr>
              <w:pStyle w:val="List"/>
            </w:pPr>
            <w:r w:rsidRPr="00597AB4">
              <w:t>3.1</w:t>
            </w:r>
            <w:r w:rsidRPr="00597AB4">
              <w:tab/>
              <w:t>Fuel and fluid levels are checked and any required action is taken to replenish them</w:t>
            </w:r>
          </w:p>
          <w:p w:rsidR="00000000" w:rsidRPr="00597AB4" w:rsidP="00597AB4">
            <w:pPr>
              <w:pStyle w:val="List"/>
            </w:pPr>
            <w:r w:rsidRPr="00597AB4">
              <w:t>3.2</w:t>
            </w:r>
            <w:r w:rsidRPr="00597AB4">
              <w:tab/>
            </w:r>
            <w:r w:rsidRPr="00597AB4">
              <w:t>Inspection is made of motive power unit as per workplace procedures</w:t>
            </w:r>
          </w:p>
          <w:p w:rsidR="00000000" w:rsidRPr="00597AB4" w:rsidP="00597AB4">
            <w:pPr>
              <w:pStyle w:val="List"/>
            </w:pPr>
            <w:r w:rsidRPr="00597AB4">
              <w:t>3.3</w:t>
            </w:r>
            <w:r w:rsidRPr="00597AB4">
              <w:tab/>
              <w:t>Any identified faults and defects are fixed or reported and recorded as per workplace procedures</w:t>
            </w:r>
          </w:p>
          <w:p w:rsidR="00000000" w:rsidRPr="00597AB4" w:rsidP="00597AB4">
            <w:pPr>
              <w:pStyle w:val="List"/>
            </w:pPr>
            <w:r w:rsidRPr="00597AB4">
              <w:t>3.4</w:t>
            </w:r>
            <w:r w:rsidRPr="00597AB4">
              <w:tab/>
              <w:t>Faulty and defective equipment that presents a safety risk is isolated and tagged a</w:t>
            </w:r>
            <w:r w:rsidRPr="00597AB4">
              <w:t>s per workplace procedures and rail regulations</w:t>
            </w:r>
          </w:p>
          <w:p w:rsidR="00000000" w:rsidP="00597AB4">
            <w:pPr>
              <w:pStyle w:val="List"/>
              <w:rPr>
                <w:lang w:val="en-NZ"/>
              </w:rPr>
            </w:pPr>
            <w:r w:rsidRPr="00597AB4">
              <w:t>3.5</w:t>
            </w:r>
            <w:r w:rsidRPr="00597AB4">
              <w:tab/>
              <w:t>Outcomes of post-operational checks are recorded as per workplace procedures</w:t>
            </w:r>
          </w:p>
        </w:tc>
      </w:tr>
      <w:tr w:rsidTr="008D553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97AB4">
            <w:pPr>
              <w:pStyle w:val="List"/>
              <w:rPr>
                <w:lang w:val="en-NZ"/>
              </w:rPr>
            </w:pPr>
            <w:r w:rsidRPr="00597AB4">
              <w:rPr>
                <w:rStyle w:val="SpecialBold"/>
              </w:rPr>
              <w:t>4</w:t>
            </w:r>
            <w:r w:rsidRPr="00597AB4">
              <w:tab/>
            </w:r>
            <w:r w:rsidRPr="00597AB4">
              <w:rPr>
                <w:rStyle w:val="SpecialBold"/>
              </w:rPr>
              <w:t>Complete post-operational paperwork</w:t>
            </w:r>
          </w:p>
        </w:tc>
        <w:tc>
          <w:tcPr>
            <w:tcW w:w="6662" w:type="dxa"/>
            <w:tcBorders>
              <w:top w:val="nil"/>
              <w:left w:val="nil"/>
              <w:bottom w:val="nil"/>
              <w:right w:val="nil"/>
            </w:tcBorders>
            <w:tcMar>
              <w:top w:w="0" w:type="dxa"/>
              <w:left w:w="62" w:type="dxa"/>
              <w:bottom w:w="0" w:type="dxa"/>
              <w:right w:w="62" w:type="dxa"/>
            </w:tcMar>
          </w:tcPr>
          <w:p w:rsidR="00000000" w:rsidRPr="00597AB4" w:rsidP="00597AB4">
            <w:pPr>
              <w:pStyle w:val="List"/>
            </w:pPr>
            <w:r w:rsidRPr="00597AB4">
              <w:t>4.1</w:t>
            </w:r>
            <w:r w:rsidRPr="00597AB4">
              <w:tab/>
              <w:t xml:space="preserve">All required safeworking documentation is completed as per workplace procedures and </w:t>
            </w:r>
            <w:r w:rsidRPr="00597AB4">
              <w:t>rail regulations</w:t>
            </w:r>
          </w:p>
          <w:p w:rsidR="00000000" w:rsidRPr="00597AB4" w:rsidP="00597AB4">
            <w:pPr>
              <w:pStyle w:val="List"/>
            </w:pPr>
            <w:r w:rsidRPr="00597AB4">
              <w:t>4.2</w:t>
            </w:r>
            <w:r w:rsidRPr="00597AB4">
              <w:tab/>
              <w:t>All equipment is returned and stowed as per workplace requirements</w:t>
            </w:r>
          </w:p>
        </w:tc>
      </w:tr>
    </w:tbl>
    <w:p w:rsidR="008D5536" w:rsidP="00597AB4">
      <w:pPr>
        <w:pStyle w:val="BodyText"/>
      </w:pPr>
    </w:p>
    <w:p w:rsidR="008D5536" w:rsidP="00597AB4">
      <w:pPr>
        <w:pStyle w:val="BodyText"/>
      </w:pPr>
    </w:p>
    <w:p w:rsidR="00000000" w:rsidRPr="00597AB4" w:rsidP="00597AB4">
      <w:pPr>
        <w:pStyle w:val="Heading1"/>
      </w:pPr>
      <w:bookmarkStart w:id="9" w:name="O_262521"/>
      <w:bookmarkEnd w:id="9"/>
      <w:r w:rsidRPr="00597AB4">
        <w:t>Required Skills and Knowledge</w:t>
      </w:r>
    </w:p>
    <w:tbl>
      <w:tblPr>
        <w:tblW w:w="9640" w:type="dxa"/>
        <w:tblLayout w:type="fixed"/>
        <w:tblCellMar>
          <w:left w:w="62" w:type="dxa"/>
          <w:right w:w="62" w:type="dxa"/>
        </w:tblCellMar>
        <w:tblLook w:val="0000"/>
      </w:tblPr>
      <w:tblGrid>
        <w:gridCol w:w="9640"/>
      </w:tblGrid>
      <w:tr w:rsidTr="008D5536">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597AB4">
            <w:pPr>
              <w:pStyle w:val="BodyText"/>
              <w:rPr>
                <w:lang w:val="en-NZ"/>
              </w:rPr>
            </w:pPr>
            <w:r w:rsidRPr="00597AB4">
              <w:rPr>
                <w:rStyle w:val="SpecialBold"/>
              </w:rPr>
              <w:t>REQUIRED KNOWLEDGE AND SKILLS</w:t>
            </w:r>
          </w:p>
        </w:tc>
      </w:tr>
      <w:tr w:rsidTr="008D553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7AB4">
            <w:pPr>
              <w:pStyle w:val="BodyText"/>
              <w:rPr>
                <w:lang w:val="en-NZ"/>
              </w:rPr>
            </w:pPr>
            <w:r w:rsidRPr="00597AB4">
              <w:t>This describes the essential knowledge and skills and their level required for this unit.</w:t>
            </w:r>
          </w:p>
        </w:tc>
      </w:tr>
      <w:tr w:rsidTr="008D553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7AB4">
            <w:pPr>
              <w:pStyle w:val="BodyText"/>
              <w:rPr>
                <w:lang w:val="en-NZ"/>
              </w:rPr>
            </w:pPr>
            <w:r w:rsidRPr="00597AB4">
              <w:rPr>
                <w:rStyle w:val="SpecialBold"/>
              </w:rPr>
              <w:t>Required knowledge</w:t>
            </w:r>
            <w:r w:rsidRPr="00597AB4">
              <w:t>:</w:t>
            </w:r>
          </w:p>
        </w:tc>
      </w:tr>
      <w:tr w:rsidTr="008D553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7AB4">
            <w:pPr>
              <w:pStyle w:val="ListBullet"/>
              <w:rPr>
                <w:lang w:val="en-NZ"/>
              </w:rPr>
            </w:pPr>
            <w:r w:rsidRPr="00597AB4">
              <w:t>Applicable legislated rail safety requirements including acts and regulations from each state and territory together with any nationally approv</w:t>
            </w:r>
            <w:r w:rsidRPr="00597AB4">
              <w:t>ed compliance codes and/or guidelines and local rail regulations and codes of practice as they relate to heritage railway operations</w:t>
            </w:r>
          </w:p>
        </w:tc>
      </w:tr>
      <w:tr w:rsidTr="008D553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7AB4">
            <w:pPr>
              <w:pStyle w:val="ListBullet"/>
              <w:rPr>
                <w:lang w:val="en-NZ"/>
              </w:rPr>
            </w:pPr>
            <w:r w:rsidRPr="00597AB4">
              <w:t>Relevant OH&amp;S and environmental procedures and regulations</w:t>
            </w:r>
          </w:p>
        </w:tc>
      </w:tr>
      <w:tr w:rsidTr="008D553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7AB4">
            <w:pPr>
              <w:pStyle w:val="ListBullet"/>
              <w:rPr>
                <w:lang w:val="en-NZ"/>
              </w:rPr>
            </w:pPr>
            <w:r w:rsidRPr="00597AB4">
              <w:t>Motive power unit controls, instruments and indicators and t</w:t>
            </w:r>
            <w:r w:rsidRPr="00597AB4">
              <w:t>heir purpose, location and use</w:t>
            </w:r>
          </w:p>
        </w:tc>
      </w:tr>
      <w:tr w:rsidTr="008D553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7AB4">
            <w:pPr>
              <w:pStyle w:val="ListBullet"/>
              <w:rPr>
                <w:lang w:val="en-NZ"/>
              </w:rPr>
            </w:pPr>
            <w:r w:rsidRPr="00597AB4">
              <w:t>Procedures for stabling a motive power unit</w:t>
            </w:r>
          </w:p>
        </w:tc>
      </w:tr>
      <w:tr w:rsidTr="008D553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7AB4">
            <w:pPr>
              <w:pStyle w:val="ListBullet"/>
              <w:rPr>
                <w:lang w:val="en-NZ"/>
              </w:rPr>
            </w:pPr>
            <w:r w:rsidRPr="00597AB4">
              <w:t>Braking and safety system procedures</w:t>
            </w:r>
          </w:p>
        </w:tc>
      </w:tr>
      <w:tr w:rsidTr="008D553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7AB4">
            <w:pPr>
              <w:pStyle w:val="ListBullet"/>
              <w:rPr>
                <w:lang w:val="en-NZ"/>
              </w:rPr>
            </w:pPr>
            <w:r w:rsidRPr="00597AB4">
              <w:t>Operating controls to start, accelerate, decelerate and stop a motive power unit</w:t>
            </w:r>
          </w:p>
        </w:tc>
      </w:tr>
      <w:tr w:rsidTr="008D553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7AB4">
            <w:pPr>
              <w:pStyle w:val="ListBullet"/>
              <w:rPr>
                <w:lang w:val="en-NZ"/>
              </w:rPr>
            </w:pPr>
            <w:r w:rsidRPr="00597AB4">
              <w:t>Speed and load limits compliance requirements</w:t>
            </w:r>
          </w:p>
        </w:tc>
      </w:tr>
      <w:tr w:rsidTr="008D553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7AB4">
            <w:pPr>
              <w:pStyle w:val="ListBullet"/>
              <w:rPr>
                <w:lang w:val="en-NZ"/>
              </w:rPr>
            </w:pPr>
            <w:r w:rsidRPr="00597AB4">
              <w:t>Procedures for managing hazardous situations when operating and stabling a motive power unit</w:t>
            </w:r>
          </w:p>
        </w:tc>
      </w:tr>
      <w:tr w:rsidTr="008D553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7AB4">
            <w:pPr>
              <w:pStyle w:val="ListBullet"/>
              <w:rPr>
                <w:lang w:val="en-NZ"/>
              </w:rPr>
            </w:pPr>
            <w:r w:rsidRPr="00597AB4">
              <w:t>Procedures for operating and shutting down auxiliary systems</w:t>
            </w:r>
          </w:p>
        </w:tc>
      </w:tr>
      <w:tr w:rsidTr="008D553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7AB4">
            <w:pPr>
              <w:pStyle w:val="ListBullet"/>
              <w:rPr>
                <w:lang w:val="en-NZ"/>
              </w:rPr>
            </w:pPr>
            <w:r w:rsidRPr="00597AB4">
              <w:t>Procedure for completing relevant documentation when stabling a motive power unit</w:t>
            </w:r>
          </w:p>
        </w:tc>
      </w:tr>
      <w:tr w:rsidTr="008D553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7AB4">
            <w:pPr>
              <w:pStyle w:val="ListBullet"/>
              <w:rPr>
                <w:lang w:val="en-NZ"/>
              </w:rPr>
            </w:pPr>
            <w:r w:rsidRPr="00597AB4">
              <w:t xml:space="preserve">Procedures to </w:t>
            </w:r>
            <w:r w:rsidRPr="00597AB4">
              <w:t>be followed in the event of an emergency</w:t>
            </w:r>
          </w:p>
        </w:tc>
      </w:tr>
      <w:tr w:rsidTr="008D553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7AB4">
            <w:pPr>
              <w:pStyle w:val="ListBullet"/>
              <w:rPr>
                <w:lang w:val="en-NZ"/>
              </w:rPr>
            </w:pPr>
            <w:r w:rsidRPr="00597AB4">
              <w:t>Procedures for minor maintenance, cleaning, lubricating and servicing of motive power unit</w:t>
            </w:r>
          </w:p>
        </w:tc>
      </w:tr>
      <w:tr w:rsidTr="008D553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7AB4">
            <w:pPr>
              <w:pStyle w:val="ListBullet"/>
              <w:rPr>
                <w:lang w:val="en-NZ"/>
              </w:rPr>
            </w:pPr>
            <w:r w:rsidRPr="00597AB4">
              <w:t>Procedures for identifying equipment defects and assessing for appropriate action</w:t>
            </w:r>
          </w:p>
        </w:tc>
      </w:tr>
      <w:tr w:rsidTr="008D553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7AB4">
            <w:pPr>
              <w:pStyle w:val="ListBullet"/>
              <w:rPr>
                <w:lang w:val="en-NZ"/>
              </w:rPr>
            </w:pPr>
            <w:r w:rsidRPr="00597AB4">
              <w:t>Motive power</w:t>
            </w:r>
            <w:r w:rsidRPr="00597AB4">
              <w:t xml:space="preserve"> unit knowledge may include: monitoring devices; braking and power equipment; ancillary systems; and signalling systems</w:t>
            </w:r>
          </w:p>
        </w:tc>
      </w:tr>
      <w:tr w:rsidTr="008D553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7AB4">
            <w:pPr>
              <w:pStyle w:val="ListBullet"/>
              <w:rPr>
                <w:lang w:val="en-NZ"/>
              </w:rPr>
            </w:pPr>
            <w:r w:rsidRPr="00597AB4">
              <w:t>Local procedures and operating requirements</w:t>
            </w:r>
          </w:p>
        </w:tc>
      </w:tr>
      <w:tr w:rsidTr="008D553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7AB4">
            <w:pPr>
              <w:pStyle w:val="ListBullet"/>
              <w:rPr>
                <w:lang w:val="en-NZ"/>
              </w:rPr>
            </w:pPr>
            <w:r w:rsidRPr="00597AB4">
              <w:t xml:space="preserve">Typical defects that can occur on a motive power unit and related action that should be </w:t>
            </w:r>
            <w:r w:rsidRPr="00597AB4">
              <w:t>taken</w:t>
            </w:r>
          </w:p>
        </w:tc>
      </w:tr>
      <w:tr w:rsidTr="008D553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97AB4" w:rsidP="00597AB4">
            <w:pPr>
              <w:pStyle w:val="ListBullet"/>
            </w:pPr>
            <w:r w:rsidRPr="00597AB4">
              <w:t>Procedures for operating electronic communications equipment with required protocol</w:t>
            </w:r>
          </w:p>
        </w:tc>
      </w:tr>
    </w:tbl>
    <w:p w:rsidR="00000000" w:rsidRPr="00597AB4" w:rsidP="00597AB4">
      <w:pPr>
        <w:pStyle w:val="BodyText"/>
      </w:pPr>
    </w:p>
    <w:tbl>
      <w:tblPr>
        <w:tblW w:w="9640" w:type="dxa"/>
        <w:tblLayout w:type="fixed"/>
        <w:tblCellMar>
          <w:left w:w="62" w:type="dxa"/>
          <w:right w:w="62" w:type="dxa"/>
        </w:tblCellMar>
        <w:tblLook w:val="0000"/>
      </w:tblPr>
      <w:tblGrid>
        <w:gridCol w:w="9640"/>
      </w:tblGrid>
      <w:tr w:rsidTr="008D5536">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597AB4">
            <w:pPr>
              <w:pStyle w:val="BodyText"/>
              <w:rPr>
                <w:lang w:val="en-NZ"/>
              </w:rPr>
            </w:pPr>
            <w:r w:rsidRPr="00597AB4">
              <w:rPr>
                <w:rStyle w:val="SpecialBold"/>
              </w:rPr>
              <w:t>Required skills</w:t>
            </w:r>
            <w:r w:rsidRPr="00597AB4">
              <w:t>:</w:t>
            </w:r>
          </w:p>
        </w:tc>
      </w:tr>
      <w:tr w:rsidTr="008D553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7AB4">
            <w:pPr>
              <w:pStyle w:val="ListBullet"/>
              <w:rPr>
                <w:lang w:val="en-NZ"/>
              </w:rPr>
            </w:pPr>
            <w:r w:rsidRPr="00597AB4">
              <w:t>Communicate effectively with others when stabling a heritage motive power unit</w:t>
            </w:r>
          </w:p>
        </w:tc>
      </w:tr>
      <w:tr w:rsidTr="008D553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7AB4">
            <w:pPr>
              <w:pStyle w:val="ListBullet"/>
              <w:rPr>
                <w:lang w:val="en-NZ"/>
              </w:rPr>
            </w:pPr>
            <w:r w:rsidRPr="00597AB4">
              <w:t>Read and interpret instructions, procedures and information relevant to the inspection, preparation, start up and positioning of a motive power unit</w:t>
            </w:r>
          </w:p>
        </w:tc>
      </w:tr>
      <w:tr w:rsidTr="008D553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7AB4">
            <w:pPr>
              <w:pStyle w:val="ListBullet"/>
              <w:rPr>
                <w:lang w:val="en-NZ"/>
              </w:rPr>
            </w:pPr>
            <w:r w:rsidRPr="00597AB4">
              <w:t>Interpret and follow operational instructions and prioritise work</w:t>
            </w:r>
          </w:p>
        </w:tc>
      </w:tr>
      <w:tr w:rsidTr="008D553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7AB4">
            <w:pPr>
              <w:pStyle w:val="ListBullet"/>
              <w:rPr>
                <w:lang w:val="en-NZ"/>
              </w:rPr>
            </w:pPr>
            <w:r w:rsidRPr="00597AB4">
              <w:t>Complete documentation related to the</w:t>
            </w:r>
            <w:r w:rsidRPr="00597AB4">
              <w:t xml:space="preserve"> stabling of a motive power unit</w:t>
            </w:r>
          </w:p>
        </w:tc>
      </w:tr>
      <w:tr w:rsidTr="008D553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7AB4">
            <w:pPr>
              <w:pStyle w:val="ListBullet"/>
              <w:rPr>
                <w:lang w:val="en-NZ"/>
              </w:rPr>
            </w:pPr>
            <w:r w:rsidRPr="00597AB4">
              <w:t>Operate electronic communications equipment to required protocol</w:t>
            </w:r>
          </w:p>
        </w:tc>
      </w:tr>
      <w:tr w:rsidTr="008D553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7AB4">
            <w:pPr>
              <w:pStyle w:val="ListBullet"/>
              <w:rPr>
                <w:lang w:val="en-NZ"/>
              </w:rPr>
            </w:pPr>
            <w:r w:rsidRPr="00597AB4">
              <w:t>Work collaboratively with others as part of a train crew</w:t>
            </w:r>
          </w:p>
        </w:tc>
      </w:tr>
      <w:tr w:rsidTr="008D553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7AB4">
            <w:pPr>
              <w:pStyle w:val="ListBullet"/>
              <w:rPr>
                <w:lang w:val="en-NZ"/>
              </w:rPr>
            </w:pPr>
            <w:r w:rsidRPr="00597AB4">
              <w:t xml:space="preserve">Identify and assess motive power unit defects and deficiencies and take appropriate </w:t>
            </w:r>
            <w:r w:rsidRPr="00597AB4">
              <w:t>action to report, isolate, repair or replace any identified defective equipment as per workplace procedures</w:t>
            </w:r>
          </w:p>
        </w:tc>
      </w:tr>
      <w:tr w:rsidTr="008D553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7AB4">
            <w:pPr>
              <w:pStyle w:val="ListBullet"/>
              <w:rPr>
                <w:lang w:val="en-NZ"/>
              </w:rPr>
            </w:pPr>
            <w:r w:rsidRPr="00597AB4">
              <w:t>Implement contingency plans for unplanned events</w:t>
            </w:r>
          </w:p>
        </w:tc>
      </w:tr>
      <w:tr w:rsidTr="008D553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7AB4">
            <w:pPr>
              <w:pStyle w:val="ListBullet"/>
              <w:rPr>
                <w:lang w:val="en-NZ"/>
              </w:rPr>
            </w:pPr>
            <w:r w:rsidRPr="00597AB4">
              <w:t xml:space="preserve">Apply precautions and required action to minimise, control or eliminate hazards that may exist </w:t>
            </w:r>
            <w:r w:rsidRPr="00597AB4">
              <w:t>when stabling a motive power unit</w:t>
            </w:r>
          </w:p>
        </w:tc>
      </w:tr>
      <w:tr w:rsidTr="008D553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7AB4">
            <w:pPr>
              <w:pStyle w:val="ListBullet"/>
              <w:rPr>
                <w:lang w:val="en-NZ"/>
              </w:rPr>
            </w:pPr>
            <w:r w:rsidRPr="00597AB4">
              <w:t>Recognise problems that may arise when stabling a motive power unit and take appropriate action</w:t>
            </w:r>
          </w:p>
        </w:tc>
      </w:tr>
      <w:tr w:rsidTr="008D553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7AB4">
            <w:pPr>
              <w:pStyle w:val="ListBullet"/>
              <w:rPr>
                <w:lang w:val="en-NZ"/>
              </w:rPr>
            </w:pPr>
            <w:r w:rsidRPr="00597AB4">
              <w:t>Check and replenish fuel and fluids and carry out lubrication requirements on a motive power unit</w:t>
            </w:r>
          </w:p>
        </w:tc>
      </w:tr>
      <w:tr w:rsidTr="008D553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7AB4">
            <w:pPr>
              <w:pStyle w:val="ListBullet"/>
              <w:rPr>
                <w:lang w:val="en-NZ"/>
              </w:rPr>
            </w:pPr>
            <w:r w:rsidRPr="00597AB4">
              <w:t>Modify activities depe</w:t>
            </w:r>
            <w:r w:rsidRPr="00597AB4">
              <w:t>nding on differing operational contingencies, risk situations and environments</w:t>
            </w:r>
          </w:p>
        </w:tc>
      </w:tr>
      <w:tr w:rsidTr="008D553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7AB4">
            <w:pPr>
              <w:pStyle w:val="ListBullet"/>
              <w:rPr>
                <w:lang w:val="en-NZ"/>
              </w:rPr>
            </w:pPr>
            <w:r w:rsidRPr="00597AB4">
              <w:t>Adapt to differences in motive power units and associated equipment and procedures</w:t>
            </w:r>
          </w:p>
        </w:tc>
      </w:tr>
      <w:tr w:rsidTr="008D553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7AB4">
            <w:pPr>
              <w:pStyle w:val="ListBullet"/>
              <w:rPr>
                <w:lang w:val="en-NZ"/>
              </w:rPr>
            </w:pPr>
            <w:r w:rsidRPr="00597AB4">
              <w:t xml:space="preserve">Select and use required personal protective equipment conforming to industry and </w:t>
            </w:r>
            <w:r w:rsidRPr="00597AB4">
              <w:t>OH&amp;S standards</w:t>
            </w:r>
          </w:p>
        </w:tc>
      </w:tr>
      <w:tr w:rsidTr="008D553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7AB4">
            <w:pPr>
              <w:pStyle w:val="ListBullet"/>
              <w:rPr>
                <w:lang w:val="en-NZ"/>
              </w:rPr>
            </w:pPr>
            <w:r w:rsidRPr="00597AB4">
              <w:t>Conduct a visual inspection of a motive power unit</w:t>
            </w:r>
          </w:p>
        </w:tc>
      </w:tr>
      <w:tr w:rsidTr="008D553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7AB4">
            <w:pPr>
              <w:pStyle w:val="ListBullet"/>
              <w:rPr>
                <w:lang w:val="en-NZ"/>
              </w:rPr>
            </w:pPr>
            <w:r w:rsidRPr="00597AB4">
              <w:t>Document outcomes of an inspection of a motive power unit</w:t>
            </w:r>
          </w:p>
        </w:tc>
      </w:tr>
      <w:tr w:rsidTr="008D553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97AB4" w:rsidP="00597AB4">
            <w:pPr>
              <w:pStyle w:val="ListBullet"/>
            </w:pPr>
            <w:r w:rsidRPr="00597AB4">
              <w:t>Shut down a motive power unit after service</w:t>
            </w:r>
          </w:p>
        </w:tc>
      </w:tr>
    </w:tbl>
    <w:p w:rsidR="008D5536" w:rsidP="00597AB4">
      <w:pPr>
        <w:pStyle w:val="BodyText"/>
      </w:pPr>
    </w:p>
    <w:p w:rsidR="008D5536" w:rsidP="00597AB4">
      <w:pPr>
        <w:pStyle w:val="BodyText"/>
      </w:pPr>
    </w:p>
    <w:p w:rsidR="00000000" w:rsidRPr="00597AB4" w:rsidP="00597AB4">
      <w:pPr>
        <w:pStyle w:val="Heading1"/>
      </w:pPr>
      <w:bookmarkStart w:id="10" w:name="O_246714"/>
      <w:bookmarkEnd w:id="10"/>
      <w:r w:rsidRPr="00597AB4">
        <w:t>Evidence Guide</w:t>
      </w:r>
    </w:p>
    <w:tbl>
      <w:tblPr>
        <w:tblW w:w="9499" w:type="dxa"/>
        <w:tblLayout w:type="fixed"/>
        <w:tblCellMar>
          <w:left w:w="62" w:type="dxa"/>
          <w:right w:w="62" w:type="dxa"/>
        </w:tblCellMar>
        <w:tblLook w:val="0000"/>
      </w:tblPr>
      <w:tblGrid>
        <w:gridCol w:w="3524"/>
        <w:gridCol w:w="5975"/>
      </w:tblGrid>
      <w:tr w:rsidTr="008D5536">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597AB4">
            <w:pPr>
              <w:pStyle w:val="BodyText"/>
              <w:rPr>
                <w:lang w:val="en-NZ"/>
              </w:rPr>
            </w:pPr>
            <w:r w:rsidRPr="00597AB4">
              <w:rPr>
                <w:rStyle w:val="SpecialBold"/>
              </w:rPr>
              <w:t>EVIDENCE GUIDE</w:t>
            </w:r>
          </w:p>
        </w:tc>
      </w:tr>
      <w:tr w:rsidTr="008D5536">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597AB4">
            <w:pPr>
              <w:pStyle w:val="BodyText"/>
              <w:rPr>
                <w:lang w:val="en-NZ"/>
              </w:rPr>
            </w:pPr>
            <w:r w:rsidRPr="00597AB4">
              <w:t>The evidence guide provides advice on assessment and must be read in conjunction with the performance criteria, required knowledge and skills, the range statement and the assessment guidelines for this Training Package.</w:t>
            </w:r>
          </w:p>
        </w:tc>
      </w:tr>
      <w:tr w:rsidTr="008D553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97AB4">
            <w:pPr>
              <w:pStyle w:val="BodyText"/>
              <w:rPr>
                <w:lang w:val="en-NZ"/>
              </w:rPr>
            </w:pPr>
            <w:r w:rsidRPr="00597AB4">
              <w:rPr>
                <w:rStyle w:val="SpecialBold"/>
              </w:rPr>
              <w:t>Critical aspects for assessment an</w:t>
            </w:r>
            <w:r w:rsidRPr="00597AB4">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597AB4" w:rsidP="00597AB4">
            <w:pPr>
              <w:pStyle w:val="ListBullet"/>
            </w:pPr>
            <w:r w:rsidRPr="00597AB4">
              <w:t>The evidence required to demonstrate competency in this unit must be relevant to and satisfy all of the requirements of the elements and performance criteria of this unit and include demonstration</w:t>
            </w:r>
            <w:r w:rsidRPr="00597AB4">
              <w:t xml:space="preserve"> of applying:</w:t>
            </w:r>
          </w:p>
          <w:p w:rsidR="00000000" w:rsidRPr="00597AB4" w:rsidP="00597AB4">
            <w:pPr>
              <w:pStyle w:val="ListBullet2"/>
            </w:pPr>
            <w:r w:rsidRPr="00597AB4">
              <w:t>the underpinning knowledge and skills</w:t>
            </w:r>
          </w:p>
          <w:p w:rsidR="00000000" w:rsidRPr="00597AB4" w:rsidP="00597AB4">
            <w:pPr>
              <w:pStyle w:val="ListBullet2"/>
            </w:pPr>
            <w:r w:rsidRPr="00597AB4">
              <w:t>relevant legislation and workplace procedures</w:t>
            </w:r>
          </w:p>
          <w:p w:rsidR="00000000" w:rsidP="00597AB4">
            <w:pPr>
              <w:pStyle w:val="ListBullet2"/>
              <w:rPr>
                <w:lang w:val="en-NZ"/>
              </w:rPr>
            </w:pPr>
            <w:r w:rsidRPr="00597AB4">
              <w:t>other relevant aspects of the range statement</w:t>
            </w:r>
          </w:p>
        </w:tc>
      </w:tr>
      <w:tr w:rsidTr="008D553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97AB4">
            <w:pPr>
              <w:pStyle w:val="BodyText"/>
              <w:rPr>
                <w:lang w:val="en-NZ"/>
              </w:rPr>
            </w:pPr>
            <w:r w:rsidRPr="00597AB4">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597AB4" w:rsidP="00597AB4">
            <w:pPr>
              <w:pStyle w:val="ListBullet"/>
            </w:pPr>
            <w:r w:rsidRPr="00597AB4">
              <w:t>Performance is demonstrated consistently over a period of time and in a suitable range of contexts</w:t>
            </w:r>
          </w:p>
          <w:p w:rsidR="00000000" w:rsidRPr="00597AB4" w:rsidP="00597AB4">
            <w:pPr>
              <w:pStyle w:val="ListBullet"/>
            </w:pPr>
            <w:r w:rsidRPr="00597AB4">
              <w:t>Resources for assessment include:</w:t>
            </w:r>
          </w:p>
          <w:p w:rsidR="00000000" w:rsidRPr="00597AB4" w:rsidP="00597AB4">
            <w:pPr>
              <w:pStyle w:val="ListBullet2"/>
            </w:pPr>
            <w:r w:rsidRPr="00597AB4">
              <w:t>a range of relevant exercises, case studies and/or other simulated practical and knowledge assessment, and/or</w:t>
            </w:r>
          </w:p>
          <w:p w:rsidR="00000000" w:rsidRPr="00597AB4" w:rsidP="00597AB4">
            <w:pPr>
              <w:pStyle w:val="ListBullet2"/>
            </w:pPr>
            <w:r w:rsidRPr="00597AB4">
              <w:t>access to an appropriate range of relevant operational situations in the workplace</w:t>
            </w:r>
          </w:p>
          <w:p w:rsidR="00000000" w:rsidRPr="00597AB4" w:rsidP="00597AB4">
            <w:pPr>
              <w:pStyle w:val="ListBullet"/>
            </w:pPr>
            <w:r w:rsidRPr="00597AB4">
              <w:t>In both real and simulated environments, access is required to:</w:t>
            </w:r>
          </w:p>
          <w:p w:rsidR="00000000" w:rsidRPr="00597AB4" w:rsidP="00597AB4">
            <w:pPr>
              <w:pStyle w:val="ListBullet2"/>
            </w:pPr>
            <w:r w:rsidRPr="00597AB4">
              <w:t>relevant and appropriate materials and equipment, and</w:t>
            </w:r>
          </w:p>
          <w:p w:rsidR="00000000" w:rsidP="00597AB4">
            <w:pPr>
              <w:pStyle w:val="ListBullet2"/>
              <w:rPr>
                <w:lang w:val="en-NZ"/>
              </w:rPr>
            </w:pPr>
            <w:r w:rsidRPr="00597AB4">
              <w:t>applicable documentation including workplace procedur</w:t>
            </w:r>
            <w:r w:rsidRPr="00597AB4">
              <w:t>es, regulations, codes of practice and operation manuals</w:t>
            </w:r>
          </w:p>
        </w:tc>
      </w:tr>
      <w:tr w:rsidTr="008D553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97AB4">
            <w:pPr>
              <w:pStyle w:val="BodyText"/>
              <w:rPr>
                <w:lang w:val="en-NZ"/>
              </w:rPr>
            </w:pPr>
            <w:r w:rsidRPr="00597AB4">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597AB4" w:rsidP="00597AB4">
            <w:pPr>
              <w:pStyle w:val="ListBullet"/>
            </w:pPr>
            <w:r w:rsidRPr="00597AB4">
              <w:t>Assessment of this unit must be undertaken by a registered training organisation</w:t>
            </w:r>
          </w:p>
          <w:p w:rsidR="00000000" w:rsidRPr="00597AB4" w:rsidP="00597AB4">
            <w:pPr>
              <w:pStyle w:val="ListBullet"/>
            </w:pPr>
            <w:r w:rsidRPr="00597AB4">
              <w:t>As a minimum, assessment of knowledge must be conducted through appropriate written/oral tests</w:t>
            </w:r>
          </w:p>
          <w:p w:rsidR="00000000" w:rsidRPr="00597AB4" w:rsidP="00597AB4">
            <w:pPr>
              <w:pStyle w:val="ListBullet"/>
            </w:pPr>
            <w:r w:rsidRPr="00597AB4">
              <w:t>Practical assessment must occur:</w:t>
            </w:r>
          </w:p>
          <w:p w:rsidR="00000000" w:rsidRPr="00597AB4" w:rsidP="00597AB4">
            <w:pPr>
              <w:pStyle w:val="ListBullet2"/>
            </w:pPr>
            <w:r w:rsidRPr="00597AB4">
              <w:t>through activities in an appropriately simulated environment at the registered training organisation, and/or</w:t>
            </w:r>
          </w:p>
          <w:p w:rsidR="00000000" w:rsidRPr="00597AB4" w:rsidP="00597AB4">
            <w:pPr>
              <w:pStyle w:val="ListBullet2"/>
            </w:pPr>
            <w:r w:rsidRPr="00597AB4">
              <w:t>in an appropriate range of situations in the workplace</w:t>
            </w:r>
          </w:p>
        </w:tc>
      </w:tr>
    </w:tbl>
    <w:p w:rsidR="008D5536" w:rsidP="00597AB4">
      <w:pPr>
        <w:pStyle w:val="BodyText"/>
      </w:pPr>
    </w:p>
    <w:p w:rsidR="008D5536" w:rsidP="00597AB4">
      <w:pPr>
        <w:pStyle w:val="BodyText"/>
      </w:pPr>
    </w:p>
    <w:p w:rsidR="00000000" w:rsidRPr="00597AB4" w:rsidP="00597AB4">
      <w:pPr>
        <w:pStyle w:val="Heading1"/>
      </w:pPr>
      <w:bookmarkStart w:id="11" w:name="O_254697"/>
      <w:bookmarkEnd w:id="11"/>
      <w:r w:rsidRPr="00597AB4">
        <w:t>Range Statement</w:t>
      </w:r>
    </w:p>
    <w:tbl>
      <w:tblPr>
        <w:tblW w:w="9640" w:type="dxa"/>
        <w:tblLayout w:type="fixed"/>
        <w:tblCellMar>
          <w:left w:w="62" w:type="dxa"/>
          <w:right w:w="62" w:type="dxa"/>
        </w:tblCellMar>
        <w:tblLook w:val="0000"/>
      </w:tblPr>
      <w:tblGrid>
        <w:gridCol w:w="3486"/>
        <w:gridCol w:w="6154"/>
      </w:tblGrid>
      <w:tr w:rsidTr="008D5536">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597AB4">
            <w:pPr>
              <w:pStyle w:val="BodyText"/>
              <w:rPr>
                <w:lang w:val="en-NZ"/>
              </w:rPr>
            </w:pPr>
            <w:r w:rsidRPr="00597AB4">
              <w:rPr>
                <w:rStyle w:val="SpecialBold"/>
              </w:rPr>
              <w:t>RANGE STATEMENT</w:t>
            </w:r>
            <w:r w:rsidRPr="00597AB4">
              <w:t xml:space="preserve"> </w:t>
            </w:r>
          </w:p>
        </w:tc>
      </w:tr>
      <w:tr w:rsidTr="008D5536">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597AB4">
            <w:pPr>
              <w:pStyle w:val="BodyText"/>
              <w:rPr>
                <w:lang w:val="en-NZ"/>
              </w:rPr>
            </w:pPr>
            <w:r w:rsidRPr="00597AB4">
              <w:t>The range statement relates to the unit of competency as a whole. It allows for different work environments and situations that may affect performance.</w:t>
            </w:r>
          </w:p>
        </w:tc>
      </w:tr>
      <w:tr w:rsidTr="008D553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97AB4">
            <w:pPr>
              <w:pStyle w:val="BodyText"/>
              <w:rPr>
                <w:lang w:val="en-NZ"/>
              </w:rPr>
            </w:pPr>
            <w:r w:rsidRPr="00597AB4">
              <w:t>Operations may be conducted:</w:t>
            </w:r>
          </w:p>
        </w:tc>
        <w:tc>
          <w:tcPr>
            <w:tcW w:w="6154" w:type="dxa"/>
            <w:tcBorders>
              <w:top w:val="nil"/>
              <w:left w:val="nil"/>
              <w:bottom w:val="nil"/>
              <w:right w:val="nil"/>
            </w:tcBorders>
            <w:tcMar>
              <w:top w:w="0" w:type="dxa"/>
              <w:left w:w="62" w:type="dxa"/>
              <w:bottom w:w="0" w:type="dxa"/>
              <w:right w:w="62" w:type="dxa"/>
            </w:tcMar>
          </w:tcPr>
          <w:p w:rsidR="00000000" w:rsidP="00597AB4">
            <w:pPr>
              <w:pStyle w:val="ListBullet"/>
              <w:rPr>
                <w:lang w:val="en-NZ"/>
              </w:rPr>
            </w:pPr>
            <w:r w:rsidRPr="00597AB4">
              <w:t>by day or night in all relevant weather conditions</w:t>
            </w:r>
          </w:p>
        </w:tc>
      </w:tr>
      <w:tr w:rsidTr="008D553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97AB4">
            <w:pPr>
              <w:pStyle w:val="BodyText"/>
              <w:rPr>
                <w:lang w:val="en-NZ"/>
              </w:rPr>
            </w:pPr>
            <w:r w:rsidRPr="00597AB4">
              <w:t>Heritage motive power units may include all heritage motive power units in service within Australian rail systems and may include:</w:t>
            </w:r>
          </w:p>
        </w:tc>
        <w:tc>
          <w:tcPr>
            <w:tcW w:w="6154" w:type="dxa"/>
            <w:tcBorders>
              <w:top w:val="nil"/>
              <w:left w:val="nil"/>
              <w:bottom w:val="nil"/>
              <w:right w:val="nil"/>
            </w:tcBorders>
            <w:tcMar>
              <w:top w:w="0" w:type="dxa"/>
              <w:left w:w="62" w:type="dxa"/>
              <w:bottom w:w="0" w:type="dxa"/>
              <w:right w:w="62" w:type="dxa"/>
            </w:tcMar>
          </w:tcPr>
          <w:p w:rsidR="00000000" w:rsidRPr="00597AB4" w:rsidP="00597AB4">
            <w:pPr>
              <w:pStyle w:val="ListBullet"/>
            </w:pPr>
            <w:r w:rsidRPr="00597AB4">
              <w:t>diesel locomotives</w:t>
            </w:r>
          </w:p>
          <w:p w:rsidR="00000000" w:rsidRPr="00597AB4" w:rsidP="00597AB4">
            <w:pPr>
              <w:pStyle w:val="ListBullet"/>
            </w:pPr>
            <w:r w:rsidRPr="00597AB4">
              <w:t>electric locomotives</w:t>
            </w:r>
          </w:p>
          <w:p w:rsidR="00000000" w:rsidRPr="00597AB4" w:rsidP="00597AB4">
            <w:pPr>
              <w:pStyle w:val="ListBullet"/>
            </w:pPr>
            <w:r w:rsidRPr="00597AB4">
              <w:t>railcars</w:t>
            </w:r>
          </w:p>
          <w:p w:rsidR="00000000" w:rsidP="00597AB4">
            <w:pPr>
              <w:pStyle w:val="ListBullet"/>
              <w:rPr>
                <w:lang w:val="en-NZ"/>
              </w:rPr>
            </w:pPr>
            <w:r w:rsidRPr="00597AB4">
              <w:t>multiple units (including electric multiple units)</w:t>
            </w:r>
          </w:p>
        </w:tc>
      </w:tr>
      <w:tr w:rsidTr="008D553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97AB4">
            <w:pPr>
              <w:pStyle w:val="BodyText"/>
              <w:rPr>
                <w:lang w:val="en-NZ"/>
              </w:rPr>
            </w:pPr>
            <w:r w:rsidRPr="00597AB4">
              <w:t>Motive power equipment may include:</w:t>
            </w:r>
          </w:p>
        </w:tc>
        <w:tc>
          <w:tcPr>
            <w:tcW w:w="6154" w:type="dxa"/>
            <w:tcBorders>
              <w:top w:val="nil"/>
              <w:left w:val="nil"/>
              <w:bottom w:val="nil"/>
              <w:right w:val="nil"/>
            </w:tcBorders>
            <w:tcMar>
              <w:top w:w="0" w:type="dxa"/>
              <w:left w:w="62" w:type="dxa"/>
              <w:bottom w:w="0" w:type="dxa"/>
              <w:right w:w="62" w:type="dxa"/>
            </w:tcMar>
          </w:tcPr>
          <w:p w:rsidR="00000000" w:rsidRPr="00597AB4" w:rsidP="00597AB4">
            <w:pPr>
              <w:pStyle w:val="ListBullet"/>
            </w:pPr>
            <w:r w:rsidRPr="00597AB4">
              <w:t>auxiliary systems</w:t>
            </w:r>
          </w:p>
          <w:p w:rsidR="00000000" w:rsidRPr="00597AB4" w:rsidP="00597AB4">
            <w:pPr>
              <w:pStyle w:val="ListBullet"/>
            </w:pPr>
            <w:r w:rsidRPr="00597AB4">
              <w:t>automatic control systems</w:t>
            </w:r>
          </w:p>
          <w:p w:rsidR="00000000" w:rsidRPr="00597AB4" w:rsidP="00597AB4">
            <w:pPr>
              <w:pStyle w:val="ListBullet"/>
            </w:pPr>
            <w:r w:rsidRPr="00597AB4">
              <w:t>braking systems</w:t>
            </w:r>
          </w:p>
          <w:p w:rsidR="00000000" w:rsidRPr="00597AB4" w:rsidP="00597AB4">
            <w:pPr>
              <w:pStyle w:val="ListBullet"/>
            </w:pPr>
            <w:r w:rsidRPr="00597AB4">
              <w:t>drive systems</w:t>
            </w:r>
          </w:p>
          <w:p w:rsidR="00000000" w:rsidRPr="00597AB4" w:rsidP="00597AB4">
            <w:pPr>
              <w:pStyle w:val="ListBullet"/>
            </w:pPr>
            <w:r w:rsidRPr="00597AB4">
              <w:t>instrumentation</w:t>
            </w:r>
          </w:p>
          <w:p w:rsidR="00000000" w:rsidRPr="00597AB4" w:rsidP="00597AB4">
            <w:pPr>
              <w:pStyle w:val="ListBullet"/>
            </w:pPr>
            <w:r w:rsidRPr="00597AB4">
              <w:t>manual controls</w:t>
            </w:r>
          </w:p>
          <w:p w:rsidR="00000000" w:rsidRPr="00597AB4" w:rsidP="00597AB4">
            <w:pPr>
              <w:pStyle w:val="ListBullet"/>
            </w:pPr>
            <w:r w:rsidRPr="00597AB4">
              <w:t>remote train and signal control systems</w:t>
            </w:r>
          </w:p>
          <w:p w:rsidR="00000000" w:rsidRPr="00597AB4" w:rsidP="00597AB4">
            <w:pPr>
              <w:pStyle w:val="ListBullet"/>
            </w:pPr>
            <w:r w:rsidRPr="00597AB4">
              <w:t>communication systems</w:t>
            </w:r>
          </w:p>
          <w:p w:rsidR="00000000" w:rsidRPr="00597AB4" w:rsidP="00597AB4">
            <w:pPr>
              <w:pStyle w:val="ListBullet"/>
            </w:pPr>
            <w:r w:rsidRPr="00597AB4">
              <w:t>warning equipment</w:t>
            </w:r>
          </w:p>
          <w:p w:rsidR="00000000" w:rsidRPr="00597AB4" w:rsidP="00597AB4">
            <w:pPr>
              <w:pStyle w:val="ListBullet"/>
            </w:pPr>
            <w:r w:rsidRPr="00597AB4">
              <w:t>power source</w:t>
            </w:r>
          </w:p>
          <w:p w:rsidR="00000000" w:rsidRPr="00597AB4" w:rsidP="00597AB4">
            <w:pPr>
              <w:pStyle w:val="ListBullet"/>
            </w:pPr>
            <w:r w:rsidRPr="00597AB4">
              <w:t>vigilance systems</w:t>
            </w:r>
          </w:p>
          <w:p w:rsidR="00000000" w:rsidRPr="00597AB4" w:rsidP="00597AB4">
            <w:pPr>
              <w:pStyle w:val="ListBullet"/>
            </w:pPr>
            <w:r w:rsidRPr="00597AB4">
              <w:t>tr</w:t>
            </w:r>
            <w:r w:rsidRPr="00597AB4">
              <w:t>action systems</w:t>
            </w:r>
          </w:p>
          <w:p w:rsidR="00000000" w:rsidP="00597AB4">
            <w:pPr>
              <w:pStyle w:val="ListBullet"/>
              <w:rPr>
                <w:lang w:val="en-NZ"/>
              </w:rPr>
            </w:pPr>
            <w:r w:rsidRPr="00597AB4">
              <w:t>head and marker lights</w:t>
            </w:r>
          </w:p>
        </w:tc>
      </w:tr>
      <w:tr w:rsidTr="008D553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97AB4">
            <w:pPr>
              <w:pStyle w:val="BodyText"/>
              <w:rPr>
                <w:lang w:val="en-NZ"/>
              </w:rPr>
            </w:pPr>
            <w:r w:rsidRPr="00597AB4">
              <w:t>Inspection of a heritage motive power unit may include:</w:t>
            </w:r>
          </w:p>
        </w:tc>
        <w:tc>
          <w:tcPr>
            <w:tcW w:w="6154" w:type="dxa"/>
            <w:tcBorders>
              <w:top w:val="nil"/>
              <w:left w:val="nil"/>
              <w:bottom w:val="nil"/>
              <w:right w:val="nil"/>
            </w:tcBorders>
            <w:tcMar>
              <w:top w:w="0" w:type="dxa"/>
              <w:left w:w="62" w:type="dxa"/>
              <w:bottom w:w="0" w:type="dxa"/>
              <w:right w:w="62" w:type="dxa"/>
            </w:tcMar>
          </w:tcPr>
          <w:p w:rsidR="00000000" w:rsidRPr="00597AB4" w:rsidP="00597AB4">
            <w:pPr>
              <w:pStyle w:val="ListBullet"/>
            </w:pPr>
            <w:r w:rsidRPr="00597AB4">
              <w:t>lights</w:t>
            </w:r>
          </w:p>
          <w:p w:rsidR="00000000" w:rsidRPr="00597AB4" w:rsidP="00597AB4">
            <w:pPr>
              <w:pStyle w:val="ListBullet"/>
            </w:pPr>
            <w:r w:rsidRPr="00597AB4">
              <w:t>hoses</w:t>
            </w:r>
          </w:p>
          <w:p w:rsidR="00000000" w:rsidRPr="00597AB4" w:rsidP="00597AB4">
            <w:pPr>
              <w:pStyle w:val="ListBullet"/>
            </w:pPr>
            <w:r w:rsidRPr="00597AB4">
              <w:t>couplings</w:t>
            </w:r>
          </w:p>
          <w:p w:rsidR="00000000" w:rsidRPr="00597AB4" w:rsidP="00597AB4">
            <w:pPr>
              <w:pStyle w:val="ListBullet"/>
            </w:pPr>
            <w:r w:rsidRPr="00597AB4">
              <w:t>destination boards (electric urban train services)</w:t>
            </w:r>
          </w:p>
          <w:p w:rsidR="00000000" w:rsidRPr="00597AB4" w:rsidP="00597AB4">
            <w:pPr>
              <w:pStyle w:val="ListBullet"/>
            </w:pPr>
            <w:r w:rsidRPr="00597AB4">
              <w:t>doors and door locks</w:t>
            </w:r>
          </w:p>
          <w:p w:rsidR="00000000" w:rsidRPr="00597AB4" w:rsidP="00597AB4">
            <w:pPr>
              <w:pStyle w:val="ListBullet"/>
            </w:pPr>
            <w:r w:rsidRPr="00597AB4">
              <w:t>springs</w:t>
            </w:r>
          </w:p>
          <w:p w:rsidR="00000000" w:rsidRPr="00597AB4" w:rsidP="00597AB4">
            <w:pPr>
              <w:pStyle w:val="ListBullet"/>
            </w:pPr>
            <w:r w:rsidRPr="00597AB4">
              <w:t>brake equipment</w:t>
            </w:r>
          </w:p>
          <w:p w:rsidR="00000000" w:rsidRPr="00597AB4" w:rsidP="00597AB4">
            <w:pPr>
              <w:pStyle w:val="ListBullet"/>
            </w:pPr>
            <w:r w:rsidRPr="00597AB4">
              <w:t>wheels</w:t>
            </w:r>
          </w:p>
          <w:p w:rsidR="00000000" w:rsidRPr="00597AB4" w:rsidP="00597AB4">
            <w:pPr>
              <w:pStyle w:val="ListBullet"/>
            </w:pPr>
            <w:r w:rsidRPr="00597AB4">
              <w:t>seals</w:t>
            </w:r>
          </w:p>
          <w:p w:rsidR="00000000" w:rsidRPr="00597AB4" w:rsidP="00597AB4">
            <w:pPr>
              <w:pStyle w:val="ListBullet"/>
            </w:pPr>
            <w:r w:rsidRPr="00597AB4">
              <w:t xml:space="preserve">sand </w:t>
            </w:r>
            <w:r w:rsidRPr="00597AB4">
              <w:t>and fuel (regional diesel train services)</w:t>
            </w:r>
          </w:p>
          <w:p w:rsidR="00000000" w:rsidRPr="00597AB4" w:rsidP="00597AB4">
            <w:pPr>
              <w:pStyle w:val="ListBullet"/>
            </w:pPr>
            <w:r w:rsidRPr="00597AB4">
              <w:t>pantographs (in case of electric MPUs)</w:t>
            </w:r>
          </w:p>
          <w:p w:rsidR="00000000" w:rsidRPr="00597AB4" w:rsidP="00597AB4">
            <w:pPr>
              <w:pStyle w:val="ListBullet"/>
            </w:pPr>
            <w:r w:rsidRPr="00597AB4">
              <w:t>electrical cables</w:t>
            </w:r>
          </w:p>
          <w:p w:rsidR="00000000" w:rsidRPr="00597AB4" w:rsidP="00597AB4">
            <w:pPr>
              <w:pStyle w:val="ListBullet"/>
            </w:pPr>
            <w:r w:rsidRPr="00597AB4">
              <w:t>glass windows and doors</w:t>
            </w:r>
          </w:p>
          <w:p w:rsidR="00000000" w:rsidRPr="00597AB4" w:rsidP="00597AB4">
            <w:pPr>
              <w:pStyle w:val="ListBullet"/>
            </w:pPr>
            <w:r w:rsidRPr="00597AB4">
              <w:t>compressor oil levels</w:t>
            </w:r>
          </w:p>
          <w:p w:rsidR="00000000" w:rsidRPr="00597AB4" w:rsidP="00597AB4">
            <w:pPr>
              <w:pStyle w:val="ListBullet"/>
            </w:pPr>
            <w:r w:rsidRPr="00597AB4">
              <w:t>automatic power cut out sensors</w:t>
            </w:r>
          </w:p>
          <w:p w:rsidR="00000000" w:rsidRPr="00597AB4" w:rsidP="00597AB4">
            <w:pPr>
              <w:pStyle w:val="ListBullet"/>
            </w:pPr>
            <w:r w:rsidRPr="00597AB4">
              <w:t>audible faults (e.g. hiss of escaping air)</w:t>
            </w:r>
          </w:p>
          <w:p w:rsidR="00000000" w:rsidP="00597AB4">
            <w:pPr>
              <w:pStyle w:val="ListBullet"/>
              <w:rPr>
                <w:lang w:val="en-NZ"/>
              </w:rPr>
            </w:pPr>
            <w:r w:rsidRPr="00597AB4">
              <w:t>visible faults (e.g. oil leaks, tears and cracks)</w:t>
            </w:r>
          </w:p>
        </w:tc>
      </w:tr>
      <w:tr w:rsidTr="008D553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97AB4">
            <w:pPr>
              <w:pStyle w:val="BodyText"/>
              <w:rPr>
                <w:lang w:val="en-NZ"/>
              </w:rPr>
            </w:pPr>
            <w:r w:rsidRPr="00597AB4">
              <w:t>Post operation checks may include:</w:t>
            </w:r>
          </w:p>
        </w:tc>
        <w:tc>
          <w:tcPr>
            <w:tcW w:w="6154" w:type="dxa"/>
            <w:tcBorders>
              <w:top w:val="nil"/>
              <w:left w:val="nil"/>
              <w:bottom w:val="nil"/>
              <w:right w:val="nil"/>
            </w:tcBorders>
            <w:tcMar>
              <w:top w:w="0" w:type="dxa"/>
              <w:left w:w="62" w:type="dxa"/>
              <w:bottom w:w="0" w:type="dxa"/>
              <w:right w:w="62" w:type="dxa"/>
            </w:tcMar>
          </w:tcPr>
          <w:p w:rsidR="00000000" w:rsidRPr="00597AB4" w:rsidP="00597AB4">
            <w:pPr>
              <w:pStyle w:val="ListBullet"/>
            </w:pPr>
            <w:r w:rsidRPr="00597AB4">
              <w:t>lubrication system</w:t>
            </w:r>
          </w:p>
          <w:p w:rsidR="00000000" w:rsidRPr="00597AB4" w:rsidP="00597AB4">
            <w:pPr>
              <w:pStyle w:val="ListBullet"/>
            </w:pPr>
            <w:r w:rsidRPr="00597AB4">
              <w:t>checking for fluid leaks</w:t>
            </w:r>
          </w:p>
          <w:p w:rsidR="00000000" w:rsidRPr="00597AB4" w:rsidP="00597AB4">
            <w:pPr>
              <w:pStyle w:val="ListBullet"/>
            </w:pPr>
            <w:r w:rsidRPr="00597AB4">
              <w:t>brake testing</w:t>
            </w:r>
          </w:p>
          <w:p w:rsidR="00000000" w:rsidP="00597AB4">
            <w:pPr>
              <w:pStyle w:val="ListBullet"/>
              <w:rPr>
                <w:lang w:val="en-NZ"/>
              </w:rPr>
            </w:pPr>
            <w:r w:rsidRPr="00597AB4">
              <w:t>checking of fluid levels</w:t>
            </w:r>
          </w:p>
        </w:tc>
      </w:tr>
      <w:tr w:rsidTr="008D553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97AB4">
            <w:pPr>
              <w:pStyle w:val="BodyText"/>
              <w:rPr>
                <w:lang w:val="en-NZ"/>
              </w:rPr>
            </w:pPr>
            <w:r w:rsidRPr="00597AB4">
              <w:t>Risk minimisation may require differentiating between faults, defects and deficiencie</w:t>
            </w:r>
            <w:r w:rsidRPr="00597AB4">
              <w:t>s that:</w:t>
            </w:r>
          </w:p>
        </w:tc>
        <w:tc>
          <w:tcPr>
            <w:tcW w:w="6154" w:type="dxa"/>
            <w:tcBorders>
              <w:top w:val="nil"/>
              <w:left w:val="nil"/>
              <w:bottom w:val="nil"/>
              <w:right w:val="nil"/>
            </w:tcBorders>
            <w:tcMar>
              <w:top w:w="0" w:type="dxa"/>
              <w:left w:w="62" w:type="dxa"/>
              <w:bottom w:w="0" w:type="dxa"/>
              <w:right w:w="62" w:type="dxa"/>
            </w:tcMar>
          </w:tcPr>
          <w:p w:rsidR="00000000" w:rsidRPr="00597AB4" w:rsidP="00597AB4">
            <w:pPr>
              <w:pStyle w:val="ListBullet"/>
            </w:pPr>
            <w:r w:rsidRPr="00597AB4">
              <w:t>do not present a hazard and could be attended to under running maintenance or in a normal maintenance schedule</w:t>
            </w:r>
          </w:p>
          <w:p w:rsidR="00000000" w:rsidRPr="00597AB4" w:rsidP="00597AB4">
            <w:pPr>
              <w:pStyle w:val="ListBullet"/>
            </w:pPr>
            <w:r w:rsidRPr="00597AB4">
              <w:t>present a potential hazard and need to be attended to under running maintenance or at the next most practical opportunity</w:t>
            </w:r>
          </w:p>
          <w:p w:rsidR="00000000" w:rsidP="00597AB4">
            <w:pPr>
              <w:pStyle w:val="ListBullet"/>
              <w:rPr>
                <w:lang w:val="en-NZ"/>
              </w:rPr>
            </w:pPr>
            <w:r w:rsidRPr="00597AB4">
              <w:t>present an imm</w:t>
            </w:r>
            <w:r w:rsidRPr="00597AB4">
              <w:t>ediate hazard and require immediate attention</w:t>
            </w:r>
          </w:p>
        </w:tc>
      </w:tr>
      <w:tr w:rsidTr="008D553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97AB4">
            <w:pPr>
              <w:pStyle w:val="BodyText"/>
              <w:rPr>
                <w:lang w:val="en-NZ"/>
              </w:rPr>
            </w:pPr>
            <w:r w:rsidRPr="00597AB4">
              <w:t>Relevant personnel may include:</w:t>
            </w:r>
          </w:p>
        </w:tc>
        <w:tc>
          <w:tcPr>
            <w:tcW w:w="6154" w:type="dxa"/>
            <w:tcBorders>
              <w:top w:val="nil"/>
              <w:left w:val="nil"/>
              <w:bottom w:val="nil"/>
              <w:right w:val="nil"/>
            </w:tcBorders>
            <w:tcMar>
              <w:top w:w="0" w:type="dxa"/>
              <w:left w:w="62" w:type="dxa"/>
              <w:bottom w:w="0" w:type="dxa"/>
              <w:right w:w="62" w:type="dxa"/>
            </w:tcMar>
          </w:tcPr>
          <w:p w:rsidR="00000000" w:rsidRPr="00597AB4" w:rsidP="00597AB4">
            <w:pPr>
              <w:pStyle w:val="ListBullet"/>
            </w:pPr>
            <w:r w:rsidRPr="00597AB4">
              <w:t>train crew</w:t>
            </w:r>
          </w:p>
          <w:p w:rsidR="00000000" w:rsidRPr="00597AB4" w:rsidP="00597AB4">
            <w:pPr>
              <w:pStyle w:val="ListBullet"/>
            </w:pPr>
            <w:r w:rsidRPr="00597AB4">
              <w:t>train controllers and signallers</w:t>
            </w:r>
          </w:p>
          <w:p w:rsidR="00000000" w:rsidRPr="00597AB4" w:rsidP="00597AB4">
            <w:pPr>
              <w:pStyle w:val="ListBullet"/>
            </w:pPr>
            <w:r w:rsidRPr="00597AB4">
              <w:t>rostering supervisors and staff</w:t>
            </w:r>
          </w:p>
          <w:p w:rsidR="00000000" w:rsidRPr="00597AB4" w:rsidP="00597AB4">
            <w:pPr>
              <w:pStyle w:val="ListBullet"/>
            </w:pPr>
            <w:r w:rsidRPr="00597AB4">
              <w:t>other train drivers and crews</w:t>
            </w:r>
          </w:p>
          <w:p w:rsidR="00000000" w:rsidRPr="00597AB4" w:rsidP="00597AB4">
            <w:pPr>
              <w:pStyle w:val="ListBullet"/>
            </w:pPr>
            <w:r w:rsidRPr="00597AB4">
              <w:t>depot coordinators</w:t>
            </w:r>
          </w:p>
          <w:p w:rsidR="00000000" w:rsidRPr="00597AB4" w:rsidP="00597AB4">
            <w:pPr>
              <w:pStyle w:val="ListBullet"/>
            </w:pPr>
            <w:r w:rsidRPr="00597AB4">
              <w:t>yard masters, supervisors and other operational personnel</w:t>
            </w:r>
          </w:p>
          <w:p w:rsidR="00000000" w:rsidRPr="00597AB4" w:rsidP="00597AB4">
            <w:pPr>
              <w:pStyle w:val="ListBullet"/>
            </w:pPr>
            <w:r w:rsidRPr="00597AB4">
              <w:t>service delivery supervisors</w:t>
            </w:r>
          </w:p>
          <w:p w:rsidR="00000000" w:rsidRPr="00597AB4" w:rsidP="00597AB4">
            <w:pPr>
              <w:pStyle w:val="ListBullet"/>
            </w:pPr>
            <w:r w:rsidRPr="00597AB4">
              <w:t>electric train service supervisor</w:t>
            </w:r>
          </w:p>
          <w:p w:rsidR="00000000" w:rsidRPr="00597AB4" w:rsidP="00597AB4">
            <w:pPr>
              <w:pStyle w:val="ListBullet"/>
            </w:pPr>
            <w:r w:rsidRPr="00597AB4">
              <w:t>station yard staff</w:t>
            </w:r>
          </w:p>
          <w:p w:rsidR="00000000" w:rsidRPr="00597AB4" w:rsidP="00597AB4">
            <w:pPr>
              <w:pStyle w:val="ListBullet"/>
            </w:pPr>
            <w:r w:rsidRPr="00597AB4">
              <w:t>maintenance and cleaning personnel</w:t>
            </w:r>
          </w:p>
          <w:p w:rsidR="00000000" w:rsidP="00597AB4">
            <w:pPr>
              <w:pStyle w:val="ListBullet"/>
              <w:rPr>
                <w:lang w:val="en-NZ"/>
              </w:rPr>
            </w:pPr>
            <w:r w:rsidRPr="00597AB4">
              <w:t>immediate internal or external customers</w:t>
            </w:r>
          </w:p>
        </w:tc>
      </w:tr>
      <w:tr w:rsidTr="008D553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97AB4">
            <w:pPr>
              <w:pStyle w:val="BodyText"/>
              <w:rPr>
                <w:lang w:val="en-NZ"/>
              </w:rPr>
            </w:pPr>
            <w:r w:rsidRPr="00597AB4">
              <w:t>Action taken upon the identification of</w:t>
            </w:r>
            <w:r w:rsidRPr="00597AB4">
              <w:t xml:space="preserve"> faults, defects or deficiencies may include:</w:t>
            </w:r>
          </w:p>
        </w:tc>
        <w:tc>
          <w:tcPr>
            <w:tcW w:w="6154" w:type="dxa"/>
            <w:tcBorders>
              <w:top w:val="nil"/>
              <w:left w:val="nil"/>
              <w:bottom w:val="nil"/>
              <w:right w:val="nil"/>
            </w:tcBorders>
            <w:tcMar>
              <w:top w:w="0" w:type="dxa"/>
              <w:left w:w="62" w:type="dxa"/>
              <w:bottom w:w="0" w:type="dxa"/>
              <w:right w:w="62" w:type="dxa"/>
            </w:tcMar>
          </w:tcPr>
          <w:p w:rsidR="00000000" w:rsidP="00597AB4">
            <w:pPr>
              <w:pStyle w:val="ListBullet"/>
              <w:rPr>
                <w:lang w:val="en-NZ"/>
              </w:rPr>
            </w:pPr>
            <w:r w:rsidRPr="00597AB4">
              <w:t>reporting the problem and carrying out repairs (depending on the level and extent of work required), or isolating and tagging the faulty equipment and advising appropriate personnel of the fault and need for r</w:t>
            </w:r>
            <w:r w:rsidRPr="00597AB4">
              <w:t>epair or replacement</w:t>
            </w:r>
          </w:p>
        </w:tc>
      </w:tr>
      <w:tr w:rsidTr="008D553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97AB4">
            <w:pPr>
              <w:pStyle w:val="BodyText"/>
              <w:rPr>
                <w:lang w:val="en-NZ"/>
              </w:rPr>
            </w:pPr>
            <w:r w:rsidRPr="00597AB4">
              <w:t>Depending on the organisation concerned workplace procedures may be called:</w:t>
            </w:r>
          </w:p>
        </w:tc>
        <w:tc>
          <w:tcPr>
            <w:tcW w:w="6154" w:type="dxa"/>
            <w:tcBorders>
              <w:top w:val="nil"/>
              <w:left w:val="nil"/>
              <w:bottom w:val="nil"/>
              <w:right w:val="nil"/>
            </w:tcBorders>
            <w:tcMar>
              <w:top w:w="0" w:type="dxa"/>
              <w:left w:w="62" w:type="dxa"/>
              <w:bottom w:w="0" w:type="dxa"/>
              <w:right w:w="62" w:type="dxa"/>
            </w:tcMar>
          </w:tcPr>
          <w:p w:rsidR="00000000" w:rsidRPr="00597AB4" w:rsidP="00597AB4">
            <w:pPr>
              <w:pStyle w:val="ListBullet"/>
            </w:pPr>
            <w:r w:rsidRPr="00597AB4">
              <w:t>standard operating procedures</w:t>
            </w:r>
          </w:p>
          <w:p w:rsidR="00000000" w:rsidRPr="00597AB4" w:rsidP="00597AB4">
            <w:pPr>
              <w:pStyle w:val="ListBullet"/>
            </w:pPr>
            <w:r w:rsidRPr="00597AB4">
              <w:t>company procedures</w:t>
            </w:r>
          </w:p>
          <w:p w:rsidR="00000000" w:rsidRPr="00597AB4" w:rsidP="00597AB4">
            <w:pPr>
              <w:pStyle w:val="ListBullet"/>
            </w:pPr>
            <w:r w:rsidRPr="00597AB4">
              <w:t>enterprise procedures</w:t>
            </w:r>
          </w:p>
          <w:p w:rsidR="00000000" w:rsidRPr="00597AB4" w:rsidP="00597AB4">
            <w:pPr>
              <w:pStyle w:val="ListBullet"/>
            </w:pPr>
            <w:r w:rsidRPr="00597AB4">
              <w:t>organisational procedures</w:t>
            </w:r>
          </w:p>
          <w:p w:rsidR="00000000" w:rsidP="00597AB4">
            <w:pPr>
              <w:pStyle w:val="ListBullet"/>
              <w:rPr>
                <w:lang w:val="en-NZ"/>
              </w:rPr>
            </w:pPr>
            <w:r w:rsidRPr="00597AB4">
              <w:t>established procedures</w:t>
            </w:r>
          </w:p>
        </w:tc>
      </w:tr>
      <w:tr w:rsidTr="008D553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97AB4">
            <w:pPr>
              <w:pStyle w:val="BodyText"/>
              <w:rPr>
                <w:lang w:val="en-NZ"/>
              </w:rPr>
            </w:pPr>
            <w:r w:rsidRPr="00597AB4">
              <w:t>Safety and 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597AB4" w:rsidP="00597AB4">
            <w:pPr>
              <w:pStyle w:val="ListBullet"/>
            </w:pPr>
            <w:r w:rsidRPr="00597AB4">
              <w:t>gloves</w:t>
            </w:r>
          </w:p>
          <w:p w:rsidR="00000000" w:rsidRPr="00597AB4" w:rsidP="00597AB4">
            <w:pPr>
              <w:pStyle w:val="ListBullet"/>
            </w:pPr>
            <w:r w:rsidRPr="00597AB4">
              <w:t>sunscreen and sunglasses</w:t>
            </w:r>
          </w:p>
          <w:p w:rsidR="00000000" w:rsidRPr="00597AB4" w:rsidP="00597AB4">
            <w:pPr>
              <w:pStyle w:val="ListBullet"/>
            </w:pPr>
            <w:r w:rsidRPr="00597AB4">
              <w:t>safety glasses</w:t>
            </w:r>
          </w:p>
          <w:p w:rsidR="00000000" w:rsidRPr="00597AB4" w:rsidP="00597AB4">
            <w:pPr>
              <w:pStyle w:val="ListBullet"/>
            </w:pPr>
            <w:r w:rsidRPr="00597AB4">
              <w:t>insect repellent</w:t>
            </w:r>
          </w:p>
          <w:p w:rsidR="00000000" w:rsidRPr="00597AB4" w:rsidP="00597AB4">
            <w:pPr>
              <w:pStyle w:val="ListBullet"/>
            </w:pPr>
            <w:r w:rsidRPr="00597AB4">
              <w:t>safety headwear and footwear</w:t>
            </w:r>
          </w:p>
          <w:p w:rsidR="00000000" w:rsidRPr="00597AB4" w:rsidP="00597AB4">
            <w:pPr>
              <w:pStyle w:val="ListBullet"/>
            </w:pPr>
            <w:r w:rsidRPr="00597AB4">
              <w:t>two-way radios</w:t>
            </w:r>
          </w:p>
          <w:p w:rsidR="00000000" w:rsidRPr="00597AB4" w:rsidP="00597AB4">
            <w:pPr>
              <w:pStyle w:val="ListBullet"/>
            </w:pPr>
            <w:r w:rsidRPr="00597AB4">
              <w:t>hand lamps</w:t>
            </w:r>
          </w:p>
          <w:p w:rsidR="00000000" w:rsidRPr="00597AB4" w:rsidP="00597AB4">
            <w:pPr>
              <w:pStyle w:val="ListBullet"/>
            </w:pPr>
            <w:r w:rsidRPr="00597AB4">
              <w:t>flags</w:t>
            </w:r>
          </w:p>
          <w:p w:rsidR="00000000" w:rsidRPr="00597AB4" w:rsidP="00597AB4">
            <w:pPr>
              <w:pStyle w:val="ListBullet"/>
            </w:pPr>
            <w:r w:rsidRPr="00597AB4">
              <w:t>safety devices</w:t>
            </w:r>
          </w:p>
          <w:p w:rsidR="00000000" w:rsidRPr="00597AB4" w:rsidP="00597AB4">
            <w:pPr>
              <w:pStyle w:val="ListBullet"/>
            </w:pPr>
            <w:r w:rsidRPr="00597AB4">
              <w:t>audible indicators</w:t>
            </w:r>
          </w:p>
          <w:p w:rsidR="00000000" w:rsidRPr="00597AB4" w:rsidP="00597AB4">
            <w:pPr>
              <w:pStyle w:val="ListBullet"/>
            </w:pPr>
            <w:r w:rsidRPr="00597AB4">
              <w:t>breathing equipment</w:t>
            </w:r>
          </w:p>
          <w:p w:rsidR="00000000" w:rsidRPr="00597AB4" w:rsidP="00597AB4">
            <w:pPr>
              <w:pStyle w:val="ListBullet"/>
            </w:pPr>
            <w:r w:rsidRPr="00597AB4">
              <w:t>fire extinguishers</w:t>
            </w:r>
          </w:p>
          <w:p w:rsidR="00000000" w:rsidRPr="00597AB4" w:rsidP="00597AB4">
            <w:pPr>
              <w:pStyle w:val="ListBullet"/>
            </w:pPr>
            <w:r w:rsidRPr="00597AB4">
              <w:t>high visibility clothing</w:t>
            </w:r>
          </w:p>
          <w:p w:rsidR="00000000" w:rsidP="00597AB4">
            <w:pPr>
              <w:pStyle w:val="ListBullet"/>
              <w:rPr>
                <w:lang w:val="en-NZ"/>
              </w:rPr>
            </w:pPr>
            <w:r w:rsidRPr="00597AB4">
              <w:t>hearing protection</w:t>
            </w:r>
          </w:p>
        </w:tc>
      </w:tr>
      <w:tr w:rsidTr="008D553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97AB4">
            <w:pPr>
              <w:pStyle w:val="BodyText"/>
              <w:rPr>
                <w:lang w:val="en-NZ"/>
              </w:rPr>
            </w:pPr>
            <w:r w:rsidRPr="00597AB4">
              <w:t>Information and documents may include:</w:t>
            </w:r>
          </w:p>
        </w:tc>
        <w:tc>
          <w:tcPr>
            <w:tcW w:w="6154" w:type="dxa"/>
            <w:tcBorders>
              <w:top w:val="nil"/>
              <w:left w:val="nil"/>
              <w:bottom w:val="nil"/>
              <w:right w:val="nil"/>
            </w:tcBorders>
            <w:tcMar>
              <w:top w:w="0" w:type="dxa"/>
              <w:left w:w="62" w:type="dxa"/>
              <w:bottom w:w="0" w:type="dxa"/>
              <w:right w:w="62" w:type="dxa"/>
            </w:tcMar>
          </w:tcPr>
          <w:p w:rsidR="00000000" w:rsidRPr="00597AB4" w:rsidP="00597AB4">
            <w:pPr>
              <w:pStyle w:val="ListBullet"/>
            </w:pPr>
            <w:r w:rsidRPr="00597AB4">
              <w:t>applicable legislated rail safety requirements including acts and regulations from each state and territory together with any nationally approved compliance codes and/or g</w:t>
            </w:r>
            <w:r w:rsidRPr="00597AB4">
              <w:t>uidelines</w:t>
            </w:r>
          </w:p>
          <w:p w:rsidR="00000000" w:rsidRPr="00597AB4" w:rsidP="00597AB4">
            <w:pPr>
              <w:pStyle w:val="ListBullet"/>
            </w:pPr>
            <w:r w:rsidRPr="00597AB4">
              <w:t>motive power unit operational records and user log books</w:t>
            </w:r>
          </w:p>
          <w:p w:rsidR="00000000" w:rsidRPr="00597AB4" w:rsidP="00597AB4">
            <w:pPr>
              <w:pStyle w:val="ListBullet"/>
            </w:pPr>
            <w:r w:rsidRPr="00597AB4">
              <w:t>maintenance notices, records and requests</w:t>
            </w:r>
          </w:p>
          <w:p w:rsidR="00000000" w:rsidRPr="00597AB4" w:rsidP="00597AB4">
            <w:pPr>
              <w:pStyle w:val="ListBullet"/>
            </w:pPr>
            <w:r w:rsidRPr="00597AB4">
              <w:t>preparation sheets certificates and service dockets</w:t>
            </w:r>
          </w:p>
          <w:p w:rsidR="00000000" w:rsidRPr="00597AB4" w:rsidP="00597AB4">
            <w:pPr>
              <w:pStyle w:val="ListBullet"/>
            </w:pPr>
            <w:r w:rsidRPr="00597AB4">
              <w:t>train running sheets</w:t>
            </w:r>
          </w:p>
          <w:p w:rsidR="00000000" w:rsidRPr="00597AB4" w:rsidP="00597AB4">
            <w:pPr>
              <w:pStyle w:val="ListBullet"/>
            </w:pPr>
            <w:r w:rsidRPr="00597AB4">
              <w:t>time sheets</w:t>
            </w:r>
          </w:p>
          <w:p w:rsidR="00000000" w:rsidRPr="00597AB4" w:rsidP="00597AB4">
            <w:pPr>
              <w:pStyle w:val="ListBullet"/>
            </w:pPr>
            <w:r w:rsidRPr="00597AB4">
              <w:t>safe working documentation</w:t>
            </w:r>
          </w:p>
          <w:p w:rsidR="00000000" w:rsidRPr="00597AB4" w:rsidP="00597AB4">
            <w:pPr>
              <w:pStyle w:val="ListBullet"/>
            </w:pPr>
            <w:r w:rsidRPr="00597AB4">
              <w:t>automatic train protection parameters</w:t>
            </w:r>
          </w:p>
          <w:p w:rsidR="00000000" w:rsidRPr="00597AB4" w:rsidP="00597AB4">
            <w:pPr>
              <w:pStyle w:val="ListBullet"/>
            </w:pPr>
            <w:r w:rsidRPr="00597AB4">
              <w:t xml:space="preserve">operational instructions, policies and procedures, including: those related to preventing motive power units from moving; track speed, length and load limitations; monitoring and complying with signals; and procedures </w:t>
            </w:r>
            <w:r w:rsidRPr="00597AB4">
              <w:t>for operating in accordance with specific track conditions</w:t>
            </w:r>
          </w:p>
          <w:p w:rsidR="00000000" w:rsidP="00597AB4">
            <w:pPr>
              <w:pStyle w:val="ListBullet"/>
              <w:rPr>
                <w:lang w:val="en-NZ"/>
              </w:rPr>
            </w:pPr>
            <w:r w:rsidRPr="00597AB4">
              <w:t>emergency procedures manual</w:t>
            </w:r>
          </w:p>
        </w:tc>
      </w:tr>
      <w:tr w:rsidTr="008D553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97AB4">
            <w:pPr>
              <w:pStyle w:val="BodyText"/>
              <w:rPr>
                <w:lang w:val="en-NZ"/>
              </w:rPr>
            </w:pPr>
            <w:r w:rsidRPr="00597AB4">
              <w:t>Applicable legislation, regulations and codes may include:</w:t>
            </w:r>
          </w:p>
        </w:tc>
        <w:tc>
          <w:tcPr>
            <w:tcW w:w="6154" w:type="dxa"/>
            <w:tcBorders>
              <w:top w:val="nil"/>
              <w:left w:val="nil"/>
              <w:bottom w:val="nil"/>
              <w:right w:val="nil"/>
            </w:tcBorders>
            <w:tcMar>
              <w:top w:w="0" w:type="dxa"/>
              <w:left w:w="62" w:type="dxa"/>
              <w:bottom w:w="0" w:type="dxa"/>
              <w:right w:w="62" w:type="dxa"/>
            </w:tcMar>
          </w:tcPr>
          <w:p w:rsidR="00000000" w:rsidRPr="00597AB4" w:rsidP="00597AB4">
            <w:pPr>
              <w:pStyle w:val="ListBullet"/>
            </w:pPr>
            <w:r w:rsidRPr="00597AB4">
              <w:t xml:space="preserve">applicable legislated rail safety requirements including acts and regulations from each state and territory </w:t>
            </w:r>
            <w:r w:rsidRPr="00597AB4">
              <w:t>together with any nationally approved compliance codes and/or guidelines</w:t>
            </w:r>
          </w:p>
          <w:p w:rsidR="00000000" w:rsidRPr="00597AB4" w:rsidP="00597AB4">
            <w:pPr>
              <w:pStyle w:val="ListBullet"/>
            </w:pPr>
            <w:r w:rsidRPr="00597AB4">
              <w:t>relevant Australian Standards and related requirements</w:t>
            </w:r>
          </w:p>
          <w:p w:rsidR="00000000" w:rsidRPr="00597AB4" w:rsidP="00597AB4">
            <w:pPr>
              <w:pStyle w:val="ListBullet"/>
            </w:pPr>
            <w:r w:rsidRPr="00597AB4">
              <w:t>relevant state/territory OH&amp;S legislation</w:t>
            </w:r>
          </w:p>
          <w:p w:rsidR="00000000" w:rsidRPr="00597AB4" w:rsidP="00597AB4">
            <w:pPr>
              <w:pStyle w:val="ListBullet"/>
            </w:pPr>
            <w:r w:rsidRPr="00597AB4">
              <w:t>relevant state/territory environmental protection legislation</w:t>
            </w:r>
          </w:p>
        </w:tc>
      </w:tr>
    </w:tbl>
    <w:p w:rsidR="008D5536" w:rsidP="00597AB4">
      <w:pPr>
        <w:pStyle w:val="BodyText"/>
      </w:pPr>
    </w:p>
    <w:p w:rsidR="008D5536" w:rsidP="00597AB4">
      <w:pPr>
        <w:pStyle w:val="BodyText"/>
      </w:pPr>
    </w:p>
    <w:p w:rsidR="00000000" w:rsidRPr="00597AB4" w:rsidP="00597AB4">
      <w:pPr>
        <w:pStyle w:val="Heading1"/>
      </w:pPr>
      <w:bookmarkStart w:id="12" w:name="O_295710"/>
      <w:bookmarkEnd w:id="12"/>
      <w:r w:rsidRPr="00597AB4">
        <w:t>Unit Sector(s)</w:t>
      </w:r>
    </w:p>
    <w:p w:rsidR="00000000" w:rsidRPr="00597AB4" w:rsidP="00597AB4">
      <w:pPr>
        <w:pStyle w:val="BodyText"/>
      </w:pPr>
      <w:r w:rsidRPr="00597AB4">
        <w:t>Not Applicable</w:t>
      </w:r>
    </w:p>
    <w:p w:rsidR="00000000" w:rsidRPr="00597AB4" w:rsidP="00597AB4">
      <w:pPr>
        <w:pStyle w:val="AllowPageBreak"/>
      </w:pPr>
    </w:p>
    <w:p w:rsidR="00000000" w:rsidRPr="00597AB4" w:rsidP="00597AB4">
      <w:pPr>
        <w:pStyle w:val="Heading1"/>
      </w:pPr>
      <w:bookmarkStart w:id="13" w:name="O_223141"/>
      <w:bookmarkEnd w:id="13"/>
      <w:r w:rsidRPr="00597AB4">
        <w:t>Competency Field</w:t>
      </w:r>
    </w:p>
    <w:tbl>
      <w:tblPr>
        <w:tblW w:w="9640" w:type="dxa"/>
        <w:tblLayout w:type="fixed"/>
        <w:tblCellMar>
          <w:left w:w="62" w:type="dxa"/>
          <w:right w:w="62" w:type="dxa"/>
        </w:tblCellMar>
        <w:tblLook w:val="0000"/>
      </w:tblPr>
      <w:tblGrid>
        <w:gridCol w:w="2978"/>
        <w:gridCol w:w="6662"/>
      </w:tblGrid>
      <w:tr w:rsidTr="008D553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97AB4">
            <w:pPr>
              <w:pStyle w:val="BodyText"/>
              <w:rPr>
                <w:lang w:val="en-NZ"/>
              </w:rPr>
            </w:pPr>
            <w:r w:rsidRPr="00597AB4">
              <w:rPr>
                <w:rStyle w:val="SpecialBold"/>
              </w:rPr>
              <w:t>Competency Field</w:t>
            </w:r>
            <w:r w:rsidRPr="00597AB4">
              <w:t xml:space="preserve"> </w:t>
            </w:r>
          </w:p>
        </w:tc>
        <w:tc>
          <w:tcPr>
            <w:tcW w:w="6662" w:type="dxa"/>
            <w:tcBorders>
              <w:top w:val="nil"/>
              <w:left w:val="nil"/>
              <w:bottom w:val="nil"/>
              <w:right w:val="nil"/>
            </w:tcBorders>
            <w:tcMar>
              <w:top w:w="0" w:type="dxa"/>
              <w:left w:w="62" w:type="dxa"/>
              <w:bottom w:w="0" w:type="dxa"/>
              <w:right w:w="62" w:type="dxa"/>
            </w:tcMar>
          </w:tcPr>
          <w:p w:rsidR="00000000" w:rsidRPr="00597AB4" w:rsidP="00597AB4">
            <w:pPr>
              <w:pStyle w:val="BodyText"/>
            </w:pPr>
            <w:r w:rsidRPr="00597AB4">
              <w:t>C - Vehicle Operation</w:t>
            </w:r>
          </w:p>
        </w:tc>
      </w:tr>
    </w:tbl>
    <w:p w:rsidR="008D5536" w:rsidP="00597AB4">
      <w:pPr>
        <w:pStyle w:val="BodyText"/>
      </w:pPr>
    </w:p>
    <w:p w:rsidR="008D5536" w:rsidP="00597AB4">
      <w:pPr>
        <w:pStyle w:val="BodyText"/>
      </w:pPr>
    </w:p>
    <w:p w:rsidR="00000000" w:rsidRPr="00597AB4" w:rsidP="00597AB4"/>
    <w:sectPr w:rsidSect="00597A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A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5536" w:rsidP="008D55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A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536" w:rsidP="00597A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D5536" w:rsidP="00597AB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8D5536" w:rsidP="00597AB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A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5536" w:rsidP="008D553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A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536" w:rsidP="00597AB4">
    <w:pPr>
      <w:pStyle w:val="Header"/>
      <w:framePr w:wrap="around"/>
    </w:pPr>
    <w:r>
      <w:fldChar w:fldCharType="begin"/>
    </w:r>
    <w:r>
      <w:instrText xml:space="preserve"> TITLE   \* MERGEFORMAT </w:instrText>
    </w:r>
    <w:r>
      <w:fldChar w:fldCharType="separate"/>
    </w:r>
    <w:r>
      <w:t>TLIC3029A Stable a heritage motive power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D5536" w:rsidP="00597AB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102A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8033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1237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7AB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97AB4"/>
    <w:pPr>
      <w:spacing w:before="360" w:after="60"/>
      <w:outlineLvl w:val="0"/>
    </w:pPr>
    <w:rPr>
      <w:sz w:val="32"/>
    </w:rPr>
  </w:style>
  <w:style w:type="paragraph" w:styleId="Heading2">
    <w:name w:val="heading 2"/>
    <w:basedOn w:val="HeadingBase"/>
    <w:next w:val="BodyText"/>
    <w:link w:val="Heading2Char"/>
    <w:qFormat/>
    <w:rsid w:val="00597AB4"/>
    <w:pPr>
      <w:keepLines/>
      <w:spacing w:before="240" w:after="120"/>
      <w:outlineLvl w:val="1"/>
    </w:pPr>
    <w:rPr>
      <w:sz w:val="28"/>
      <w:szCs w:val="40"/>
    </w:rPr>
  </w:style>
  <w:style w:type="paragraph" w:styleId="Heading3">
    <w:name w:val="heading 3"/>
    <w:basedOn w:val="HeadingBase"/>
    <w:next w:val="BodyText"/>
    <w:link w:val="Heading3Char"/>
    <w:qFormat/>
    <w:rsid w:val="00597AB4"/>
    <w:pPr>
      <w:spacing w:before="180" w:after="120"/>
      <w:outlineLvl w:val="2"/>
    </w:pPr>
    <w:rPr>
      <w:spacing w:val="-10"/>
      <w:kern w:val="32"/>
    </w:rPr>
  </w:style>
  <w:style w:type="paragraph" w:styleId="Heading4">
    <w:name w:val="heading 4"/>
    <w:basedOn w:val="HeadingBase"/>
    <w:next w:val="BodyText"/>
    <w:link w:val="Heading4Char"/>
    <w:qFormat/>
    <w:rsid w:val="00597AB4"/>
    <w:pPr>
      <w:spacing w:before="160" w:after="120"/>
      <w:outlineLvl w:val="3"/>
    </w:pPr>
    <w:rPr>
      <w:sz w:val="22"/>
    </w:rPr>
  </w:style>
  <w:style w:type="paragraph" w:styleId="Heading5">
    <w:name w:val="heading 5"/>
    <w:basedOn w:val="HeadingBase"/>
    <w:next w:val="Normal"/>
    <w:link w:val="Heading5Char"/>
    <w:qFormat/>
    <w:rsid w:val="00597AB4"/>
    <w:pPr>
      <w:spacing w:before="80"/>
      <w:outlineLvl w:val="4"/>
    </w:pPr>
    <w:rPr>
      <w:color w:val="918585"/>
      <w:sz w:val="20"/>
    </w:rPr>
  </w:style>
  <w:style w:type="paragraph" w:styleId="Heading6">
    <w:name w:val="heading 6"/>
    <w:basedOn w:val="HeadingBase"/>
    <w:next w:val="Normal"/>
    <w:link w:val="Heading6Char"/>
    <w:qFormat/>
    <w:rsid w:val="00597AB4"/>
    <w:pPr>
      <w:spacing w:before="60"/>
      <w:outlineLvl w:val="5"/>
    </w:pPr>
    <w:rPr>
      <w:color w:val="918585"/>
      <w:sz w:val="20"/>
    </w:rPr>
  </w:style>
  <w:style w:type="paragraph" w:styleId="Heading7">
    <w:name w:val="heading 7"/>
    <w:basedOn w:val="Normal"/>
    <w:next w:val="Normal"/>
    <w:link w:val="Heading7Char"/>
    <w:qFormat/>
    <w:rsid w:val="00597AB4"/>
    <w:pPr>
      <w:ind w:left="720"/>
      <w:outlineLvl w:val="6"/>
    </w:pPr>
    <w:rPr>
      <w:i/>
    </w:rPr>
  </w:style>
  <w:style w:type="paragraph" w:styleId="Heading8">
    <w:name w:val="heading 8"/>
    <w:basedOn w:val="Normal"/>
    <w:next w:val="Normal"/>
    <w:link w:val="Heading8Char"/>
    <w:qFormat/>
    <w:rsid w:val="00597AB4"/>
    <w:pPr>
      <w:ind w:left="720"/>
      <w:outlineLvl w:val="7"/>
    </w:pPr>
    <w:rPr>
      <w:i/>
    </w:rPr>
  </w:style>
  <w:style w:type="paragraph" w:styleId="Heading9">
    <w:name w:val="heading 9"/>
    <w:basedOn w:val="Normal"/>
    <w:next w:val="Normal"/>
    <w:link w:val="Heading9Char"/>
    <w:qFormat/>
    <w:rsid w:val="00597AB4"/>
    <w:pPr>
      <w:ind w:left="720"/>
      <w:outlineLvl w:val="8"/>
    </w:pPr>
    <w:rPr>
      <w:i/>
    </w:rPr>
  </w:style>
  <w:style w:type="character" w:default="1" w:styleId="DefaultParagraphFont">
    <w:name w:val="Default Paragraph Font"/>
    <w:uiPriority w:val="1"/>
    <w:unhideWhenUsed/>
    <w:rsid w:val="00597A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7AB4"/>
  </w:style>
  <w:style w:type="character" w:customStyle="1" w:styleId="Heading1Char">
    <w:name w:val="Heading 1 Char"/>
    <w:link w:val="Heading1"/>
    <w:rsid w:val="00597AB4"/>
    <w:rPr>
      <w:rFonts w:ascii="Times New Roman" w:eastAsia="Times New Roman" w:hAnsi="Times New Roman" w:cs="Times New Roman"/>
      <w:b/>
      <w:sz w:val="32"/>
      <w:szCs w:val="20"/>
      <w:lang w:eastAsia="en-US"/>
    </w:rPr>
  </w:style>
  <w:style w:type="paragraph" w:styleId="BodyText">
    <w:name w:val="Body Text"/>
    <w:basedOn w:val="Normal"/>
    <w:link w:val="BodyTextChar"/>
    <w:rsid w:val="00597AB4"/>
    <w:pPr>
      <w:spacing w:before="120" w:after="120"/>
      <w:contextualSpacing/>
    </w:pPr>
    <w:rPr>
      <w:rFonts w:ascii="Times New Roman" w:hAnsi="Times New Roman"/>
      <w:sz w:val="24"/>
      <w:szCs w:val="22"/>
    </w:rPr>
  </w:style>
  <w:style w:type="character" w:customStyle="1" w:styleId="BodyTextChar">
    <w:name w:val="Body Text Char"/>
    <w:link w:val="BodyText"/>
    <w:rsid w:val="00597AB4"/>
    <w:rPr>
      <w:rFonts w:ascii="Times New Roman" w:eastAsia="Times New Roman" w:hAnsi="Times New Roman" w:cs="Times New Roman"/>
      <w:sz w:val="24"/>
      <w:lang w:val="en-US" w:eastAsia="en-US"/>
    </w:rPr>
  </w:style>
  <w:style w:type="paragraph" w:styleId="Footer">
    <w:name w:val="footer"/>
    <w:basedOn w:val="Normal"/>
    <w:link w:val="FooterChar"/>
    <w:rsid w:val="00597A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97AB4"/>
    <w:rPr>
      <w:rFonts w:ascii="Times New Roman" w:eastAsia="Times New Roman" w:hAnsi="Times New Roman" w:cs="Times New Roman"/>
      <w:sz w:val="16"/>
      <w:lang w:val="en-US" w:eastAsia="en-US"/>
    </w:rPr>
  </w:style>
  <w:style w:type="paragraph" w:styleId="List">
    <w:name w:val="List"/>
    <w:basedOn w:val="BodyText"/>
    <w:next w:val="BodyText"/>
    <w:rsid w:val="00597AB4"/>
    <w:pPr>
      <w:tabs>
        <w:tab w:val="left" w:pos="340"/>
      </w:tabs>
      <w:spacing w:before="60" w:after="60"/>
      <w:ind w:left="340" w:hanging="340"/>
    </w:pPr>
  </w:style>
  <w:style w:type="paragraph" w:styleId="ListBullet">
    <w:name w:val="List Bullet"/>
    <w:basedOn w:val="List"/>
    <w:rsid w:val="00597AB4"/>
    <w:pPr>
      <w:numPr>
        <w:numId w:val="13"/>
      </w:numPr>
      <w:tabs>
        <w:tab w:val="clear" w:pos="340"/>
      </w:tabs>
      <w:spacing w:before="40" w:after="40"/>
    </w:pPr>
  </w:style>
  <w:style w:type="character" w:customStyle="1" w:styleId="SpecialBold">
    <w:name w:val="Special Bold"/>
    <w:rsid w:val="00597AB4"/>
    <w:rPr>
      <w:b/>
      <w:spacing w:val="0"/>
    </w:rPr>
  </w:style>
  <w:style w:type="paragraph" w:styleId="ListBullet2">
    <w:name w:val="List Bullet 2"/>
    <w:basedOn w:val="List2"/>
    <w:rsid w:val="00597AB4"/>
    <w:pPr>
      <w:numPr>
        <w:numId w:val="14"/>
      </w:numPr>
      <w:tabs>
        <w:tab w:val="clear" w:pos="680"/>
      </w:tabs>
    </w:pPr>
  </w:style>
  <w:style w:type="paragraph" w:styleId="Header">
    <w:name w:val="header"/>
    <w:basedOn w:val="Normal"/>
    <w:link w:val="HeaderChar"/>
    <w:rsid w:val="00597A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97AB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97AB4"/>
    <w:pPr>
      <w:spacing w:before="240" w:after="120"/>
      <w:outlineLvl w:val="0"/>
    </w:pPr>
    <w:rPr>
      <w:rFonts w:ascii="Times New Roman" w:hAnsi="Times New Roman"/>
      <w:b/>
      <w:sz w:val="28"/>
    </w:rPr>
  </w:style>
  <w:style w:type="paragraph" w:customStyle="1" w:styleId="AllowPageBreak">
    <w:name w:val="AllowPageBreak"/>
    <w:rsid w:val="00597A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597AB4"/>
    <w:rPr>
      <w:rFonts w:ascii="Times New Roman" w:eastAsia="Times New Roman" w:hAnsi="Times New Roman" w:cs="Times New Roman"/>
      <w:b/>
      <w:sz w:val="28"/>
      <w:szCs w:val="40"/>
      <w:lang w:eastAsia="en-US"/>
    </w:rPr>
  </w:style>
  <w:style w:type="character" w:customStyle="1" w:styleId="Heading3Char">
    <w:name w:val="Heading 3 Char"/>
    <w:link w:val="Heading3"/>
    <w:rsid w:val="00597AB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97AB4"/>
    <w:rPr>
      <w:rFonts w:ascii="Times New Roman" w:eastAsia="Times New Roman" w:hAnsi="Times New Roman" w:cs="Times New Roman"/>
      <w:b/>
      <w:szCs w:val="20"/>
      <w:lang w:eastAsia="en-US"/>
    </w:rPr>
  </w:style>
  <w:style w:type="character" w:customStyle="1" w:styleId="Heading5Char">
    <w:name w:val="Heading 5 Char"/>
    <w:link w:val="Heading5"/>
    <w:rsid w:val="00597AB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97A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7AB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97AB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97AB4"/>
    <w:rPr>
      <w:rFonts w:ascii="Courier New" w:eastAsia="Times New Roman" w:hAnsi="Courier New" w:cs="Times New Roman"/>
      <w:i/>
      <w:szCs w:val="20"/>
      <w:lang w:val="en-US" w:eastAsia="en-US"/>
    </w:rPr>
  </w:style>
  <w:style w:type="paragraph" w:customStyle="1" w:styleId="HeadingBase">
    <w:name w:val="Heading Base"/>
    <w:rsid w:val="00597A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7AB4"/>
    <w:pPr>
      <w:tabs>
        <w:tab w:val="right" w:leader="dot" w:pos="9072"/>
      </w:tabs>
      <w:ind w:left="567"/>
    </w:pPr>
    <w:rPr>
      <w:szCs w:val="22"/>
    </w:rPr>
  </w:style>
  <w:style w:type="paragraph" w:customStyle="1" w:styleId="TOCBase">
    <w:name w:val="TOC Base"/>
    <w:rsid w:val="00597A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7AB4"/>
    <w:pPr>
      <w:tabs>
        <w:tab w:val="right" w:leader="dot" w:pos="9072"/>
      </w:tabs>
      <w:spacing w:before="40" w:after="40"/>
      <w:ind w:left="284"/>
    </w:pPr>
    <w:rPr>
      <w:rFonts w:ascii="Times New Roman" w:hAnsi="Times New Roman"/>
    </w:rPr>
  </w:style>
  <w:style w:type="paragraph" w:styleId="TOC1">
    <w:name w:val="toc 1"/>
    <w:basedOn w:val="TOCBase"/>
    <w:next w:val="Normal"/>
    <w:rsid w:val="00597AB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97AB4"/>
    <w:pPr>
      <w:spacing w:before="5040"/>
      <w:jc w:val="center"/>
    </w:pPr>
    <w:rPr>
      <w:sz w:val="48"/>
      <w:szCs w:val="72"/>
      <w:lang w:val="en-US"/>
    </w:rPr>
  </w:style>
  <w:style w:type="character" w:customStyle="1" w:styleId="TitleChar">
    <w:name w:val="Title Char"/>
    <w:link w:val="Title"/>
    <w:rsid w:val="00597A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7AB4"/>
    <w:pPr>
      <w:tabs>
        <w:tab w:val="left" w:pos="3600"/>
        <w:tab w:val="left" w:pos="3958"/>
      </w:tabs>
    </w:pPr>
  </w:style>
  <w:style w:type="paragraph" w:customStyle="1" w:styleId="Note">
    <w:name w:val="Note"/>
    <w:basedOn w:val="BodyText"/>
    <w:rsid w:val="00597A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7AB4"/>
    <w:pPr>
      <w:framePr w:wrap="auto" w:hAnchor="text" w:y="6049"/>
    </w:pPr>
    <w:rPr>
      <w:color w:val="000000"/>
      <w:sz w:val="40"/>
    </w:rPr>
  </w:style>
  <w:style w:type="paragraph" w:customStyle="1" w:styleId="TOCTitle">
    <w:name w:val="TOCTitle"/>
    <w:basedOn w:val="Heading1"/>
    <w:rsid w:val="00597AB4"/>
    <w:pPr>
      <w:spacing w:after="240"/>
      <w:jc w:val="center"/>
      <w:outlineLvl w:val="9"/>
    </w:pPr>
    <w:rPr>
      <w:caps/>
    </w:rPr>
  </w:style>
  <w:style w:type="paragraph" w:customStyle="1" w:styleId="Version">
    <w:name w:val="Version"/>
    <w:rsid w:val="00597A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7AB4"/>
    <w:pPr>
      <w:keepNext w:val="0"/>
      <w:tabs>
        <w:tab w:val="right" w:pos="4176"/>
      </w:tabs>
      <w:ind w:left="198" w:hanging="198"/>
    </w:pPr>
    <w:rPr>
      <w:rFonts w:ascii="Garamond" w:hAnsi="Garamond"/>
    </w:rPr>
  </w:style>
  <w:style w:type="paragraph" w:styleId="IndexHeading">
    <w:name w:val="index heading"/>
    <w:basedOn w:val="Normal"/>
    <w:next w:val="Index1"/>
    <w:semiHidden/>
    <w:rsid w:val="00597AB4"/>
    <w:pPr>
      <w:spacing w:before="120" w:after="120"/>
    </w:pPr>
    <w:rPr>
      <w:rFonts w:ascii="Arial" w:hAnsi="Arial"/>
      <w:b/>
      <w:color w:val="918585"/>
      <w:sz w:val="24"/>
    </w:rPr>
  </w:style>
  <w:style w:type="paragraph" w:customStyle="1" w:styleId="Chapter">
    <w:name w:val="Chapter"/>
    <w:basedOn w:val="Normal"/>
    <w:rsid w:val="00597AB4"/>
    <w:pPr>
      <w:spacing w:before="240"/>
    </w:pPr>
    <w:rPr>
      <w:rFonts w:ascii="Times New Roman" w:hAnsi="Times New Roman"/>
      <w:smallCaps/>
      <w:spacing w:val="80"/>
      <w:sz w:val="28"/>
    </w:rPr>
  </w:style>
  <w:style w:type="paragraph" w:customStyle="1" w:styleId="InChapter">
    <w:name w:val="InChapter"/>
    <w:basedOn w:val="Heading3"/>
    <w:rsid w:val="00597AB4"/>
    <w:pPr>
      <w:spacing w:after="240"/>
      <w:outlineLvl w:val="9"/>
    </w:pPr>
    <w:rPr>
      <w:noProof/>
    </w:rPr>
  </w:style>
  <w:style w:type="paragraph" w:styleId="Index2">
    <w:name w:val="index 2"/>
    <w:basedOn w:val="Normal"/>
    <w:next w:val="Normal"/>
    <w:semiHidden/>
    <w:rsid w:val="00597AB4"/>
    <w:pPr>
      <w:tabs>
        <w:tab w:val="right" w:pos="4176"/>
      </w:tabs>
      <w:ind w:left="568" w:hanging="284"/>
    </w:pPr>
    <w:rPr>
      <w:rFonts w:ascii="Garamond" w:hAnsi="Garamond"/>
    </w:rPr>
  </w:style>
  <w:style w:type="paragraph" w:customStyle="1" w:styleId="Byline">
    <w:name w:val="Byline"/>
    <w:rsid w:val="00597A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7AB4"/>
    <w:pPr>
      <w:tabs>
        <w:tab w:val="clear" w:pos="3600"/>
        <w:tab w:val="clear" w:pos="3958"/>
      </w:tabs>
      <w:jc w:val="right"/>
    </w:pPr>
  </w:style>
  <w:style w:type="character" w:styleId="Emphasis">
    <w:name w:val="Emphasis"/>
    <w:qFormat/>
    <w:rsid w:val="00597AB4"/>
    <w:rPr>
      <w:i/>
    </w:rPr>
  </w:style>
  <w:style w:type="paragraph" w:styleId="Caption">
    <w:name w:val="caption"/>
    <w:basedOn w:val="BodyText"/>
    <w:next w:val="Normal"/>
    <w:qFormat/>
    <w:rsid w:val="00597AB4"/>
    <w:pPr>
      <w:framePr w:w="2268" w:hSpace="181" w:vSpace="181" w:wrap="around" w:vAnchor="text" w:hAnchor="page" w:x="1135" w:y="285" w:anchorLock="1"/>
    </w:pPr>
    <w:rPr>
      <w:i/>
    </w:rPr>
  </w:style>
  <w:style w:type="paragraph" w:customStyle="1" w:styleId="MiniTOCTitle">
    <w:name w:val="MiniTOCTitle"/>
    <w:basedOn w:val="Heading4"/>
    <w:rsid w:val="00597AB4"/>
    <w:pPr>
      <w:spacing w:before="240"/>
      <w:outlineLvl w:val="9"/>
    </w:pPr>
    <w:rPr>
      <w:noProof/>
      <w:sz w:val="24"/>
    </w:rPr>
  </w:style>
  <w:style w:type="paragraph" w:customStyle="1" w:styleId="MiniTOCItem">
    <w:name w:val="MiniTOCItem"/>
    <w:basedOn w:val="ListBullet"/>
    <w:rsid w:val="00597AB4"/>
    <w:pPr>
      <w:numPr>
        <w:numId w:val="0"/>
      </w:numPr>
      <w:tabs>
        <w:tab w:val="right" w:leader="dot" w:pos="6521"/>
      </w:tabs>
      <w:spacing w:before="0" w:after="0"/>
    </w:pPr>
  </w:style>
  <w:style w:type="paragraph" w:customStyle="1" w:styleId="TOFTitle">
    <w:name w:val="TOFTitle"/>
    <w:basedOn w:val="TOCTitle"/>
    <w:rsid w:val="00597AB4"/>
  </w:style>
  <w:style w:type="paragraph" w:styleId="TableofFigures">
    <w:name w:val="table of figures"/>
    <w:basedOn w:val="Normal"/>
    <w:next w:val="Normal"/>
    <w:semiHidden/>
    <w:rsid w:val="00597AB4"/>
    <w:pPr>
      <w:tabs>
        <w:tab w:val="right" w:leader="dot" w:pos="9072"/>
      </w:tabs>
      <w:ind w:left="970" w:hanging="403"/>
    </w:pPr>
    <w:rPr>
      <w:rFonts w:ascii="Times New Roman" w:hAnsi="Times New Roman"/>
      <w:b/>
    </w:rPr>
  </w:style>
  <w:style w:type="paragraph" w:styleId="ListNumber">
    <w:name w:val="List Number"/>
    <w:basedOn w:val="List"/>
    <w:rsid w:val="00597AB4"/>
    <w:pPr>
      <w:numPr>
        <w:numId w:val="11"/>
      </w:numPr>
    </w:pPr>
  </w:style>
  <w:style w:type="character" w:customStyle="1" w:styleId="WingdingSymbols">
    <w:name w:val="Wingding Symbols"/>
    <w:rsid w:val="00597AB4"/>
    <w:rPr>
      <w:rFonts w:ascii="Wingdings" w:hAnsi="Wingdings"/>
    </w:rPr>
  </w:style>
  <w:style w:type="paragraph" w:customStyle="1" w:styleId="TableHeading">
    <w:name w:val="Table Heading"/>
    <w:basedOn w:val="HeadingBase"/>
    <w:rsid w:val="00597AB4"/>
    <w:pPr>
      <w:keepLines/>
      <w:pBdr>
        <w:bottom w:val="single" w:sz="6" w:space="1" w:color="918585"/>
      </w:pBdr>
      <w:spacing w:before="240"/>
    </w:pPr>
  </w:style>
  <w:style w:type="character" w:customStyle="1" w:styleId="HotSpot">
    <w:name w:val="HotSpot"/>
    <w:rsid w:val="00597AB4"/>
    <w:rPr>
      <w:color w:val="0033CC"/>
      <w:u w:val="none"/>
    </w:rPr>
  </w:style>
  <w:style w:type="paragraph" w:customStyle="1" w:styleId="BodyTextRight">
    <w:name w:val="Body Text Right"/>
    <w:basedOn w:val="BodyText"/>
    <w:rsid w:val="00597AB4"/>
    <w:pPr>
      <w:spacing w:before="0" w:after="0"/>
      <w:jc w:val="right"/>
    </w:pPr>
  </w:style>
  <w:style w:type="paragraph" w:styleId="Index3">
    <w:name w:val="index 3"/>
    <w:basedOn w:val="ListNumber2"/>
    <w:next w:val="Normal"/>
    <w:semiHidden/>
    <w:rsid w:val="00597AB4"/>
    <w:pPr>
      <w:numPr>
        <w:numId w:val="0"/>
      </w:numPr>
      <w:tabs>
        <w:tab w:val="right" w:leader="dot" w:pos="4176"/>
      </w:tabs>
    </w:pPr>
  </w:style>
  <w:style w:type="paragraph" w:styleId="ListNumber2">
    <w:name w:val="List Number 2"/>
    <w:basedOn w:val="List2"/>
    <w:rsid w:val="00597AB4"/>
    <w:pPr>
      <w:numPr>
        <w:numId w:val="10"/>
      </w:numPr>
      <w:tabs>
        <w:tab w:val="clear" w:pos="1060"/>
      </w:tabs>
    </w:pPr>
  </w:style>
  <w:style w:type="paragraph" w:customStyle="1" w:styleId="MarginNote">
    <w:name w:val="Margin Note"/>
    <w:basedOn w:val="BodyText"/>
    <w:rsid w:val="00597A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7A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97AB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97AB4"/>
    <w:rPr>
      <w:sz w:val="32"/>
    </w:rPr>
  </w:style>
  <w:style w:type="paragraph" w:customStyle="1" w:styleId="HeadingProcedure">
    <w:name w:val="Heading Procedure"/>
    <w:basedOn w:val="HeadingBase"/>
    <w:next w:val="Normal"/>
    <w:rsid w:val="00597AB4"/>
    <w:pPr>
      <w:tabs>
        <w:tab w:val="left" w:pos="0"/>
      </w:tabs>
      <w:spacing w:before="120" w:after="60"/>
    </w:pPr>
    <w:rPr>
      <w:i/>
      <w:color w:val="918585"/>
      <w:sz w:val="22"/>
    </w:rPr>
  </w:style>
  <w:style w:type="paragraph" w:customStyle="1" w:styleId="TableBodyText">
    <w:name w:val="Table Body Text"/>
    <w:basedOn w:val="BodyText"/>
    <w:rsid w:val="00597AB4"/>
    <w:pPr>
      <w:spacing w:before="60" w:after="60"/>
    </w:pPr>
  </w:style>
  <w:style w:type="paragraph" w:styleId="ListContinue">
    <w:name w:val="List Continue"/>
    <w:basedOn w:val="List"/>
    <w:rsid w:val="00597AB4"/>
    <w:pPr>
      <w:ind w:firstLine="0"/>
    </w:pPr>
  </w:style>
  <w:style w:type="paragraph" w:customStyle="1" w:styleId="ListNote">
    <w:name w:val="List Note"/>
    <w:basedOn w:val="List"/>
    <w:rsid w:val="00597AB4"/>
    <w:pPr>
      <w:pBdr>
        <w:top w:val="single" w:sz="6" w:space="2" w:color="918585"/>
        <w:bottom w:val="single" w:sz="6" w:space="2" w:color="918585"/>
      </w:pBdr>
      <w:tabs>
        <w:tab w:val="left" w:pos="1021"/>
      </w:tabs>
      <w:ind w:firstLine="0"/>
    </w:pPr>
  </w:style>
  <w:style w:type="paragraph" w:customStyle="1" w:styleId="Warning">
    <w:name w:val="Warning"/>
    <w:basedOn w:val="BodyText"/>
    <w:rsid w:val="00597AB4"/>
    <w:pPr>
      <w:shd w:val="clear" w:color="auto" w:fill="D9D9D9"/>
      <w:tabs>
        <w:tab w:val="left" w:pos="992"/>
      </w:tabs>
      <w:ind w:left="119" w:right="119"/>
    </w:pPr>
    <w:rPr>
      <w:sz w:val="20"/>
    </w:rPr>
  </w:style>
  <w:style w:type="paragraph" w:customStyle="1" w:styleId="MarginIcons">
    <w:name w:val="Margin Icons"/>
    <w:basedOn w:val="BodyText"/>
    <w:rsid w:val="00597AB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97AB4"/>
    <w:rPr>
      <w:rFonts w:ascii="Courier New" w:hAnsi="Courier New"/>
    </w:rPr>
  </w:style>
  <w:style w:type="paragraph" w:customStyle="1" w:styleId="NoteBullet">
    <w:name w:val="Note Bullet"/>
    <w:basedOn w:val="Note"/>
    <w:rsid w:val="00597AB4"/>
    <w:pPr>
      <w:tabs>
        <w:tab w:val="clear" w:pos="680"/>
      </w:tabs>
      <w:spacing w:before="60" w:after="60"/>
    </w:pPr>
  </w:style>
  <w:style w:type="paragraph" w:customStyle="1" w:styleId="SubHeading2">
    <w:name w:val="SubHeading2"/>
    <w:basedOn w:val="HeadingBase"/>
    <w:rsid w:val="00597AB4"/>
    <w:pPr>
      <w:spacing w:before="240" w:after="60"/>
    </w:pPr>
    <w:rPr>
      <w:sz w:val="20"/>
    </w:rPr>
  </w:style>
  <w:style w:type="paragraph" w:customStyle="1" w:styleId="SubHeading1">
    <w:name w:val="SubHeading1"/>
    <w:basedOn w:val="HeadingBase"/>
    <w:rsid w:val="00597AB4"/>
    <w:pPr>
      <w:spacing w:before="240" w:after="60"/>
    </w:pPr>
    <w:rPr>
      <w:color w:val="918585"/>
      <w:sz w:val="22"/>
    </w:rPr>
  </w:style>
  <w:style w:type="paragraph" w:customStyle="1" w:styleId="SideHeading">
    <w:name w:val="Side Heading"/>
    <w:basedOn w:val="HeadingBase"/>
    <w:rsid w:val="00597A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7AB4"/>
    <w:pPr>
      <w:numPr>
        <w:numId w:val="12"/>
      </w:numPr>
    </w:pPr>
  </w:style>
  <w:style w:type="paragraph" w:styleId="PlainText">
    <w:name w:val="Plain Text"/>
    <w:basedOn w:val="Normal"/>
    <w:link w:val="PlainTextChar"/>
    <w:rsid w:val="00597AB4"/>
    <w:rPr>
      <w:sz w:val="20"/>
    </w:rPr>
  </w:style>
  <w:style w:type="character" w:customStyle="1" w:styleId="PlainTextChar">
    <w:name w:val="Plain Text Char"/>
    <w:basedOn w:val="DefaultParagraphFont"/>
    <w:link w:val="PlainText"/>
    <w:rsid w:val="00597AB4"/>
    <w:rPr>
      <w:rFonts w:ascii="Courier New" w:eastAsia="Times New Roman" w:hAnsi="Courier New" w:cs="Times New Roman"/>
      <w:sz w:val="20"/>
      <w:szCs w:val="20"/>
      <w:lang w:val="en-US" w:eastAsia="en-US"/>
    </w:rPr>
  </w:style>
  <w:style w:type="character" w:customStyle="1" w:styleId="MenuOption">
    <w:name w:val="Menu Option"/>
    <w:rsid w:val="00597AB4"/>
    <w:rPr>
      <w:b/>
      <w:smallCaps/>
    </w:rPr>
  </w:style>
  <w:style w:type="paragraph" w:customStyle="1" w:styleId="TableListNumber">
    <w:name w:val="Table List Number"/>
    <w:basedOn w:val="ListNumber"/>
    <w:rsid w:val="00597AB4"/>
    <w:pPr>
      <w:numPr>
        <w:numId w:val="0"/>
      </w:numPr>
    </w:pPr>
  </w:style>
  <w:style w:type="paragraph" w:styleId="TOC4">
    <w:name w:val="toc 4"/>
    <w:basedOn w:val="TOCBase"/>
    <w:next w:val="Normal"/>
    <w:semiHidden/>
    <w:rsid w:val="00597AB4"/>
    <w:pPr>
      <w:tabs>
        <w:tab w:val="right" w:leader="dot" w:pos="9071"/>
      </w:tabs>
      <w:ind w:left="1701"/>
    </w:pPr>
  </w:style>
  <w:style w:type="paragraph" w:customStyle="1" w:styleId="ListAlpha">
    <w:name w:val="List Alpha"/>
    <w:basedOn w:val="List"/>
    <w:rsid w:val="00597AB4"/>
    <w:pPr>
      <w:numPr>
        <w:numId w:val="9"/>
      </w:numPr>
    </w:pPr>
  </w:style>
  <w:style w:type="paragraph" w:customStyle="1" w:styleId="ListAlpha2">
    <w:name w:val="List Alpha 2"/>
    <w:basedOn w:val="List2"/>
    <w:rsid w:val="00597AB4"/>
    <w:pPr>
      <w:numPr>
        <w:numId w:val="8"/>
      </w:numPr>
    </w:pPr>
  </w:style>
  <w:style w:type="paragraph" w:styleId="List2">
    <w:name w:val="List 2"/>
    <w:basedOn w:val="BodyText"/>
    <w:rsid w:val="00597AB4"/>
    <w:pPr>
      <w:tabs>
        <w:tab w:val="left" w:pos="680"/>
      </w:tabs>
      <w:spacing w:before="60" w:after="60"/>
      <w:ind w:left="680" w:hanging="340"/>
    </w:pPr>
  </w:style>
  <w:style w:type="paragraph" w:styleId="List3">
    <w:name w:val="List 3"/>
    <w:basedOn w:val="BodyText"/>
    <w:rsid w:val="00597AB4"/>
    <w:pPr>
      <w:tabs>
        <w:tab w:val="left" w:pos="1021"/>
      </w:tabs>
      <w:spacing w:before="60" w:after="60"/>
      <w:ind w:left="1020" w:hanging="340"/>
    </w:pPr>
  </w:style>
  <w:style w:type="paragraph" w:styleId="List4">
    <w:name w:val="List 4"/>
    <w:basedOn w:val="BodyText"/>
    <w:rsid w:val="00597AB4"/>
    <w:pPr>
      <w:tabs>
        <w:tab w:val="left" w:pos="1361"/>
      </w:tabs>
      <w:spacing w:before="60" w:after="60"/>
      <w:ind w:left="1361" w:hanging="340"/>
    </w:pPr>
  </w:style>
  <w:style w:type="paragraph" w:styleId="List5">
    <w:name w:val="List 5"/>
    <w:basedOn w:val="BodyText"/>
    <w:rsid w:val="00597AB4"/>
    <w:pPr>
      <w:tabs>
        <w:tab w:val="left" w:pos="1701"/>
      </w:tabs>
      <w:spacing w:before="60" w:after="60"/>
      <w:ind w:left="1701" w:hanging="340"/>
    </w:pPr>
  </w:style>
  <w:style w:type="paragraph" w:styleId="ListBullet3">
    <w:name w:val="List Bullet 3"/>
    <w:basedOn w:val="List3"/>
    <w:rsid w:val="00597AB4"/>
    <w:pPr>
      <w:numPr>
        <w:numId w:val="15"/>
      </w:numPr>
      <w:tabs>
        <w:tab w:val="clear" w:pos="1021"/>
      </w:tabs>
      <w:ind w:left="1037" w:hanging="357"/>
    </w:pPr>
  </w:style>
  <w:style w:type="paragraph" w:styleId="ListBullet4">
    <w:name w:val="List Bullet 4"/>
    <w:basedOn w:val="List4"/>
    <w:rsid w:val="00597AB4"/>
    <w:pPr>
      <w:numPr>
        <w:numId w:val="3"/>
      </w:numPr>
    </w:pPr>
  </w:style>
  <w:style w:type="paragraph" w:styleId="ListBullet5">
    <w:name w:val="List Bullet 5"/>
    <w:basedOn w:val="List5"/>
    <w:rsid w:val="00597AB4"/>
    <w:pPr>
      <w:numPr>
        <w:numId w:val="4"/>
      </w:numPr>
    </w:pPr>
  </w:style>
  <w:style w:type="paragraph" w:styleId="ListContinue2">
    <w:name w:val="List Continue 2"/>
    <w:basedOn w:val="List2"/>
    <w:rsid w:val="00597AB4"/>
    <w:pPr>
      <w:ind w:firstLine="0"/>
    </w:pPr>
  </w:style>
  <w:style w:type="paragraph" w:styleId="ListContinue3">
    <w:name w:val="List Continue 3"/>
    <w:basedOn w:val="List3"/>
    <w:rsid w:val="00597AB4"/>
    <w:pPr>
      <w:ind w:left="1021" w:firstLine="0"/>
    </w:pPr>
  </w:style>
  <w:style w:type="paragraph" w:styleId="ListContinue4">
    <w:name w:val="List Continue 4"/>
    <w:basedOn w:val="List4"/>
    <w:rsid w:val="00597AB4"/>
    <w:pPr>
      <w:ind w:firstLine="0"/>
    </w:pPr>
  </w:style>
  <w:style w:type="paragraph" w:styleId="ListContinue5">
    <w:name w:val="List Continue 5"/>
    <w:basedOn w:val="List5"/>
    <w:rsid w:val="00597AB4"/>
    <w:pPr>
      <w:ind w:firstLine="0"/>
    </w:pPr>
  </w:style>
  <w:style w:type="paragraph" w:styleId="ListNumber3">
    <w:name w:val="List Number 3"/>
    <w:basedOn w:val="List3"/>
    <w:rsid w:val="00597AB4"/>
    <w:pPr>
      <w:numPr>
        <w:numId w:val="5"/>
      </w:numPr>
    </w:pPr>
  </w:style>
  <w:style w:type="paragraph" w:styleId="ListNumber4">
    <w:name w:val="List Number 4"/>
    <w:basedOn w:val="List4"/>
    <w:rsid w:val="00597AB4"/>
    <w:pPr>
      <w:numPr>
        <w:numId w:val="6"/>
      </w:numPr>
    </w:pPr>
  </w:style>
  <w:style w:type="paragraph" w:styleId="ListNumber5">
    <w:name w:val="List Number 5"/>
    <w:basedOn w:val="List5"/>
    <w:rsid w:val="00597AB4"/>
    <w:pPr>
      <w:numPr>
        <w:numId w:val="7"/>
      </w:numPr>
    </w:pPr>
  </w:style>
  <w:style w:type="paragraph" w:styleId="BlockText">
    <w:name w:val="Block Text"/>
    <w:basedOn w:val="Normal"/>
    <w:rsid w:val="00597AB4"/>
    <w:pPr>
      <w:spacing w:after="120"/>
      <w:ind w:left="1440" w:right="1440"/>
    </w:pPr>
  </w:style>
  <w:style w:type="character" w:customStyle="1" w:styleId="Subscript">
    <w:name w:val="Subscript"/>
    <w:rsid w:val="00597AB4"/>
    <w:rPr>
      <w:sz w:val="16"/>
      <w:vertAlign w:val="subscript"/>
    </w:rPr>
  </w:style>
  <w:style w:type="character" w:customStyle="1" w:styleId="Superscript">
    <w:name w:val="Superscript"/>
    <w:rsid w:val="00597AB4"/>
    <w:rPr>
      <w:sz w:val="16"/>
      <w:vertAlign w:val="superscript"/>
    </w:rPr>
  </w:style>
  <w:style w:type="character" w:customStyle="1" w:styleId="Symbols">
    <w:name w:val="Symbols"/>
    <w:rsid w:val="00597AB4"/>
    <w:rPr>
      <w:rFonts w:ascii="Symbol" w:hAnsi="Symbol"/>
    </w:rPr>
  </w:style>
  <w:style w:type="character" w:customStyle="1" w:styleId="MenuOptions">
    <w:name w:val="Menu Options"/>
    <w:rsid w:val="00597AB4"/>
    <w:rPr>
      <w:rFonts w:ascii="Arial Narrow" w:hAnsi="Arial Narrow"/>
      <w:smallCaps/>
    </w:rPr>
  </w:style>
  <w:style w:type="character" w:customStyle="1" w:styleId="Buttons">
    <w:name w:val="Buttons"/>
    <w:rsid w:val="00597AB4"/>
    <w:rPr>
      <w:b/>
    </w:rPr>
  </w:style>
  <w:style w:type="character" w:customStyle="1" w:styleId="Underlined">
    <w:name w:val="Underlined"/>
    <w:rsid w:val="00597AB4"/>
    <w:rPr>
      <w:u w:val="single"/>
    </w:rPr>
  </w:style>
  <w:style w:type="paragraph" w:customStyle="1" w:styleId="TableBodyTextRight">
    <w:name w:val="Table Body Text Right"/>
    <w:basedOn w:val="TableBodyText"/>
    <w:rsid w:val="00597AB4"/>
    <w:pPr>
      <w:widowControl w:val="0"/>
      <w:autoSpaceDE w:val="0"/>
      <w:autoSpaceDN w:val="0"/>
      <w:adjustRightInd w:val="0"/>
      <w:jc w:val="right"/>
    </w:pPr>
    <w:rPr>
      <w:rFonts w:cs="Arial"/>
      <w:szCs w:val="18"/>
    </w:rPr>
  </w:style>
  <w:style w:type="paragraph" w:customStyle="1" w:styleId="CopyrightText">
    <w:name w:val="Copyright Text"/>
    <w:basedOn w:val="BodyText"/>
    <w:rsid w:val="00597AB4"/>
    <w:rPr>
      <w:sz w:val="18"/>
    </w:rPr>
  </w:style>
  <w:style w:type="paragraph" w:customStyle="1" w:styleId="BodySmallRight">
    <w:name w:val="Body Small Right"/>
    <w:basedOn w:val="BodyTextRight"/>
    <w:rsid w:val="00597AB4"/>
    <w:rPr>
      <w:sz w:val="18"/>
      <w:szCs w:val="18"/>
    </w:rPr>
  </w:style>
  <w:style w:type="paragraph" w:customStyle="1" w:styleId="MarginEdition">
    <w:name w:val="Margin Edition"/>
    <w:basedOn w:val="MarginNote"/>
    <w:rsid w:val="00597AB4"/>
    <w:pPr>
      <w:spacing w:before="0" w:after="0"/>
    </w:pPr>
    <w:rPr>
      <w:rFonts w:ascii="Times New Roman" w:hAnsi="Times New Roman"/>
      <w:color w:val="999999"/>
    </w:rPr>
  </w:style>
  <w:style w:type="paragraph" w:customStyle="1" w:styleId="Spacer">
    <w:name w:val="Spacer"/>
    <w:basedOn w:val="Normal"/>
    <w:rsid w:val="00597AB4"/>
    <w:rPr>
      <w:sz w:val="2"/>
      <w:szCs w:val="2"/>
    </w:rPr>
  </w:style>
  <w:style w:type="character" w:customStyle="1" w:styleId="Small">
    <w:name w:val="Small"/>
    <w:rsid w:val="00597AB4"/>
    <w:rPr>
      <w:sz w:val="16"/>
    </w:rPr>
  </w:style>
  <w:style w:type="paragraph" w:customStyle="1" w:styleId="WideTable">
    <w:name w:val="Wide Table"/>
    <w:basedOn w:val="Normal"/>
    <w:rsid w:val="00597AB4"/>
    <w:pPr>
      <w:ind w:left="-1418"/>
    </w:pPr>
    <w:rPr>
      <w:sz w:val="2"/>
      <w:szCs w:val="2"/>
    </w:rPr>
  </w:style>
  <w:style w:type="character" w:styleId="PageNumber">
    <w:name w:val="page number"/>
    <w:rsid w:val="00597AB4"/>
  </w:style>
  <w:style w:type="paragraph" w:styleId="Quote">
    <w:name w:val="Quote"/>
    <w:basedOn w:val="Heading1"/>
    <w:link w:val="QuoteChar"/>
    <w:qFormat/>
    <w:rsid w:val="00597AB4"/>
    <w:rPr>
      <w:b w:val="0"/>
      <w:sz w:val="72"/>
      <w:szCs w:val="72"/>
      <w:lang w:val="en-NZ"/>
    </w:rPr>
  </w:style>
  <w:style w:type="character" w:customStyle="1" w:styleId="QuoteChar">
    <w:name w:val="Quote Char"/>
    <w:link w:val="Quote"/>
    <w:rsid w:val="00597A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7AB4"/>
    <w:pPr>
      <w:pageBreakBefore/>
    </w:pPr>
  </w:style>
  <w:style w:type="paragraph" w:customStyle="1" w:styleId="Border">
    <w:name w:val="Border"/>
    <w:basedOn w:val="Normal"/>
    <w:qFormat/>
    <w:rsid w:val="00597AB4"/>
    <w:pPr>
      <w:pBdr>
        <w:top w:val="single" w:sz="18" w:space="1" w:color="auto"/>
      </w:pBdr>
    </w:pPr>
    <w:rPr>
      <w:rFonts w:ascii="Times New Roman" w:hAnsi="Times New Roman"/>
      <w:color w:val="FFFFFF"/>
      <w:sz w:val="2"/>
    </w:rPr>
  </w:style>
  <w:style w:type="character" w:styleId="IntenseEmphasis">
    <w:name w:val="Intense Emphasis"/>
    <w:uiPriority w:val="21"/>
    <w:qFormat/>
    <w:rsid w:val="00597AB4"/>
    <w:rPr>
      <w:b/>
      <w:bCs/>
      <w:i/>
      <w:iCs/>
      <w:color w:val="auto"/>
    </w:rPr>
  </w:style>
  <w:style w:type="paragraph" w:styleId="IntenseQuote">
    <w:name w:val="Intense Quote"/>
    <w:basedOn w:val="Normal"/>
    <w:next w:val="Normal"/>
    <w:link w:val="IntenseQuoteChar"/>
    <w:uiPriority w:val="30"/>
    <w:qFormat/>
    <w:rsid w:val="00597AB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97AB4"/>
    <w:rPr>
      <w:rFonts w:ascii="Courier New" w:eastAsia="Times New Roman" w:hAnsi="Courier New" w:cs="Times New Roman"/>
      <w:b/>
      <w:bCs/>
      <w:i/>
      <w:iCs/>
      <w:szCs w:val="20"/>
      <w:lang w:val="en-US" w:eastAsia="en-US"/>
    </w:rPr>
  </w:style>
  <w:style w:type="character" w:styleId="SubtleReference">
    <w:name w:val="Subtle Reference"/>
    <w:uiPriority w:val="31"/>
    <w:qFormat/>
    <w:rsid w:val="00597AB4"/>
    <w:rPr>
      <w:smallCaps/>
      <w:color w:val="auto"/>
      <w:u w:val="single"/>
    </w:rPr>
  </w:style>
  <w:style w:type="character" w:styleId="IntenseReference">
    <w:name w:val="Intense Reference"/>
    <w:uiPriority w:val="32"/>
    <w:qFormat/>
    <w:rsid w:val="00597AB4"/>
    <w:rPr>
      <w:b/>
      <w:bCs/>
      <w:smallCaps/>
      <w:color w:val="auto"/>
      <w:spacing w:val="5"/>
      <w:u w:val="single"/>
    </w:rPr>
  </w:style>
  <w:style w:type="paragraph" w:customStyle="1" w:styleId="2ColumnHeading">
    <w:name w:val="2Column Heading"/>
    <w:basedOn w:val="BodyText"/>
    <w:qFormat/>
    <w:rsid w:val="00597AB4"/>
    <w:pPr>
      <w:spacing w:after="60"/>
      <w:ind w:left="-2268"/>
    </w:pPr>
    <w:rPr>
      <w:b/>
    </w:rPr>
  </w:style>
  <w:style w:type="paragraph" w:customStyle="1" w:styleId="Heading1TOC">
    <w:name w:val="Heading1 TOC"/>
    <w:basedOn w:val="Normal"/>
    <w:qFormat/>
    <w:rsid w:val="00597AB4"/>
    <w:pPr>
      <w:spacing w:before="240" w:after="120"/>
    </w:pPr>
    <w:rPr>
      <w:rFonts w:ascii="Times New Roman" w:hAnsi="Times New Roman"/>
      <w:b/>
      <w:sz w:val="32"/>
    </w:rPr>
  </w:style>
  <w:style w:type="paragraph" w:customStyle="1" w:styleId="Heading2TOC">
    <w:name w:val="Heading2 TOC"/>
    <w:basedOn w:val="Normal"/>
    <w:qFormat/>
    <w:rsid w:val="00597AB4"/>
    <w:pPr>
      <w:spacing w:before="240" w:after="60"/>
    </w:pPr>
    <w:rPr>
      <w:rFonts w:ascii="Times New Roman" w:hAnsi="Times New Roman"/>
      <w:b/>
      <w:sz w:val="28"/>
    </w:rPr>
  </w:style>
  <w:style w:type="character" w:customStyle="1" w:styleId="Underline">
    <w:name w:val="Underline"/>
    <w:qFormat/>
    <w:rsid w:val="00597AB4"/>
    <w:rPr>
      <w:u w:val="single"/>
    </w:rPr>
  </w:style>
  <w:style w:type="character" w:customStyle="1" w:styleId="BoldandItalics">
    <w:name w:val="Bold and Italics"/>
    <w:qFormat/>
    <w:rsid w:val="00597AB4"/>
    <w:rPr>
      <w:b/>
      <w:i/>
      <w:u w:val="none"/>
    </w:rPr>
  </w:style>
  <w:style w:type="paragraph" w:styleId="BalloonText">
    <w:name w:val="Balloon Text"/>
    <w:basedOn w:val="Normal"/>
    <w:link w:val="BalloonTextChar"/>
    <w:rsid w:val="00597AB4"/>
    <w:rPr>
      <w:rFonts w:ascii="Tahoma" w:hAnsi="Tahoma" w:cs="Tahoma"/>
      <w:sz w:val="16"/>
      <w:szCs w:val="16"/>
    </w:rPr>
  </w:style>
  <w:style w:type="character" w:customStyle="1" w:styleId="BalloonTextChar">
    <w:name w:val="Balloon Text Char"/>
    <w:link w:val="BalloonText"/>
    <w:rsid w:val="00597AB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97AB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97AB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63EE7A10.dotm</Template>
  <TotalTime>0</TotalTime>
  <Pages>7</Pages>
  <Words>1725</Words>
  <Characters>10760</Characters>
  <Application>Microsoft Office Word</Application>
  <DocSecurity>0</DocSecurity>
  <Lines>344</Lines>
  <Paragraphs>215</Paragraphs>
  <ScaleCrop>false</ScaleCrop>
  <Company>Author-it Software Corporation Ltd.</Company>
  <LinksUpToDate>false</LinksUpToDate>
  <CharactersWithSpaces>12408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TLIC3029A Stable a heritage motive power unit</dc:title>
  <dc:subject>Approved</dc:subject>
  <dc:creator>Transport &amp; Logistics Industry Skills Council</dc:creator>
  <cp:keywords>Release: 1</cp:keywords>
  <dc:description>Copyright © 1996-2007 Author-it Software Corporation Ltd., all rights reserved.</dc:description>
  <cp:lastModifiedBy>Narendra Tomar</cp:lastModifiedBy>
  <cp:revision>3</cp:revision>
  <dcterms:created xsi:type="dcterms:W3CDTF">2012-05-27T03:35:00Z</dcterms:created>
  <dcterms:modified xsi:type="dcterms:W3CDTF">2012-05-27T03:35:00Z</dcterms:modified>
</cp:coreProperties>
</file>