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7098" w:rsidP="00927098">
      <w:pPr>
        <w:pStyle w:val="Title"/>
      </w:pPr>
      <w:r>
        <w:fldChar w:fldCharType="begin"/>
      </w:r>
      <w:r>
        <w:instrText xml:space="preserve"> TITLE   \* MERGEFORMAT </w:instrText>
      </w:r>
      <w:r>
        <w:fldChar w:fldCharType="separate"/>
      </w:r>
      <w:r>
        <w:t>TLIC0079A Operate a motive power unit within defined limits</w:t>
      </w:r>
      <w:r>
        <w:fldChar w:fldCharType="end"/>
      </w:r>
    </w:p>
    <w:p w:rsidR="00927098" w:rsidP="00927098">
      <w:pPr>
        <w:pStyle w:val="Version"/>
        <w:sectPr w:rsidSect="00212B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2BEF" w:rsidP="00212BEF">
      <w:pPr>
        <w:pStyle w:val="SuperHeading"/>
      </w:pPr>
      <w:r w:rsidRPr="00212BEF">
        <w:t>TLIC0079A Operate a motive power unit within defined limits</w:t>
      </w:r>
    </w:p>
    <w:p w:rsidR="00000000" w:rsidRPr="00212BEF" w:rsidP="00212BEF">
      <w:pPr>
        <w:pStyle w:val="Heading1"/>
      </w:pPr>
      <w:bookmarkStart w:id="1" w:name="O_567238"/>
      <w:bookmarkEnd w:id="1"/>
      <w:r w:rsidRPr="00212BEF">
        <w:t>Modification History</w:t>
      </w:r>
    </w:p>
    <w:p w:rsidR="00000000" w:rsidRPr="00212BEF" w:rsidP="00212BEF">
      <w:pPr>
        <w:pStyle w:val="BodyText"/>
      </w:pPr>
      <w:r w:rsidRPr="00212BEF">
        <w:t>Release 1 - New unit of competency</w:t>
      </w:r>
    </w:p>
    <w:p w:rsidR="00000000" w:rsidRPr="00212BEF" w:rsidP="00212BEF">
      <w:pPr>
        <w:pStyle w:val="AllowPageBreak"/>
      </w:pPr>
    </w:p>
    <w:p w:rsidR="00000000" w:rsidRPr="00212BEF" w:rsidP="00212BEF">
      <w:pPr>
        <w:pStyle w:val="Heading1"/>
      </w:pPr>
      <w:bookmarkStart w:id="2" w:name="O_567250"/>
      <w:bookmarkEnd w:id="2"/>
      <w:r w:rsidRPr="00212BEF">
        <w:t>Unit Descriptor</w:t>
      </w:r>
    </w:p>
    <w:p w:rsidR="00000000" w:rsidRPr="00212BEF" w:rsidP="00212BEF">
      <w:pPr>
        <w:pStyle w:val="BodyText"/>
      </w:pPr>
      <w:r w:rsidRPr="00212BEF">
        <w:t>This unit involves the skills and knowledge required to operate and monitor a motive power unit within defined limits in accordance with relevant workp</w:t>
      </w:r>
      <w:r w:rsidRPr="00212BEF">
        <w:t>lace practices, rail regulations and codes of practice. It includes operating the controls of the motive power unit and monitoring its performance. It also includes working collaboratively with other train crew and relevant personnel.</w:t>
      </w:r>
    </w:p>
    <w:p w:rsidR="00000000" w:rsidRPr="00212BEF" w:rsidP="00212BEF">
      <w:pPr>
        <w:pStyle w:val="BodyText"/>
      </w:pPr>
      <w:r w:rsidRPr="00212BEF">
        <w:t>Licensing or certific</w:t>
      </w:r>
      <w:r w:rsidRPr="00212BEF">
        <w:t>ation requirements are not applicable to this unit.</w:t>
      </w:r>
    </w:p>
    <w:p w:rsidR="00000000" w:rsidRPr="00212BEF" w:rsidP="00212BEF">
      <w:pPr>
        <w:pStyle w:val="AllowPageBreak"/>
      </w:pPr>
    </w:p>
    <w:p w:rsidR="00000000" w:rsidRPr="00212BEF" w:rsidP="00212BEF">
      <w:pPr>
        <w:pStyle w:val="Heading1"/>
      </w:pPr>
      <w:bookmarkStart w:id="3" w:name="O_567249"/>
      <w:bookmarkEnd w:id="3"/>
      <w:r w:rsidRPr="00212BEF">
        <w:t>Application of the Unit</w:t>
      </w:r>
    </w:p>
    <w:p w:rsidR="00000000" w:rsidRPr="00212BEF" w:rsidP="00212BEF">
      <w:pPr>
        <w:pStyle w:val="BodyText"/>
      </w:pPr>
      <w:r w:rsidRPr="00212BEF">
        <w:t>Defined limits are considered to be yards, terminals or sidings.</w:t>
      </w:r>
    </w:p>
    <w:p w:rsidR="00000000" w:rsidRPr="00212BEF" w:rsidP="00212BEF">
      <w:pPr>
        <w:pStyle w:val="BodyText"/>
      </w:pPr>
      <w:r w:rsidRPr="00212BEF">
        <w:t>This unit is not intended to be used as a qualification for the operation of a motive power unit o</w:t>
      </w:r>
      <w:r w:rsidRPr="00212BEF">
        <w:t>n a main line.</w:t>
      </w:r>
    </w:p>
    <w:p w:rsidR="00000000" w:rsidRPr="00212BEF" w:rsidP="00212BEF">
      <w:pPr>
        <w:pStyle w:val="AllowPageBreak"/>
      </w:pPr>
    </w:p>
    <w:p w:rsidR="00000000" w:rsidRPr="00212BEF" w:rsidP="00212BEF">
      <w:pPr>
        <w:pStyle w:val="Heading1"/>
      </w:pPr>
      <w:bookmarkStart w:id="4" w:name="O_567248"/>
      <w:bookmarkEnd w:id="4"/>
      <w:r w:rsidRPr="00212BEF">
        <w:t>Licensing/Regulatory Information</w:t>
      </w:r>
    </w:p>
    <w:p w:rsidR="00000000" w:rsidRPr="00212BEF" w:rsidP="00212BEF">
      <w:pPr>
        <w:pStyle w:val="BodyText"/>
      </w:pPr>
      <w:r w:rsidRPr="00212BEF">
        <w:t>Not applicable.</w:t>
      </w:r>
    </w:p>
    <w:p w:rsidR="00000000" w:rsidRPr="00212BEF" w:rsidP="00212BEF">
      <w:pPr>
        <w:pStyle w:val="AllowPageBreak"/>
      </w:pPr>
    </w:p>
    <w:p w:rsidR="00000000" w:rsidRPr="00212BEF" w:rsidP="00212BEF">
      <w:pPr>
        <w:pStyle w:val="Heading1"/>
      </w:pPr>
      <w:bookmarkStart w:id="5" w:name="O_567247"/>
      <w:bookmarkEnd w:id="5"/>
      <w:r w:rsidRPr="00212BEF">
        <w:t>Pre-Requisites</w:t>
      </w:r>
    </w:p>
    <w:p w:rsidR="00000000" w:rsidRPr="00212BEF" w:rsidP="00212BEF">
      <w:pPr>
        <w:pStyle w:val="BodyText"/>
      </w:pPr>
      <w:r w:rsidRPr="00212BEF">
        <w:t>Not applicable.</w:t>
      </w:r>
    </w:p>
    <w:p w:rsidR="00000000" w:rsidRPr="00212BEF" w:rsidP="00212BEF">
      <w:pPr>
        <w:pStyle w:val="AllowPageBreak"/>
      </w:pPr>
    </w:p>
    <w:p w:rsidR="00000000" w:rsidRPr="00212BEF" w:rsidP="00212BEF">
      <w:pPr>
        <w:pStyle w:val="Heading1"/>
      </w:pPr>
      <w:bookmarkStart w:id="6" w:name="O_567246"/>
      <w:bookmarkEnd w:id="6"/>
      <w:r w:rsidRPr="00212BEF">
        <w:t>Employability Skills Information</w:t>
      </w:r>
    </w:p>
    <w:p w:rsidR="00000000" w:rsidRPr="00212BEF" w:rsidP="00212BEF">
      <w:pPr>
        <w:pStyle w:val="BodyText"/>
      </w:pPr>
      <w:r w:rsidRPr="00212BEF">
        <w:t>This unit contains employability skills.</w:t>
      </w:r>
    </w:p>
    <w:p w:rsidR="00000000" w:rsidRPr="00212BEF" w:rsidP="00212BEF">
      <w:pPr>
        <w:pStyle w:val="AllowPageBreak"/>
      </w:pPr>
    </w:p>
    <w:p w:rsidR="00000000" w:rsidRPr="00212BEF" w:rsidP="00212BEF">
      <w:pPr>
        <w:pStyle w:val="Heading1"/>
      </w:pPr>
      <w:bookmarkStart w:id="7" w:name="O_567245"/>
      <w:bookmarkEnd w:id="7"/>
      <w:r w:rsidRPr="00212BEF">
        <w:t>Elements and Perfor</w:t>
      </w:r>
      <w:r w:rsidRPr="00212BEF">
        <w:t>mance Criteria Pre-Content</w:t>
      </w:r>
    </w:p>
    <w:tbl>
      <w:tblPr>
        <w:tblW w:w="9640" w:type="dxa"/>
        <w:tblLayout w:type="fixed"/>
        <w:tblCellMar>
          <w:left w:w="62" w:type="dxa"/>
          <w:right w:w="62" w:type="dxa"/>
        </w:tblCellMar>
        <w:tblLook w:val="0000"/>
      </w:tblPr>
      <w:tblGrid>
        <w:gridCol w:w="2776"/>
        <w:gridCol w:w="6864"/>
      </w:tblGrid>
      <w:tr w:rsidTr="00927098">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12BEF">
            <w:pPr>
              <w:pStyle w:val="BodyText"/>
              <w:rPr>
                <w:lang w:val="en-NZ"/>
              </w:rPr>
            </w:pPr>
            <w:r w:rsidRPr="00212BEF">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212BEF" w:rsidP="00212BEF">
            <w:pPr>
              <w:pStyle w:val="BodyText"/>
            </w:pPr>
            <w:r w:rsidRPr="00212BEF">
              <w:t>Performance criteria describe the required performance needed to demonstrate achievement of the element. Assessment of performance is to be consistent with the evi</w:t>
            </w:r>
            <w:r w:rsidRPr="00212BEF">
              <w:t>dence guide.</w:t>
            </w:r>
          </w:p>
        </w:tc>
      </w:tr>
    </w:tbl>
    <w:p w:rsidR="00000000" w:rsidRPr="00212BEF" w:rsidP="00212BEF">
      <w:pPr>
        <w:pStyle w:val="BodyText"/>
      </w:pPr>
    </w:p>
    <w:p w:rsidR="00000000" w:rsidRPr="00212BEF" w:rsidP="00212BEF">
      <w:pPr>
        <w:pStyle w:val="AllowPageBreak"/>
      </w:pPr>
    </w:p>
    <w:p w:rsidR="00000000" w:rsidRPr="00212BEF" w:rsidP="00212BEF">
      <w:pPr>
        <w:pStyle w:val="Heading1"/>
      </w:pPr>
      <w:bookmarkStart w:id="8" w:name="O_567244"/>
      <w:bookmarkEnd w:id="8"/>
      <w:r w:rsidRPr="00212BEF">
        <w:t>Elements and Performance Criteria</w:t>
      </w:r>
    </w:p>
    <w:tbl>
      <w:tblPr>
        <w:tblW w:w="9640" w:type="dxa"/>
        <w:tblLayout w:type="fixed"/>
        <w:tblCellMar>
          <w:left w:w="62" w:type="dxa"/>
          <w:right w:w="62" w:type="dxa"/>
        </w:tblCellMar>
        <w:tblLook w:val="0000"/>
      </w:tblPr>
      <w:tblGrid>
        <w:gridCol w:w="2776"/>
        <w:gridCol w:w="6864"/>
      </w:tblGrid>
      <w:tr w:rsidTr="00927098">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12BEF">
            <w:pPr>
              <w:pStyle w:val="BodyText"/>
              <w:rPr>
                <w:lang w:val="en-NZ"/>
              </w:rPr>
            </w:pPr>
            <w:r w:rsidRPr="00212BEF">
              <w:rPr>
                <w:rStyle w:val="SpecialBold"/>
              </w:rPr>
              <w:t>1</w:t>
            </w:r>
            <w:r w:rsidRPr="00212BEF">
              <w:rPr>
                <w:rStyle w:val="SpecialBold"/>
              </w:rPr>
              <w:tab/>
              <w:t xml:space="preserve">Operate motive power unit </w:t>
            </w:r>
          </w:p>
        </w:tc>
        <w:tc>
          <w:tcPr>
            <w:tcW w:w="6864" w:type="dxa"/>
            <w:tcBorders>
              <w:top w:val="nil"/>
              <w:left w:val="nil"/>
              <w:bottom w:val="nil"/>
              <w:right w:val="nil"/>
            </w:tcBorders>
            <w:tcMar>
              <w:top w:w="0" w:type="dxa"/>
              <w:left w:w="62" w:type="dxa"/>
              <w:bottom w:w="0" w:type="dxa"/>
              <w:right w:w="62" w:type="dxa"/>
            </w:tcMar>
          </w:tcPr>
          <w:p w:rsidR="00000000" w:rsidRPr="00212BEF" w:rsidP="00212BEF">
            <w:pPr>
              <w:pStyle w:val="BodyText"/>
            </w:pPr>
            <w:r w:rsidRPr="00212BEF">
              <w:t>1.1</w:t>
            </w:r>
            <w:r w:rsidRPr="00212BEF">
              <w:tab/>
              <w:t>Motive power unit is operated at low speed within the defined limits of operation</w:t>
            </w:r>
          </w:p>
          <w:p w:rsidR="00000000" w:rsidRPr="00212BEF" w:rsidP="00212BEF">
            <w:pPr>
              <w:pStyle w:val="BodyText"/>
            </w:pPr>
            <w:r w:rsidRPr="00212BEF">
              <w:t>1.2</w:t>
            </w:r>
            <w:r w:rsidRPr="00212BEF">
              <w:tab/>
            </w:r>
            <w:r w:rsidRPr="00212BEF">
              <w:t>Motive power unit handling techniques are interpreted and applied to eliminate or minimise risk of injury to personnel or damage to equipment and/or rolling stock</w:t>
            </w:r>
          </w:p>
          <w:p w:rsidR="00000000" w:rsidRPr="00212BEF" w:rsidP="00212BEF">
            <w:pPr>
              <w:pStyle w:val="BodyText"/>
            </w:pPr>
            <w:r w:rsidRPr="00212BEF">
              <w:t>1.3</w:t>
            </w:r>
            <w:r w:rsidRPr="00212BEF">
              <w:tab/>
              <w:t>Acceleration and braking techniques are applied safely to take into account track, road a</w:t>
            </w:r>
            <w:r w:rsidRPr="00212BEF">
              <w:t>nd weather conditions within the defined limits of operation</w:t>
            </w:r>
          </w:p>
          <w:p w:rsidR="00000000" w:rsidP="00212BEF">
            <w:pPr>
              <w:pStyle w:val="BodyText"/>
              <w:rPr>
                <w:lang w:val="en-NZ"/>
              </w:rPr>
            </w:pPr>
            <w:r w:rsidRPr="00212BEF">
              <w:t>1.4</w:t>
            </w:r>
            <w:r w:rsidRPr="00212BEF">
              <w:tab/>
              <w:t>Motive power unit is moved in a way that ensures all rolling stock is positioned safely in accordance with relevant codes of practice, yard or siding operating systems and related requirement</w:t>
            </w:r>
            <w:r w:rsidRPr="00212BEF">
              <w:t>s</w:t>
            </w:r>
          </w:p>
        </w:tc>
      </w:tr>
      <w:tr w:rsidTr="00927098">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12BEF">
            <w:pPr>
              <w:pStyle w:val="BodyText"/>
              <w:rPr>
                <w:lang w:val="en-NZ"/>
              </w:rPr>
            </w:pPr>
            <w:r w:rsidRPr="00212BEF">
              <w:rPr>
                <w:rStyle w:val="SpecialBold"/>
              </w:rPr>
              <w:t>2</w:t>
            </w:r>
            <w:r w:rsidRPr="00212BEF">
              <w:rPr>
                <w:rStyle w:val="SpecialBold"/>
              </w:rPr>
              <w:tab/>
              <w:t>Work collaboratively with relevant personnel</w:t>
            </w:r>
          </w:p>
        </w:tc>
        <w:tc>
          <w:tcPr>
            <w:tcW w:w="6864" w:type="dxa"/>
            <w:tcBorders>
              <w:top w:val="nil"/>
              <w:left w:val="nil"/>
              <w:bottom w:val="nil"/>
              <w:right w:val="nil"/>
            </w:tcBorders>
            <w:tcMar>
              <w:top w:w="0" w:type="dxa"/>
              <w:left w:w="62" w:type="dxa"/>
              <w:bottom w:w="0" w:type="dxa"/>
              <w:right w:w="62" w:type="dxa"/>
            </w:tcMar>
          </w:tcPr>
          <w:p w:rsidR="00000000" w:rsidRPr="00212BEF" w:rsidP="00212BEF">
            <w:pPr>
              <w:pStyle w:val="BodyText"/>
            </w:pPr>
            <w:r w:rsidRPr="00212BEF">
              <w:t>2.1</w:t>
            </w:r>
            <w:r w:rsidRPr="00212BEF">
              <w:tab/>
              <w:t>Safe operation of the motive power unit is maintained in collaboration with other relevant workplace personnel in accordance with operational requirements of the defined limits</w:t>
            </w:r>
          </w:p>
          <w:p w:rsidR="00000000" w:rsidP="00212BEF">
            <w:pPr>
              <w:pStyle w:val="BodyText"/>
              <w:rPr>
                <w:lang w:val="en-NZ"/>
              </w:rPr>
            </w:pPr>
          </w:p>
        </w:tc>
      </w:tr>
      <w:tr w:rsidTr="00927098">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12BEF">
            <w:pPr>
              <w:pStyle w:val="BodyText"/>
              <w:rPr>
                <w:lang w:val="en-NZ"/>
              </w:rPr>
            </w:pPr>
            <w:r w:rsidRPr="00212BEF">
              <w:rPr>
                <w:rStyle w:val="SpecialBold"/>
              </w:rPr>
              <w:t>3</w:t>
            </w:r>
            <w:r w:rsidRPr="00212BEF">
              <w:rPr>
                <w:rStyle w:val="SpecialBold"/>
              </w:rPr>
              <w:tab/>
              <w:t>Communicate with othe</w:t>
            </w:r>
            <w:r w:rsidRPr="00212BEF">
              <w:rPr>
                <w:rStyle w:val="SpecialBold"/>
              </w:rPr>
              <w:t>r personnel</w:t>
            </w:r>
          </w:p>
        </w:tc>
        <w:tc>
          <w:tcPr>
            <w:tcW w:w="6864" w:type="dxa"/>
            <w:tcBorders>
              <w:top w:val="nil"/>
              <w:left w:val="nil"/>
              <w:bottom w:val="nil"/>
              <w:right w:val="nil"/>
            </w:tcBorders>
            <w:tcMar>
              <w:top w:w="0" w:type="dxa"/>
              <w:left w:w="62" w:type="dxa"/>
              <w:bottom w:w="0" w:type="dxa"/>
              <w:right w:w="62" w:type="dxa"/>
            </w:tcMar>
          </w:tcPr>
          <w:p w:rsidR="00000000" w:rsidRPr="00212BEF" w:rsidP="00212BEF">
            <w:pPr>
              <w:pStyle w:val="BodyText"/>
            </w:pPr>
            <w:r w:rsidRPr="00212BEF">
              <w:t>3.1</w:t>
            </w:r>
            <w:r w:rsidRPr="00212BEF">
              <w:tab/>
              <w:t>Constant communication is maintained with other relevant personnel when operating a motive power unit within the defined limits in accordance with organisational procedures and regulatory requirements</w:t>
            </w:r>
          </w:p>
          <w:p w:rsidR="00000000" w:rsidRPr="00212BEF" w:rsidP="00212BEF">
            <w:pPr>
              <w:pStyle w:val="BodyText"/>
            </w:pPr>
            <w:r w:rsidRPr="00212BEF">
              <w:t>3.2</w:t>
            </w:r>
            <w:r w:rsidRPr="00212BEF">
              <w:tab/>
              <w:t>Other relevant personnel are advise</w:t>
            </w:r>
            <w:r w:rsidRPr="00212BEF">
              <w:t xml:space="preserve">d of any changed/degraded conditions and/or emergency situations that may arise when operating a motive power unit within defined limits </w:t>
            </w:r>
          </w:p>
          <w:p w:rsidR="00000000" w:rsidP="00212BEF">
            <w:pPr>
              <w:pStyle w:val="BodyText"/>
              <w:rPr>
                <w:lang w:val="en-NZ"/>
              </w:rPr>
            </w:pPr>
            <w:r w:rsidRPr="00212BEF">
              <w:t>3.3</w:t>
            </w:r>
            <w:r w:rsidRPr="00212BEF">
              <w:tab/>
              <w:t>Directions provided by relevant personnel to the limited operation of the motive power unit are interpreted and ap</w:t>
            </w:r>
            <w:r w:rsidRPr="00212BEF">
              <w:t>plied to driving activities in accordance with workplace procedures and applicable regulatory requirements</w:t>
            </w:r>
          </w:p>
        </w:tc>
      </w:tr>
      <w:tr w:rsidTr="00927098">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12BEF">
            <w:pPr>
              <w:pStyle w:val="BodyText"/>
              <w:rPr>
                <w:lang w:val="en-NZ"/>
              </w:rPr>
            </w:pPr>
            <w:r w:rsidRPr="00212BEF">
              <w:rPr>
                <w:rStyle w:val="SpecialBold"/>
              </w:rPr>
              <w:t>4</w:t>
            </w:r>
            <w:r w:rsidRPr="00212BEF">
              <w:rPr>
                <w:rStyle w:val="SpecialBold"/>
              </w:rPr>
              <w:tab/>
              <w:t>Follow all applicable rail regulatory requirements</w:t>
            </w:r>
          </w:p>
        </w:tc>
        <w:tc>
          <w:tcPr>
            <w:tcW w:w="6864" w:type="dxa"/>
            <w:tcBorders>
              <w:top w:val="nil"/>
              <w:left w:val="nil"/>
              <w:bottom w:val="nil"/>
              <w:right w:val="nil"/>
            </w:tcBorders>
            <w:tcMar>
              <w:top w:w="0" w:type="dxa"/>
              <w:left w:w="62" w:type="dxa"/>
              <w:bottom w:w="0" w:type="dxa"/>
              <w:right w:w="62" w:type="dxa"/>
            </w:tcMar>
          </w:tcPr>
          <w:p w:rsidR="00000000" w:rsidRPr="00212BEF" w:rsidP="00212BEF">
            <w:pPr>
              <w:pStyle w:val="BodyText"/>
            </w:pPr>
            <w:r w:rsidRPr="00212BEF">
              <w:t>4.1</w:t>
            </w:r>
            <w:r w:rsidRPr="00212BEF">
              <w:tab/>
              <w:t>Rail regulatory requirements applicable to operating a motive power unit within the defined</w:t>
            </w:r>
            <w:r w:rsidRPr="00212BEF">
              <w:t xml:space="preserve"> limits of the track or road concerned are accessed, interpreted, clarified where necessary and applied</w:t>
            </w:r>
          </w:p>
        </w:tc>
      </w:tr>
    </w:tbl>
    <w:p w:rsidR="00000000" w:rsidRPr="00212BEF" w:rsidP="00212BEF">
      <w:pPr>
        <w:pStyle w:val="BodyText"/>
      </w:pPr>
    </w:p>
    <w:p w:rsidR="00000000" w:rsidRPr="00212BEF" w:rsidP="00212BEF">
      <w:pPr>
        <w:pStyle w:val="AllowPageBreak"/>
      </w:pPr>
    </w:p>
    <w:p w:rsidR="00000000" w:rsidRPr="00212BEF" w:rsidP="00212BEF">
      <w:pPr>
        <w:pStyle w:val="Heading1"/>
      </w:pPr>
      <w:bookmarkStart w:id="9" w:name="O_567243"/>
      <w:bookmarkEnd w:id="9"/>
      <w:r w:rsidRPr="00212BEF">
        <w:t>Required Skills and Knowledge</w:t>
      </w:r>
    </w:p>
    <w:tbl>
      <w:tblPr>
        <w:tblW w:w="9640" w:type="dxa"/>
        <w:tblLayout w:type="fixed"/>
        <w:tblCellMar>
          <w:left w:w="62" w:type="dxa"/>
          <w:right w:w="62" w:type="dxa"/>
        </w:tblCellMar>
        <w:tblLook w:val="0000"/>
      </w:tblPr>
      <w:tblGrid>
        <w:gridCol w:w="9640"/>
      </w:tblGrid>
      <w:tr w:rsidTr="00212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2BEF">
            <w:pPr>
              <w:pStyle w:val="BodyText"/>
              <w:rPr>
                <w:lang w:val="en-NZ"/>
              </w:rPr>
            </w:pPr>
            <w:r w:rsidRPr="00212BEF">
              <w:t>This section describes the knowledge and skills required for this unit.</w:t>
            </w:r>
          </w:p>
        </w:tc>
      </w:tr>
      <w:tr w:rsidTr="00212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2BEF">
            <w:pPr>
              <w:pStyle w:val="BodyText"/>
              <w:rPr>
                <w:lang w:val="en-NZ"/>
              </w:rPr>
            </w:pPr>
            <w:r w:rsidRPr="00212BEF">
              <w:rPr>
                <w:rStyle w:val="SpecialBold"/>
              </w:rPr>
              <w:t>Required knowledge:</w:t>
            </w:r>
          </w:p>
        </w:tc>
      </w:tr>
      <w:tr w:rsidTr="00212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2BEF">
            <w:pPr>
              <w:pStyle w:val="ListBullet"/>
              <w:rPr>
                <w:lang w:val="en-NZ"/>
              </w:rPr>
            </w:pPr>
            <w:r w:rsidRPr="00212BEF">
              <w:t>Local procedures and operating requirements</w:t>
            </w:r>
          </w:p>
        </w:tc>
      </w:tr>
      <w:tr w:rsidTr="00212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2BEF">
            <w:pPr>
              <w:pStyle w:val="ListBullet"/>
              <w:rPr>
                <w:lang w:val="en-NZ"/>
              </w:rPr>
            </w:pPr>
            <w:r w:rsidRPr="00212BEF">
              <w:t>Motive power unit controls, instruments and indicators and their purpose, location and use</w:t>
            </w:r>
          </w:p>
        </w:tc>
      </w:tr>
      <w:tr w:rsidTr="00212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2BEF">
            <w:pPr>
              <w:pStyle w:val="ListBullet"/>
              <w:rPr>
                <w:lang w:val="en-NZ"/>
              </w:rPr>
            </w:pPr>
            <w:r w:rsidRPr="00212BEF">
              <w:t xml:space="preserve">Personal protective equipment required when operating a motive power unit within </w:t>
            </w:r>
            <w:r w:rsidRPr="00212BEF">
              <w:t>the defined limits and procedures for its use</w:t>
            </w:r>
          </w:p>
        </w:tc>
      </w:tr>
      <w:tr w:rsidTr="00212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2BEF">
            <w:pPr>
              <w:pStyle w:val="ListBullet"/>
              <w:rPr>
                <w:lang w:val="en-NZ"/>
              </w:rPr>
            </w:pPr>
            <w:r w:rsidRPr="00212BEF">
              <w:t>Procedures for managing safety and hazardous situations that may arise when operating and monitoring a motive power unit within the defined limits</w:t>
            </w:r>
          </w:p>
        </w:tc>
      </w:tr>
      <w:tr w:rsidTr="00212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2BEF">
            <w:pPr>
              <w:pStyle w:val="ListBullet"/>
              <w:rPr>
                <w:lang w:val="en-NZ"/>
              </w:rPr>
            </w:pPr>
            <w:r w:rsidRPr="00212BEF">
              <w:t>Procedures for operating and monitoring a motive power unit</w:t>
            </w:r>
            <w:r w:rsidRPr="00212BEF">
              <w:t xml:space="preserve"> within defined limits</w:t>
            </w:r>
          </w:p>
        </w:tc>
      </w:tr>
      <w:tr w:rsidTr="00212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2BEF">
            <w:pPr>
              <w:pStyle w:val="ListBullet"/>
              <w:rPr>
                <w:lang w:val="en-NZ"/>
              </w:rPr>
            </w:pPr>
            <w:r w:rsidRPr="00212BEF">
              <w:t>Procedures for operating and monitoring ancillary equipment on a motive power unit</w:t>
            </w:r>
          </w:p>
        </w:tc>
      </w:tr>
      <w:tr w:rsidTr="00212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2BEF">
            <w:pPr>
              <w:pStyle w:val="ListBullet"/>
              <w:rPr>
                <w:lang w:val="en-NZ"/>
              </w:rPr>
            </w:pPr>
            <w:r w:rsidRPr="00212BEF">
              <w:t>Procedures for operating electronic communications equipment within required protocol</w:t>
            </w:r>
          </w:p>
        </w:tc>
      </w:tr>
      <w:tr w:rsidTr="00212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2BEF">
            <w:pPr>
              <w:pStyle w:val="ListBullet"/>
              <w:rPr>
                <w:lang w:val="en-NZ"/>
              </w:rPr>
            </w:pPr>
            <w:r w:rsidRPr="00212BEF">
              <w:t>Procedures to be followed in an emergency when operating a</w:t>
            </w:r>
            <w:r w:rsidRPr="00212BEF">
              <w:t xml:space="preserve"> motive power unit within the defined limits</w:t>
            </w:r>
          </w:p>
        </w:tc>
      </w:tr>
      <w:tr w:rsidTr="00212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2BEF">
            <w:pPr>
              <w:pStyle w:val="ListBullet"/>
              <w:rPr>
                <w:lang w:val="en-NZ"/>
              </w:rPr>
            </w:pPr>
            <w:r w:rsidRPr="00212BEF">
              <w:t>Relevant rail safety, OH&amp;S and environmental procedures and regulations</w:t>
            </w:r>
          </w:p>
        </w:tc>
      </w:tr>
      <w:tr w:rsidTr="00212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2BEF">
            <w:pPr>
              <w:pStyle w:val="ListBullet"/>
              <w:rPr>
                <w:lang w:val="en-NZ"/>
              </w:rPr>
            </w:pPr>
            <w:r w:rsidRPr="00212BEF">
              <w:t>Requirements for communicating and working collaboratively with other relevant personnel</w:t>
            </w:r>
          </w:p>
        </w:tc>
      </w:tr>
      <w:tr w:rsidTr="00212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2BEF">
            <w:pPr>
              <w:pStyle w:val="ListBullet"/>
              <w:rPr>
                <w:lang w:val="en-NZ"/>
              </w:rPr>
            </w:pPr>
            <w:r w:rsidRPr="00212BEF">
              <w:t>Speed and load limits for a motive power unit within the defined limits</w:t>
            </w:r>
          </w:p>
        </w:tc>
      </w:tr>
      <w:tr w:rsidTr="00212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2BEF">
            <w:pPr>
              <w:pStyle w:val="BodyText"/>
              <w:rPr>
                <w:lang w:val="en-NZ"/>
              </w:rPr>
            </w:pPr>
            <w:r w:rsidRPr="00212BEF">
              <w:rPr>
                <w:rStyle w:val="SpecialBold"/>
              </w:rPr>
              <w:t>Required skills:</w:t>
            </w:r>
          </w:p>
        </w:tc>
      </w:tr>
      <w:tr w:rsidTr="00212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2BEF">
            <w:pPr>
              <w:pStyle w:val="ListBullet"/>
              <w:rPr>
                <w:lang w:val="en-NZ"/>
              </w:rPr>
            </w:pPr>
            <w:r w:rsidRPr="00212BEF">
              <w:t xml:space="preserve">Adapt to differences in motive power units and associated equipment and procedures </w:t>
            </w:r>
          </w:p>
        </w:tc>
      </w:tr>
      <w:tr w:rsidTr="00212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2BEF">
            <w:pPr>
              <w:pStyle w:val="ListBullet"/>
              <w:rPr>
                <w:lang w:val="en-NZ"/>
              </w:rPr>
            </w:pPr>
            <w:r w:rsidRPr="00212BEF">
              <w:t>Apply precautions and required action to minimise, control or eliminate hazard</w:t>
            </w:r>
            <w:r w:rsidRPr="00212BEF">
              <w:t>s that may exist when operating and monitoring a motive power unit within the defined limits</w:t>
            </w:r>
          </w:p>
        </w:tc>
      </w:tr>
      <w:tr w:rsidTr="00212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2BEF">
            <w:pPr>
              <w:pStyle w:val="ListBullet"/>
              <w:rPr>
                <w:lang w:val="en-NZ"/>
              </w:rPr>
            </w:pPr>
            <w:r w:rsidRPr="00212BEF">
              <w:t>Communicate effectively with others when operating and monitoring a motive power unit within the defined limits</w:t>
            </w:r>
          </w:p>
        </w:tc>
      </w:tr>
      <w:tr w:rsidTr="00212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2BEF">
            <w:pPr>
              <w:pStyle w:val="ListBullet"/>
              <w:rPr>
                <w:lang w:val="en-NZ"/>
              </w:rPr>
            </w:pPr>
            <w:r w:rsidRPr="00212BEF">
              <w:t>Identify and assess motive power unit defects a</w:t>
            </w:r>
            <w:r w:rsidRPr="00212BEF">
              <w:t xml:space="preserve">nd deficiencies, and take appropriate action to report, isolate, repair or replace any identified defective equipment in accordance with workplace procedures </w:t>
            </w:r>
          </w:p>
        </w:tc>
      </w:tr>
      <w:tr w:rsidTr="00212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2BEF">
            <w:pPr>
              <w:pStyle w:val="ListBullet"/>
              <w:rPr>
                <w:lang w:val="en-NZ"/>
              </w:rPr>
            </w:pPr>
            <w:r w:rsidRPr="00212BEF">
              <w:t>Modify activities depending on operational contingencies, risk situations and environments</w:t>
            </w:r>
          </w:p>
        </w:tc>
      </w:tr>
      <w:tr w:rsidTr="00212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2BEF">
            <w:pPr>
              <w:pStyle w:val="ListBullet"/>
              <w:rPr>
                <w:lang w:val="en-NZ"/>
              </w:rPr>
            </w:pPr>
            <w:r w:rsidRPr="00212BEF">
              <w:t>Operate electronic communication equipment to required protocol</w:t>
            </w:r>
          </w:p>
        </w:tc>
      </w:tr>
      <w:tr w:rsidTr="00212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2BEF">
            <w:pPr>
              <w:pStyle w:val="ListBullet"/>
              <w:rPr>
                <w:lang w:val="en-NZ"/>
              </w:rPr>
            </w:pPr>
            <w:r w:rsidRPr="00212BEF">
              <w:t>Read and interpret instructions, procedures, information and signs relevant to operating and monitoring a motive power unit within the defined limits</w:t>
            </w:r>
          </w:p>
        </w:tc>
      </w:tr>
      <w:tr w:rsidTr="00212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12BEF" w:rsidP="00212BEF">
            <w:pPr>
              <w:pStyle w:val="ListBullet"/>
            </w:pPr>
            <w:r w:rsidRPr="00212BEF">
              <w:t>Select and use required personal prote</w:t>
            </w:r>
            <w:r w:rsidRPr="00212BEF">
              <w:t>ctive clothing and equipment, conforming to industry and OH&amp;S standards</w:t>
            </w:r>
          </w:p>
        </w:tc>
      </w:tr>
    </w:tbl>
    <w:p w:rsidR="00000000" w:rsidRPr="00212BEF" w:rsidP="00212BEF">
      <w:pPr>
        <w:pStyle w:val="BodyText"/>
      </w:pPr>
    </w:p>
    <w:p w:rsidR="00000000" w:rsidRPr="00212BEF" w:rsidP="00212BEF">
      <w:pPr>
        <w:pStyle w:val="AllowPageBreak"/>
      </w:pPr>
    </w:p>
    <w:p w:rsidR="00000000" w:rsidRPr="00212BEF" w:rsidP="00212BEF">
      <w:pPr>
        <w:pStyle w:val="Heading1"/>
      </w:pPr>
      <w:bookmarkStart w:id="10" w:name="O_567242"/>
      <w:bookmarkEnd w:id="10"/>
      <w:r w:rsidRPr="00212BEF">
        <w:t>Evidence Guide</w:t>
      </w:r>
    </w:p>
    <w:tbl>
      <w:tblPr>
        <w:tblW w:w="9640" w:type="dxa"/>
        <w:tblLayout w:type="fixed"/>
        <w:tblCellMar>
          <w:left w:w="62" w:type="dxa"/>
          <w:right w:w="62" w:type="dxa"/>
        </w:tblCellMar>
        <w:tblLook w:val="0000"/>
      </w:tblPr>
      <w:tblGrid>
        <w:gridCol w:w="3342"/>
        <w:gridCol w:w="6298"/>
      </w:tblGrid>
      <w:tr w:rsidTr="00212BE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12BEF">
            <w:pPr>
              <w:pStyle w:val="BodyText"/>
              <w:rPr>
                <w:lang w:val="en-NZ"/>
              </w:rPr>
            </w:pPr>
            <w:r w:rsidRPr="00212BEF">
              <w:t>The evidence guide provides advice on assessment and must be read in conjunction with the performance criteria, required knowledge and skills, the ran</w:t>
            </w:r>
            <w:r w:rsidRPr="00212BEF">
              <w:t>ge statement and the assessment guidelines for this Training Package.</w:t>
            </w:r>
          </w:p>
        </w:tc>
      </w:tr>
      <w:tr w:rsidTr="00212BEF">
        <w:tblPrEx>
          <w:tblW w:w="9640" w:type="dxa"/>
          <w:tblLayout w:type="fixed"/>
          <w:tblCellMar>
            <w:left w:w="62" w:type="dxa"/>
            <w:right w:w="62" w:type="dxa"/>
          </w:tblCellMar>
          <w:tblLook w:val="0000"/>
        </w:tblPrEx>
        <w:tc>
          <w:tcPr>
            <w:tcW w:w="3342" w:type="dxa"/>
            <w:tcBorders>
              <w:top w:val="nil"/>
              <w:left w:val="nil"/>
              <w:bottom w:val="nil"/>
              <w:right w:val="nil"/>
            </w:tcBorders>
            <w:tcMar>
              <w:top w:w="0" w:type="dxa"/>
              <w:left w:w="62" w:type="dxa"/>
              <w:bottom w:w="0" w:type="dxa"/>
              <w:right w:w="62" w:type="dxa"/>
            </w:tcMar>
          </w:tcPr>
          <w:p w:rsidR="00000000" w:rsidP="00212BEF">
            <w:pPr>
              <w:pStyle w:val="BodyText"/>
              <w:rPr>
                <w:lang w:val="en-NZ"/>
              </w:rPr>
            </w:pPr>
            <w:r w:rsidRPr="00212BEF">
              <w:rPr>
                <w:rStyle w:val="SpecialBold"/>
              </w:rPr>
              <w:t>Critical aspects for assessment and evidence required to demonstrate competency in this unit</w:t>
            </w:r>
          </w:p>
        </w:tc>
        <w:tc>
          <w:tcPr>
            <w:tcW w:w="6298" w:type="dxa"/>
            <w:tcBorders>
              <w:top w:val="nil"/>
              <w:left w:val="nil"/>
              <w:bottom w:val="nil"/>
              <w:right w:val="nil"/>
            </w:tcBorders>
            <w:tcMar>
              <w:top w:w="0" w:type="dxa"/>
              <w:left w:w="62" w:type="dxa"/>
              <w:bottom w:w="0" w:type="dxa"/>
              <w:right w:w="62" w:type="dxa"/>
            </w:tcMar>
          </w:tcPr>
          <w:p w:rsidR="00000000" w:rsidRPr="00212BEF" w:rsidP="00212BEF">
            <w:pPr>
              <w:pStyle w:val="ListBullet"/>
            </w:pPr>
            <w:r w:rsidRPr="00212BEF">
              <w:t xml:space="preserve">The evidence required to demonstrate competency in this unit must be relevant to </w:t>
            </w:r>
            <w:r w:rsidRPr="00212BEF">
              <w:t>and satisfy all of the requirements of the elements and performance criteria of this unit and include demonstration of applying:</w:t>
            </w:r>
          </w:p>
          <w:p w:rsidR="00000000" w:rsidRPr="00212BEF" w:rsidP="00212BEF">
            <w:pPr>
              <w:pStyle w:val="ListBullet2"/>
            </w:pPr>
            <w:r w:rsidRPr="00212BEF">
              <w:t>the required knowledge and skills</w:t>
            </w:r>
          </w:p>
          <w:p w:rsidR="00000000" w:rsidRPr="00212BEF" w:rsidP="00212BEF">
            <w:pPr>
              <w:pStyle w:val="ListBullet2"/>
            </w:pPr>
            <w:r w:rsidRPr="00212BEF">
              <w:t>relevant legislation and workplace procedures</w:t>
            </w:r>
          </w:p>
          <w:p w:rsidR="00000000" w:rsidP="00212BEF">
            <w:pPr>
              <w:pStyle w:val="ListBullet2"/>
              <w:rPr>
                <w:lang w:val="en-NZ"/>
              </w:rPr>
            </w:pPr>
            <w:r w:rsidRPr="00212BEF">
              <w:t>other relevant aspects of the range statement</w:t>
            </w:r>
          </w:p>
        </w:tc>
      </w:tr>
      <w:tr w:rsidTr="00212BEF">
        <w:tblPrEx>
          <w:tblW w:w="9640" w:type="dxa"/>
          <w:tblLayout w:type="fixed"/>
          <w:tblCellMar>
            <w:left w:w="62" w:type="dxa"/>
            <w:right w:w="62" w:type="dxa"/>
          </w:tblCellMar>
          <w:tblLook w:val="0000"/>
        </w:tblPrEx>
        <w:tc>
          <w:tcPr>
            <w:tcW w:w="3342" w:type="dxa"/>
            <w:tcBorders>
              <w:top w:val="nil"/>
              <w:left w:val="nil"/>
              <w:bottom w:val="nil"/>
              <w:right w:val="nil"/>
            </w:tcBorders>
            <w:tcMar>
              <w:top w:w="0" w:type="dxa"/>
              <w:left w:w="62" w:type="dxa"/>
              <w:bottom w:w="0" w:type="dxa"/>
              <w:right w:w="62" w:type="dxa"/>
            </w:tcMar>
          </w:tcPr>
          <w:p w:rsidR="00000000" w:rsidP="00212BEF">
            <w:pPr>
              <w:pStyle w:val="BodyText"/>
              <w:rPr>
                <w:lang w:val="en-NZ"/>
              </w:rPr>
            </w:pPr>
            <w:r w:rsidRPr="00212BEF">
              <w:rPr>
                <w:rStyle w:val="SpecialBold"/>
              </w:rPr>
              <w:t>Context of and specific resources for assessment</w:t>
            </w:r>
          </w:p>
        </w:tc>
        <w:tc>
          <w:tcPr>
            <w:tcW w:w="6298" w:type="dxa"/>
            <w:tcBorders>
              <w:top w:val="nil"/>
              <w:left w:val="nil"/>
              <w:bottom w:val="nil"/>
              <w:right w:val="nil"/>
            </w:tcBorders>
            <w:tcMar>
              <w:top w:w="0" w:type="dxa"/>
              <w:left w:w="62" w:type="dxa"/>
              <w:bottom w:w="0" w:type="dxa"/>
              <w:right w:w="62" w:type="dxa"/>
            </w:tcMar>
          </w:tcPr>
          <w:p w:rsidR="00000000" w:rsidRPr="00212BEF" w:rsidP="00212BEF">
            <w:pPr>
              <w:pStyle w:val="ListBullet"/>
            </w:pPr>
            <w:r w:rsidRPr="00212BEF">
              <w:t>Performance is demonstrated consistently over a period of time and in a suitable range of contexts</w:t>
            </w:r>
          </w:p>
          <w:p w:rsidR="00000000" w:rsidRPr="00212BEF" w:rsidP="00212BEF">
            <w:pPr>
              <w:pStyle w:val="ListBullet"/>
            </w:pPr>
            <w:r w:rsidRPr="00212BEF">
              <w:t>Resources for assessment include:</w:t>
            </w:r>
          </w:p>
          <w:p w:rsidR="00000000" w:rsidRPr="00212BEF" w:rsidP="00212BEF">
            <w:pPr>
              <w:pStyle w:val="ListBullet2"/>
            </w:pPr>
            <w:r w:rsidRPr="00212BEF">
              <w:t>a range of relevant exercises, case studies and/or other simulated practical and knowledge assessment, and/or</w:t>
            </w:r>
          </w:p>
          <w:p w:rsidR="00000000" w:rsidRPr="00212BEF" w:rsidP="00212BEF">
            <w:pPr>
              <w:pStyle w:val="ListBullet2"/>
            </w:pPr>
            <w:r w:rsidRPr="00212BEF">
              <w:t>access to an appropriate range of relevant operational situations in the workplace</w:t>
            </w:r>
          </w:p>
          <w:p w:rsidR="00000000" w:rsidRPr="00212BEF" w:rsidP="00212BEF">
            <w:pPr>
              <w:pStyle w:val="ListBullet"/>
            </w:pPr>
            <w:r w:rsidRPr="00212BEF">
              <w:t>In both real and simulated environments, access is required to</w:t>
            </w:r>
            <w:r w:rsidRPr="00212BEF">
              <w:t>:</w:t>
            </w:r>
          </w:p>
          <w:p w:rsidR="00000000" w:rsidRPr="00212BEF" w:rsidP="00212BEF">
            <w:pPr>
              <w:pStyle w:val="ListBullet2"/>
            </w:pPr>
            <w:r w:rsidRPr="00212BEF">
              <w:t>relevant and appropriate materials and equipment, and</w:t>
            </w:r>
          </w:p>
          <w:p w:rsidR="00000000" w:rsidP="00212BEF">
            <w:pPr>
              <w:pStyle w:val="ListBullet2"/>
              <w:rPr>
                <w:lang w:val="en-NZ"/>
              </w:rPr>
            </w:pPr>
            <w:r w:rsidRPr="00212BEF">
              <w:t>applicable documentation including workplace procedures, regulations, codes of practice and operation manuals</w:t>
            </w:r>
          </w:p>
        </w:tc>
      </w:tr>
      <w:tr w:rsidTr="00212BEF">
        <w:tblPrEx>
          <w:tblW w:w="9640" w:type="dxa"/>
          <w:tblLayout w:type="fixed"/>
          <w:tblCellMar>
            <w:left w:w="62" w:type="dxa"/>
            <w:right w:w="62" w:type="dxa"/>
          </w:tblCellMar>
          <w:tblLook w:val="0000"/>
        </w:tblPrEx>
        <w:tc>
          <w:tcPr>
            <w:tcW w:w="3342" w:type="dxa"/>
            <w:tcBorders>
              <w:top w:val="nil"/>
              <w:left w:val="nil"/>
              <w:bottom w:val="nil"/>
              <w:right w:val="nil"/>
            </w:tcBorders>
            <w:tcMar>
              <w:top w:w="0" w:type="dxa"/>
              <w:left w:w="62" w:type="dxa"/>
              <w:bottom w:w="0" w:type="dxa"/>
              <w:right w:w="62" w:type="dxa"/>
            </w:tcMar>
          </w:tcPr>
          <w:p w:rsidR="00000000" w:rsidP="00212BEF">
            <w:pPr>
              <w:pStyle w:val="BodyText"/>
              <w:rPr>
                <w:lang w:val="en-NZ"/>
              </w:rPr>
            </w:pPr>
            <w:r w:rsidRPr="00212BEF">
              <w:rPr>
                <w:rStyle w:val="SpecialBold"/>
              </w:rPr>
              <w:t>Method of assessment</w:t>
            </w:r>
          </w:p>
        </w:tc>
        <w:tc>
          <w:tcPr>
            <w:tcW w:w="6298" w:type="dxa"/>
            <w:tcBorders>
              <w:top w:val="nil"/>
              <w:left w:val="nil"/>
              <w:bottom w:val="nil"/>
              <w:right w:val="nil"/>
            </w:tcBorders>
            <w:tcMar>
              <w:top w:w="0" w:type="dxa"/>
              <w:left w:w="62" w:type="dxa"/>
              <w:bottom w:w="0" w:type="dxa"/>
              <w:right w:w="62" w:type="dxa"/>
            </w:tcMar>
          </w:tcPr>
          <w:p w:rsidR="00000000" w:rsidRPr="00212BEF" w:rsidP="00212BEF">
            <w:pPr>
              <w:pStyle w:val="ListBullet"/>
            </w:pPr>
            <w:r w:rsidRPr="00212BEF">
              <w:t>As a minimum, assessment of knowledge must be conducted through appropriate written/oral tests</w:t>
            </w:r>
          </w:p>
          <w:p w:rsidR="00000000" w:rsidRPr="00212BEF" w:rsidP="00212BEF">
            <w:pPr>
              <w:pStyle w:val="ListBullet"/>
            </w:pPr>
            <w:r w:rsidRPr="00212BEF">
              <w:t>Practical assessment must occur:</w:t>
            </w:r>
          </w:p>
          <w:p w:rsidR="00000000" w:rsidRPr="00212BEF" w:rsidP="00212BEF">
            <w:pPr>
              <w:pStyle w:val="ListBullet2"/>
            </w:pPr>
            <w:r w:rsidRPr="00212BEF">
              <w:t>through activities in an appropriately simulated environment, and/or</w:t>
            </w:r>
          </w:p>
          <w:p w:rsidR="00000000" w:rsidRPr="00212BEF" w:rsidP="00212BEF">
            <w:pPr>
              <w:pStyle w:val="ListBullet2"/>
            </w:pPr>
            <w:r w:rsidRPr="00212BEF">
              <w:t>in an appropriate range of situations in the workplace</w:t>
            </w:r>
          </w:p>
        </w:tc>
      </w:tr>
    </w:tbl>
    <w:p w:rsidR="00000000" w:rsidRPr="00212BEF" w:rsidP="00212BEF">
      <w:pPr>
        <w:pStyle w:val="BodyText"/>
      </w:pPr>
    </w:p>
    <w:p w:rsidR="00000000" w:rsidRPr="00212BEF" w:rsidP="00212BEF">
      <w:pPr>
        <w:pStyle w:val="AllowPageBreak"/>
      </w:pPr>
    </w:p>
    <w:p w:rsidR="00000000" w:rsidRPr="00212BEF" w:rsidP="00212BEF">
      <w:pPr>
        <w:pStyle w:val="Heading1"/>
      </w:pPr>
      <w:bookmarkStart w:id="11" w:name="O_567241"/>
      <w:bookmarkEnd w:id="11"/>
      <w:r w:rsidRPr="00212BEF">
        <w:t>Range Statement</w:t>
      </w:r>
    </w:p>
    <w:tbl>
      <w:tblPr>
        <w:tblW w:w="9640" w:type="dxa"/>
        <w:tblLayout w:type="fixed"/>
        <w:tblCellMar>
          <w:left w:w="62" w:type="dxa"/>
          <w:right w:w="62" w:type="dxa"/>
        </w:tblCellMar>
        <w:tblLook w:val="0000"/>
      </w:tblPr>
      <w:tblGrid>
        <w:gridCol w:w="3303"/>
        <w:gridCol w:w="6337"/>
      </w:tblGrid>
      <w:tr w:rsidTr="00212BE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12BEF">
            <w:pPr>
              <w:pStyle w:val="BodyText"/>
              <w:rPr>
                <w:lang w:val="en-NZ"/>
              </w:rPr>
            </w:pPr>
            <w:r w:rsidRPr="00212BEF">
              <w:t>The range statement relates to the unit of competency as a whole. It allows for different work environments and situations that may affect performance.</w:t>
            </w:r>
          </w:p>
        </w:tc>
      </w:tr>
      <w:tr w:rsidTr="00212BEF">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212BEF">
            <w:pPr>
              <w:pStyle w:val="BodyText"/>
              <w:rPr>
                <w:lang w:val="en-NZ"/>
              </w:rPr>
            </w:pPr>
            <w:r w:rsidRPr="00212BEF">
              <w:t>Motive power units may include all motive power units in service withi</w:t>
            </w:r>
            <w:r w:rsidRPr="00212BEF">
              <w:t>n Australian rail systems and may include:</w:t>
            </w:r>
          </w:p>
        </w:tc>
        <w:tc>
          <w:tcPr>
            <w:tcW w:w="6337" w:type="dxa"/>
            <w:tcBorders>
              <w:top w:val="nil"/>
              <w:left w:val="nil"/>
              <w:bottom w:val="nil"/>
              <w:right w:val="nil"/>
            </w:tcBorders>
            <w:tcMar>
              <w:top w:w="0" w:type="dxa"/>
              <w:left w:w="62" w:type="dxa"/>
              <w:bottom w:w="0" w:type="dxa"/>
              <w:right w:w="62" w:type="dxa"/>
            </w:tcMar>
          </w:tcPr>
          <w:p w:rsidR="00000000" w:rsidRPr="00212BEF" w:rsidP="00212BEF">
            <w:pPr>
              <w:pStyle w:val="ListBullet"/>
            </w:pPr>
            <w:r w:rsidRPr="00212BEF">
              <w:t>diesel locomotives</w:t>
            </w:r>
          </w:p>
          <w:p w:rsidR="00000000" w:rsidRPr="00212BEF" w:rsidP="00212BEF">
            <w:pPr>
              <w:pStyle w:val="ListBullet"/>
            </w:pPr>
            <w:r w:rsidRPr="00212BEF">
              <w:t>electric locomotives</w:t>
            </w:r>
          </w:p>
          <w:p w:rsidR="00000000" w:rsidP="00212BEF">
            <w:pPr>
              <w:pStyle w:val="ListBullet"/>
              <w:rPr>
                <w:lang w:val="en-NZ"/>
              </w:rPr>
            </w:pPr>
            <w:r w:rsidRPr="00212BEF">
              <w:t>railcars</w:t>
            </w:r>
          </w:p>
        </w:tc>
      </w:tr>
      <w:tr w:rsidTr="00212BE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212BEF">
            <w:pPr>
              <w:pStyle w:val="BodyText"/>
              <w:rPr>
                <w:lang w:val="en-NZ"/>
              </w:rPr>
            </w:pPr>
            <w:r w:rsidRPr="00212BEF">
              <w:t>Defined limits may include:</w:t>
            </w:r>
          </w:p>
        </w:tc>
        <w:tc>
          <w:tcPr>
            <w:tcW w:w="6337" w:type="dxa"/>
            <w:tcBorders>
              <w:top w:val="nil"/>
              <w:left w:val="nil"/>
              <w:bottom w:val="nil"/>
              <w:right w:val="nil"/>
            </w:tcBorders>
            <w:tcMar>
              <w:top w:w="0" w:type="dxa"/>
              <w:left w:w="62" w:type="dxa"/>
              <w:bottom w:w="0" w:type="dxa"/>
              <w:right w:w="62" w:type="dxa"/>
            </w:tcMar>
          </w:tcPr>
          <w:p w:rsidR="00000000" w:rsidRPr="00212BEF" w:rsidP="00212BEF">
            <w:pPr>
              <w:pStyle w:val="ListBullet"/>
            </w:pPr>
            <w:r w:rsidRPr="00212BEF">
              <w:t>yards</w:t>
            </w:r>
          </w:p>
          <w:p w:rsidR="00000000" w:rsidRPr="00212BEF" w:rsidP="00212BEF">
            <w:pPr>
              <w:pStyle w:val="ListBullet"/>
            </w:pPr>
            <w:r w:rsidRPr="00212BEF">
              <w:t>terminals</w:t>
            </w:r>
          </w:p>
          <w:p w:rsidR="00000000" w:rsidP="00212BEF">
            <w:pPr>
              <w:pStyle w:val="ListBullet"/>
              <w:rPr>
                <w:lang w:val="en-NZ"/>
              </w:rPr>
            </w:pPr>
            <w:r w:rsidRPr="00212BEF">
              <w:t>private sidings</w:t>
            </w:r>
          </w:p>
        </w:tc>
      </w:tr>
      <w:tr w:rsidTr="00212BE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212BEF">
            <w:pPr>
              <w:pStyle w:val="BodyText"/>
              <w:rPr>
                <w:lang w:val="en-NZ"/>
              </w:rPr>
            </w:pPr>
            <w:r w:rsidRPr="00212BEF">
              <w:t>Motive power equipment may include:</w:t>
            </w:r>
          </w:p>
        </w:tc>
        <w:tc>
          <w:tcPr>
            <w:tcW w:w="6337" w:type="dxa"/>
            <w:tcBorders>
              <w:top w:val="nil"/>
              <w:left w:val="nil"/>
              <w:bottom w:val="nil"/>
              <w:right w:val="nil"/>
            </w:tcBorders>
            <w:tcMar>
              <w:top w:w="0" w:type="dxa"/>
              <w:left w:w="62" w:type="dxa"/>
              <w:bottom w:w="0" w:type="dxa"/>
              <w:right w:w="62" w:type="dxa"/>
            </w:tcMar>
          </w:tcPr>
          <w:p w:rsidR="00000000" w:rsidRPr="00212BEF" w:rsidP="00212BEF">
            <w:pPr>
              <w:pStyle w:val="ListBullet"/>
            </w:pPr>
            <w:r w:rsidRPr="00212BEF">
              <w:t>auxiliary systems</w:t>
            </w:r>
          </w:p>
          <w:p w:rsidR="00000000" w:rsidRPr="00212BEF" w:rsidP="00212BEF">
            <w:pPr>
              <w:pStyle w:val="ListBullet"/>
            </w:pPr>
            <w:r w:rsidRPr="00212BEF">
              <w:t>automatic control systems</w:t>
            </w:r>
          </w:p>
          <w:p w:rsidR="00000000" w:rsidRPr="00212BEF" w:rsidP="00212BEF">
            <w:pPr>
              <w:pStyle w:val="ListBullet"/>
            </w:pPr>
            <w:r w:rsidRPr="00212BEF">
              <w:t>braking systems</w:t>
            </w:r>
          </w:p>
          <w:p w:rsidR="00000000" w:rsidRPr="00212BEF" w:rsidP="00212BEF">
            <w:pPr>
              <w:pStyle w:val="ListBullet"/>
            </w:pPr>
            <w:r w:rsidRPr="00212BEF">
              <w:t>drive systems</w:t>
            </w:r>
          </w:p>
          <w:p w:rsidR="00000000" w:rsidRPr="00212BEF" w:rsidP="00212BEF">
            <w:pPr>
              <w:pStyle w:val="ListBullet"/>
            </w:pPr>
            <w:r w:rsidRPr="00212BEF">
              <w:t>instrumentation</w:t>
            </w:r>
          </w:p>
          <w:p w:rsidR="00000000" w:rsidRPr="00212BEF" w:rsidP="00212BEF">
            <w:pPr>
              <w:pStyle w:val="ListBullet"/>
            </w:pPr>
            <w:r w:rsidRPr="00212BEF">
              <w:t>manual controls</w:t>
            </w:r>
          </w:p>
          <w:p w:rsidR="00000000" w:rsidRPr="00212BEF" w:rsidP="00212BEF">
            <w:pPr>
              <w:pStyle w:val="ListBullet"/>
            </w:pPr>
            <w:r w:rsidRPr="00212BEF">
              <w:t>communication systems</w:t>
            </w:r>
          </w:p>
          <w:p w:rsidR="00000000" w:rsidRPr="00212BEF" w:rsidP="00212BEF">
            <w:pPr>
              <w:pStyle w:val="ListBullet"/>
            </w:pPr>
            <w:r w:rsidRPr="00212BEF">
              <w:t>warning equipment</w:t>
            </w:r>
          </w:p>
          <w:p w:rsidR="00000000" w:rsidRPr="00212BEF" w:rsidP="00212BEF">
            <w:pPr>
              <w:pStyle w:val="ListBullet"/>
            </w:pPr>
            <w:r w:rsidRPr="00212BEF">
              <w:t>power source</w:t>
            </w:r>
          </w:p>
          <w:p w:rsidR="00000000" w:rsidRPr="00212BEF" w:rsidP="00212BEF">
            <w:pPr>
              <w:pStyle w:val="ListBullet"/>
            </w:pPr>
            <w:r w:rsidRPr="00212BEF">
              <w:t>vigilance systems</w:t>
            </w:r>
          </w:p>
          <w:p w:rsidR="00000000" w:rsidRPr="00212BEF" w:rsidP="00212BEF">
            <w:pPr>
              <w:pStyle w:val="ListBullet"/>
            </w:pPr>
            <w:r w:rsidRPr="00212BEF">
              <w:t>traction systems</w:t>
            </w:r>
          </w:p>
          <w:p w:rsidR="00000000" w:rsidP="00212BEF">
            <w:pPr>
              <w:pStyle w:val="ListBullet"/>
              <w:rPr>
                <w:lang w:val="en-NZ"/>
              </w:rPr>
            </w:pPr>
            <w:r w:rsidRPr="00212BEF">
              <w:t>head and marker lights</w:t>
            </w:r>
          </w:p>
        </w:tc>
      </w:tr>
      <w:tr w:rsidTr="00212BE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212BEF">
            <w:pPr>
              <w:pStyle w:val="BodyText"/>
              <w:rPr>
                <w:lang w:val="en-NZ"/>
              </w:rPr>
            </w:pPr>
            <w:r w:rsidRPr="00212BEF">
              <w:t>Relevant personnel may include:</w:t>
            </w:r>
          </w:p>
        </w:tc>
        <w:tc>
          <w:tcPr>
            <w:tcW w:w="6337" w:type="dxa"/>
            <w:tcBorders>
              <w:top w:val="nil"/>
              <w:left w:val="nil"/>
              <w:bottom w:val="nil"/>
              <w:right w:val="nil"/>
            </w:tcBorders>
            <w:tcMar>
              <w:top w:w="0" w:type="dxa"/>
              <w:left w:w="62" w:type="dxa"/>
              <w:bottom w:w="0" w:type="dxa"/>
              <w:right w:w="62" w:type="dxa"/>
            </w:tcMar>
          </w:tcPr>
          <w:p w:rsidR="00000000" w:rsidRPr="00212BEF" w:rsidP="00212BEF">
            <w:pPr>
              <w:pStyle w:val="ListBullet"/>
            </w:pPr>
            <w:r w:rsidRPr="00212BEF">
              <w:t>train crew</w:t>
            </w:r>
          </w:p>
          <w:p w:rsidR="00000000" w:rsidRPr="00212BEF" w:rsidP="00212BEF">
            <w:pPr>
              <w:pStyle w:val="ListBullet"/>
            </w:pPr>
            <w:r w:rsidRPr="00212BEF">
              <w:t>train controllers and signallers</w:t>
            </w:r>
          </w:p>
          <w:p w:rsidR="00000000" w:rsidRPr="00212BEF" w:rsidP="00212BEF">
            <w:pPr>
              <w:pStyle w:val="ListBullet"/>
            </w:pPr>
            <w:r w:rsidRPr="00212BEF">
              <w:t>rostering supervisors and staff</w:t>
            </w:r>
          </w:p>
          <w:p w:rsidR="00000000" w:rsidRPr="00212BEF" w:rsidP="00212BEF">
            <w:pPr>
              <w:pStyle w:val="ListBullet"/>
            </w:pPr>
            <w:r w:rsidRPr="00212BEF">
              <w:t>depot coordinators</w:t>
            </w:r>
          </w:p>
          <w:p w:rsidR="00000000" w:rsidRPr="00212BEF" w:rsidP="00212BEF">
            <w:pPr>
              <w:pStyle w:val="ListBullet"/>
            </w:pPr>
            <w:r w:rsidRPr="00212BEF">
              <w:t>yard masters, supervisors and other operational personnel</w:t>
            </w:r>
          </w:p>
          <w:p w:rsidR="00000000" w:rsidRPr="00212BEF" w:rsidP="00212BEF">
            <w:pPr>
              <w:pStyle w:val="ListBullet"/>
            </w:pPr>
            <w:r w:rsidRPr="00212BEF">
              <w:t>service delivery supervisors</w:t>
            </w:r>
          </w:p>
          <w:p w:rsidR="00000000" w:rsidRPr="00212BEF" w:rsidP="00212BEF">
            <w:pPr>
              <w:pStyle w:val="ListBullet"/>
            </w:pPr>
            <w:r w:rsidRPr="00212BEF">
              <w:t xml:space="preserve">station yard staff </w:t>
            </w:r>
          </w:p>
          <w:p w:rsidR="00000000" w:rsidRPr="00212BEF" w:rsidP="00212BEF">
            <w:pPr>
              <w:pStyle w:val="ListBullet"/>
            </w:pPr>
            <w:r w:rsidRPr="00212BEF">
              <w:t>maintenance and cleaning personnel</w:t>
            </w:r>
          </w:p>
          <w:p w:rsidR="00000000" w:rsidP="00212BEF">
            <w:pPr>
              <w:pStyle w:val="ListBullet"/>
              <w:rPr>
                <w:lang w:val="en-NZ"/>
              </w:rPr>
            </w:pPr>
            <w:r w:rsidRPr="00212BEF">
              <w:t>immediate internal or external customers</w:t>
            </w:r>
          </w:p>
        </w:tc>
      </w:tr>
      <w:tr w:rsidTr="00212BE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212BEF">
            <w:pPr>
              <w:pStyle w:val="BodyText"/>
              <w:rPr>
                <w:lang w:val="en-NZ"/>
              </w:rPr>
            </w:pPr>
            <w:r w:rsidRPr="00212BEF">
              <w:t>Action taken upon the</w:t>
            </w:r>
            <w:r w:rsidRPr="00212BEF">
              <w:t xml:space="preserve"> identification of faults, defects or deficiencies may include:</w:t>
            </w:r>
          </w:p>
        </w:tc>
        <w:tc>
          <w:tcPr>
            <w:tcW w:w="6337" w:type="dxa"/>
            <w:tcBorders>
              <w:top w:val="nil"/>
              <w:left w:val="nil"/>
              <w:bottom w:val="nil"/>
              <w:right w:val="nil"/>
            </w:tcBorders>
            <w:tcMar>
              <w:top w:w="0" w:type="dxa"/>
              <w:left w:w="62" w:type="dxa"/>
              <w:bottom w:w="0" w:type="dxa"/>
              <w:right w:w="62" w:type="dxa"/>
            </w:tcMar>
          </w:tcPr>
          <w:p w:rsidR="00000000" w:rsidRPr="00212BEF" w:rsidP="00212BEF">
            <w:pPr>
              <w:pStyle w:val="ListBullet"/>
            </w:pPr>
            <w:r w:rsidRPr="00212BEF">
              <w:t>reporting the problem and carrying out repairs (depending on the level and extent of work required)</w:t>
            </w:r>
          </w:p>
          <w:p w:rsidR="00000000" w:rsidP="00212BEF">
            <w:pPr>
              <w:pStyle w:val="ListBullet"/>
              <w:rPr>
                <w:lang w:val="en-NZ"/>
              </w:rPr>
            </w:pPr>
            <w:r w:rsidRPr="00212BEF">
              <w:t xml:space="preserve">isolating and tagging the faulty equipment and advising appropriate personnel of the fault </w:t>
            </w:r>
            <w:r w:rsidRPr="00212BEF">
              <w:t>and need for repair or replacement</w:t>
            </w:r>
          </w:p>
        </w:tc>
      </w:tr>
      <w:tr w:rsidTr="00212BE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212BEF">
            <w:pPr>
              <w:pStyle w:val="BodyText"/>
              <w:rPr>
                <w:lang w:val="en-NZ"/>
              </w:rPr>
            </w:pPr>
            <w:r w:rsidRPr="00212BEF">
              <w:t>Depending on the organisation, concerned organisational procedures may be known as:</w:t>
            </w:r>
          </w:p>
        </w:tc>
        <w:tc>
          <w:tcPr>
            <w:tcW w:w="6337" w:type="dxa"/>
            <w:tcBorders>
              <w:top w:val="nil"/>
              <w:left w:val="nil"/>
              <w:bottom w:val="nil"/>
              <w:right w:val="nil"/>
            </w:tcBorders>
            <w:tcMar>
              <w:top w:w="0" w:type="dxa"/>
              <w:left w:w="62" w:type="dxa"/>
              <w:bottom w:w="0" w:type="dxa"/>
              <w:right w:w="62" w:type="dxa"/>
            </w:tcMar>
          </w:tcPr>
          <w:p w:rsidR="00000000" w:rsidRPr="00212BEF" w:rsidP="00212BEF">
            <w:pPr>
              <w:pStyle w:val="ListBullet"/>
            </w:pPr>
            <w:r w:rsidRPr="00212BEF">
              <w:t>standard operating procedures</w:t>
            </w:r>
          </w:p>
          <w:p w:rsidR="00000000" w:rsidRPr="00212BEF" w:rsidP="00212BEF">
            <w:pPr>
              <w:pStyle w:val="ListBullet"/>
            </w:pPr>
            <w:r w:rsidRPr="00212BEF">
              <w:t>company procedures</w:t>
            </w:r>
          </w:p>
          <w:p w:rsidR="00000000" w:rsidRPr="00212BEF" w:rsidP="00212BEF">
            <w:pPr>
              <w:pStyle w:val="ListBullet"/>
            </w:pPr>
            <w:r w:rsidRPr="00212BEF">
              <w:t>enterprise procedures</w:t>
            </w:r>
          </w:p>
          <w:p w:rsidR="00000000" w:rsidRPr="00212BEF" w:rsidP="00212BEF">
            <w:pPr>
              <w:pStyle w:val="ListBullet"/>
            </w:pPr>
            <w:r w:rsidRPr="00212BEF">
              <w:t>workplace procedures</w:t>
            </w:r>
          </w:p>
          <w:p w:rsidR="00000000" w:rsidP="00212BEF">
            <w:pPr>
              <w:pStyle w:val="ListBullet"/>
              <w:rPr>
                <w:lang w:val="en-NZ"/>
              </w:rPr>
            </w:pPr>
            <w:r w:rsidRPr="00212BEF">
              <w:t>established procedures</w:t>
            </w:r>
          </w:p>
        </w:tc>
      </w:tr>
      <w:tr w:rsidTr="00212BE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212BEF">
            <w:pPr>
              <w:pStyle w:val="BodyText"/>
              <w:rPr>
                <w:lang w:val="en-NZ"/>
              </w:rPr>
            </w:pPr>
            <w:r w:rsidRPr="00212BEF">
              <w:t>Safety and personal protective equipment may include:</w:t>
            </w:r>
          </w:p>
        </w:tc>
        <w:tc>
          <w:tcPr>
            <w:tcW w:w="6337" w:type="dxa"/>
            <w:tcBorders>
              <w:top w:val="nil"/>
              <w:left w:val="nil"/>
              <w:bottom w:val="nil"/>
              <w:right w:val="nil"/>
            </w:tcBorders>
            <w:tcMar>
              <w:top w:w="0" w:type="dxa"/>
              <w:left w:w="62" w:type="dxa"/>
              <w:bottom w:w="0" w:type="dxa"/>
              <w:right w:w="62" w:type="dxa"/>
            </w:tcMar>
          </w:tcPr>
          <w:p w:rsidR="00000000" w:rsidRPr="00212BEF" w:rsidP="00212BEF">
            <w:pPr>
              <w:pStyle w:val="ListBullet"/>
            </w:pPr>
            <w:r w:rsidRPr="00212BEF">
              <w:t>gloves</w:t>
            </w:r>
          </w:p>
          <w:p w:rsidR="00000000" w:rsidRPr="00212BEF" w:rsidP="00212BEF">
            <w:pPr>
              <w:pStyle w:val="ListBullet"/>
            </w:pPr>
            <w:r w:rsidRPr="00212BEF">
              <w:t xml:space="preserve">sunscreen </w:t>
            </w:r>
          </w:p>
          <w:p w:rsidR="00000000" w:rsidRPr="00212BEF" w:rsidP="00212BEF">
            <w:pPr>
              <w:pStyle w:val="ListBullet"/>
            </w:pPr>
            <w:r w:rsidRPr="00212BEF">
              <w:t>safety glasses</w:t>
            </w:r>
          </w:p>
          <w:p w:rsidR="00000000" w:rsidRPr="00212BEF" w:rsidP="00212BEF">
            <w:pPr>
              <w:pStyle w:val="ListBullet"/>
            </w:pPr>
            <w:r w:rsidRPr="00212BEF">
              <w:t>insect repellent</w:t>
            </w:r>
          </w:p>
          <w:p w:rsidR="00000000" w:rsidRPr="00212BEF" w:rsidP="00212BEF">
            <w:pPr>
              <w:pStyle w:val="ListBullet"/>
            </w:pPr>
            <w:r w:rsidRPr="00212BEF">
              <w:t>safety headwear and footwear</w:t>
            </w:r>
          </w:p>
          <w:p w:rsidR="00000000" w:rsidRPr="00212BEF" w:rsidP="00212BEF">
            <w:pPr>
              <w:pStyle w:val="ListBullet"/>
            </w:pPr>
            <w:r w:rsidRPr="00212BEF">
              <w:t>two-way radios</w:t>
            </w:r>
          </w:p>
          <w:p w:rsidR="00000000" w:rsidRPr="00212BEF" w:rsidP="00212BEF">
            <w:pPr>
              <w:pStyle w:val="ListBullet"/>
            </w:pPr>
            <w:r w:rsidRPr="00212BEF">
              <w:t>mobile phones</w:t>
            </w:r>
          </w:p>
          <w:p w:rsidR="00000000" w:rsidRPr="00212BEF" w:rsidP="00212BEF">
            <w:pPr>
              <w:pStyle w:val="ListBullet"/>
            </w:pPr>
            <w:r w:rsidRPr="00212BEF">
              <w:t>hand lamps</w:t>
            </w:r>
          </w:p>
          <w:p w:rsidR="00000000" w:rsidRPr="00212BEF" w:rsidP="00212BEF">
            <w:pPr>
              <w:pStyle w:val="ListBullet"/>
            </w:pPr>
            <w:r w:rsidRPr="00212BEF">
              <w:t>safety devices</w:t>
            </w:r>
          </w:p>
          <w:p w:rsidR="00000000" w:rsidRPr="00212BEF" w:rsidP="00212BEF">
            <w:pPr>
              <w:pStyle w:val="ListBullet"/>
            </w:pPr>
            <w:r w:rsidRPr="00212BEF">
              <w:t>audible indicators</w:t>
            </w:r>
          </w:p>
          <w:p w:rsidR="00000000" w:rsidRPr="00212BEF" w:rsidP="00212BEF">
            <w:pPr>
              <w:pStyle w:val="ListBullet"/>
            </w:pPr>
            <w:r w:rsidRPr="00212BEF">
              <w:t>high visibility clothing</w:t>
            </w:r>
          </w:p>
          <w:p w:rsidR="00000000" w:rsidP="00212BEF">
            <w:pPr>
              <w:pStyle w:val="ListBullet"/>
              <w:rPr>
                <w:lang w:val="en-NZ"/>
              </w:rPr>
            </w:pPr>
            <w:r w:rsidRPr="00212BEF">
              <w:t>hearing protection</w:t>
            </w:r>
          </w:p>
        </w:tc>
      </w:tr>
      <w:tr w:rsidTr="00212BE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212BEF">
            <w:pPr>
              <w:pStyle w:val="BodyText"/>
              <w:rPr>
                <w:lang w:val="en-NZ"/>
              </w:rPr>
            </w:pPr>
            <w:r w:rsidRPr="00212BEF">
              <w:t>Information and documents may include:</w:t>
            </w:r>
          </w:p>
        </w:tc>
        <w:tc>
          <w:tcPr>
            <w:tcW w:w="6337" w:type="dxa"/>
            <w:tcBorders>
              <w:top w:val="nil"/>
              <w:left w:val="nil"/>
              <w:bottom w:val="nil"/>
              <w:right w:val="nil"/>
            </w:tcBorders>
            <w:tcMar>
              <w:top w:w="0" w:type="dxa"/>
              <w:left w:w="62" w:type="dxa"/>
              <w:bottom w:w="0" w:type="dxa"/>
              <w:right w:w="62" w:type="dxa"/>
            </w:tcMar>
          </w:tcPr>
          <w:p w:rsidR="00000000" w:rsidRPr="00212BEF" w:rsidP="00212BEF">
            <w:pPr>
              <w:pStyle w:val="ListBullet"/>
            </w:pPr>
            <w:r w:rsidRPr="00212BEF">
              <w:t>motive power unit operational records and user logbooks</w:t>
            </w:r>
          </w:p>
          <w:p w:rsidR="00000000" w:rsidRPr="00212BEF" w:rsidP="00212BEF">
            <w:pPr>
              <w:pStyle w:val="ListBullet"/>
            </w:pPr>
            <w:r w:rsidRPr="00212BEF">
              <w:t xml:space="preserve">maintenance notices, records and requests </w:t>
            </w:r>
          </w:p>
          <w:p w:rsidR="00000000" w:rsidRPr="00212BEF" w:rsidP="00212BEF">
            <w:pPr>
              <w:pStyle w:val="ListBullet"/>
            </w:pPr>
            <w:r w:rsidRPr="00212BEF">
              <w:t>preparation sheets certificates and service dockets</w:t>
            </w:r>
          </w:p>
          <w:p w:rsidR="00000000" w:rsidP="00212BEF">
            <w:pPr>
              <w:pStyle w:val="ListBullet"/>
              <w:rPr>
                <w:lang w:val="en-NZ"/>
              </w:rPr>
            </w:pPr>
            <w:r w:rsidRPr="00212BEF">
              <w:t>emergency procedures manual</w:t>
            </w:r>
          </w:p>
        </w:tc>
      </w:tr>
      <w:tr w:rsidTr="00212BEF">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212BEF">
            <w:pPr>
              <w:pStyle w:val="BodyText"/>
              <w:rPr>
                <w:lang w:val="en-NZ"/>
              </w:rPr>
            </w:pPr>
            <w:r w:rsidRPr="00212BEF">
              <w:t xml:space="preserve">Applicable legislation, regulations </w:t>
            </w:r>
            <w:r w:rsidRPr="00212BEF">
              <w:t>and codes may include:</w:t>
            </w:r>
          </w:p>
        </w:tc>
        <w:tc>
          <w:tcPr>
            <w:tcW w:w="6337" w:type="dxa"/>
            <w:tcBorders>
              <w:top w:val="nil"/>
              <w:left w:val="nil"/>
              <w:bottom w:val="nil"/>
              <w:right w:val="nil"/>
            </w:tcBorders>
            <w:tcMar>
              <w:top w:w="0" w:type="dxa"/>
              <w:left w:w="62" w:type="dxa"/>
              <w:bottom w:w="0" w:type="dxa"/>
              <w:right w:w="62" w:type="dxa"/>
            </w:tcMar>
          </w:tcPr>
          <w:p w:rsidR="00000000" w:rsidRPr="00212BEF" w:rsidP="00212BEF">
            <w:pPr>
              <w:pStyle w:val="ListBullet"/>
            </w:pPr>
            <w:r w:rsidRPr="00212BEF">
              <w:t xml:space="preserve">legislated rail safety requirements including Acts and regulations from each applicable state and territory together with any nationally approved compliance codes and/or guidelines </w:t>
            </w:r>
          </w:p>
          <w:p w:rsidR="00000000" w:rsidRPr="00212BEF" w:rsidP="00212BEF">
            <w:pPr>
              <w:pStyle w:val="ListBullet"/>
            </w:pPr>
            <w:r w:rsidRPr="00212BEF">
              <w:t>relevant Australian Standards and related requirem</w:t>
            </w:r>
            <w:r w:rsidRPr="00212BEF">
              <w:t>ents</w:t>
            </w:r>
          </w:p>
          <w:p w:rsidR="00000000" w:rsidRPr="00212BEF" w:rsidP="00212BEF">
            <w:pPr>
              <w:pStyle w:val="ListBullet"/>
            </w:pPr>
            <w:r w:rsidRPr="00212BEF">
              <w:t>relevant state/territory OH&amp;S legislation</w:t>
            </w:r>
          </w:p>
          <w:p w:rsidR="00000000" w:rsidRPr="00212BEF" w:rsidP="00212BEF">
            <w:pPr>
              <w:pStyle w:val="ListBullet"/>
            </w:pPr>
            <w:r w:rsidRPr="00212BEF">
              <w:t>relevant state/territory environmental protection legislation</w:t>
            </w:r>
          </w:p>
        </w:tc>
      </w:tr>
    </w:tbl>
    <w:p w:rsidR="00000000" w:rsidRPr="00212BEF" w:rsidP="00212BEF">
      <w:pPr>
        <w:pStyle w:val="BodyText"/>
      </w:pPr>
    </w:p>
    <w:p w:rsidR="00000000" w:rsidRPr="00212BEF" w:rsidP="00212BEF">
      <w:pPr>
        <w:pStyle w:val="AllowPageBreak"/>
      </w:pPr>
    </w:p>
    <w:p w:rsidR="00000000" w:rsidRPr="00212BEF" w:rsidP="00212BEF">
      <w:pPr>
        <w:pStyle w:val="Heading1"/>
      </w:pPr>
      <w:bookmarkStart w:id="12" w:name="O_567240"/>
      <w:bookmarkEnd w:id="12"/>
      <w:r w:rsidRPr="00212BEF">
        <w:t>Unit Sector(s)</w:t>
      </w:r>
    </w:p>
    <w:p w:rsidR="00000000" w:rsidRPr="00212BEF" w:rsidP="00212BEF">
      <w:pPr>
        <w:pStyle w:val="BodyText"/>
      </w:pPr>
      <w:r w:rsidRPr="00212BEF">
        <w:t>Not applicable.</w:t>
      </w:r>
    </w:p>
    <w:p w:rsidR="00000000" w:rsidRPr="00212BEF" w:rsidP="00212BEF">
      <w:pPr>
        <w:pStyle w:val="AllowPageBreak"/>
      </w:pPr>
    </w:p>
    <w:p w:rsidR="00000000" w:rsidRPr="00212BEF" w:rsidP="00212BEF">
      <w:pPr>
        <w:pStyle w:val="Heading1"/>
      </w:pPr>
      <w:bookmarkStart w:id="13" w:name="O_567239"/>
      <w:bookmarkEnd w:id="13"/>
      <w:r w:rsidRPr="00212BEF">
        <w:t>Competency Field</w:t>
      </w:r>
    </w:p>
    <w:p w:rsidR="00000000" w:rsidRPr="00212BEF" w:rsidP="00212BEF">
      <w:pPr>
        <w:pStyle w:val="BodyText"/>
      </w:pPr>
      <w:r w:rsidRPr="00212BEF">
        <w:t>C – Vehicle Operation</w:t>
      </w:r>
    </w:p>
    <w:p w:rsidR="00000000" w:rsidRPr="00212BEF" w:rsidP="00212BEF"/>
    <w:sectPr w:rsidSect="00212B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B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BEF" w:rsidRPr="00927098" w:rsidP="009270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B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098" w:rsidP="00212B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27098" w:rsidP="00212BE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27098" w:rsidP="00212B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B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BEF" w:rsidRPr="00927098" w:rsidP="0092709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B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098" w:rsidRPr="002D2AF8" w:rsidP="00212BEF">
    <w:pPr>
      <w:pStyle w:val="Header"/>
      <w:framePr w:wrap="around"/>
    </w:pPr>
    <w:r>
      <w:fldChar w:fldCharType="begin"/>
    </w:r>
    <w:r>
      <w:instrText xml:space="preserve"> TITLE   \* MERGEFORMAT </w:instrText>
    </w:r>
    <w:r>
      <w:fldChar w:fldCharType="separate"/>
    </w:r>
    <w:r>
      <w:t>TLIC0079A Operate a motive power unit within defined limits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927098" w:rsidP="00212B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2E68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1219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4E49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B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2BEF"/>
    <w:pPr>
      <w:spacing w:before="360" w:after="60"/>
      <w:outlineLvl w:val="0"/>
    </w:pPr>
    <w:rPr>
      <w:sz w:val="32"/>
    </w:rPr>
  </w:style>
  <w:style w:type="paragraph" w:styleId="Heading2">
    <w:name w:val="heading 2"/>
    <w:basedOn w:val="HeadingBase"/>
    <w:next w:val="BodyText"/>
    <w:link w:val="Heading2Char"/>
    <w:qFormat/>
    <w:rsid w:val="00212BEF"/>
    <w:pPr>
      <w:keepLines/>
      <w:spacing w:before="240" w:after="120"/>
      <w:outlineLvl w:val="1"/>
    </w:pPr>
    <w:rPr>
      <w:sz w:val="28"/>
      <w:szCs w:val="40"/>
    </w:rPr>
  </w:style>
  <w:style w:type="paragraph" w:styleId="Heading3">
    <w:name w:val="heading 3"/>
    <w:basedOn w:val="HeadingBase"/>
    <w:next w:val="BodyText"/>
    <w:link w:val="Heading3Char"/>
    <w:qFormat/>
    <w:rsid w:val="00212BEF"/>
    <w:pPr>
      <w:spacing w:before="180" w:after="120"/>
      <w:outlineLvl w:val="2"/>
    </w:pPr>
    <w:rPr>
      <w:spacing w:val="-10"/>
      <w:kern w:val="32"/>
    </w:rPr>
  </w:style>
  <w:style w:type="paragraph" w:styleId="Heading4">
    <w:name w:val="heading 4"/>
    <w:basedOn w:val="HeadingBase"/>
    <w:next w:val="BodyText"/>
    <w:link w:val="Heading4Char"/>
    <w:qFormat/>
    <w:rsid w:val="00212BEF"/>
    <w:pPr>
      <w:spacing w:before="160" w:after="120"/>
      <w:outlineLvl w:val="3"/>
    </w:pPr>
    <w:rPr>
      <w:sz w:val="22"/>
    </w:rPr>
  </w:style>
  <w:style w:type="paragraph" w:styleId="Heading5">
    <w:name w:val="heading 5"/>
    <w:basedOn w:val="HeadingBase"/>
    <w:next w:val="Normal"/>
    <w:link w:val="Heading5Char"/>
    <w:qFormat/>
    <w:rsid w:val="00212BEF"/>
    <w:pPr>
      <w:spacing w:before="80"/>
      <w:outlineLvl w:val="4"/>
    </w:pPr>
    <w:rPr>
      <w:color w:val="918585"/>
      <w:sz w:val="20"/>
    </w:rPr>
  </w:style>
  <w:style w:type="paragraph" w:styleId="Heading6">
    <w:name w:val="heading 6"/>
    <w:basedOn w:val="HeadingBase"/>
    <w:next w:val="Normal"/>
    <w:link w:val="Heading6Char"/>
    <w:qFormat/>
    <w:rsid w:val="00212BEF"/>
    <w:pPr>
      <w:spacing w:before="60"/>
      <w:outlineLvl w:val="5"/>
    </w:pPr>
    <w:rPr>
      <w:color w:val="918585"/>
      <w:sz w:val="20"/>
    </w:rPr>
  </w:style>
  <w:style w:type="paragraph" w:styleId="Heading7">
    <w:name w:val="heading 7"/>
    <w:basedOn w:val="Normal"/>
    <w:next w:val="Normal"/>
    <w:link w:val="Heading7Char"/>
    <w:qFormat/>
    <w:rsid w:val="00212BEF"/>
    <w:pPr>
      <w:ind w:left="720"/>
      <w:outlineLvl w:val="6"/>
    </w:pPr>
    <w:rPr>
      <w:i/>
    </w:rPr>
  </w:style>
  <w:style w:type="paragraph" w:styleId="Heading8">
    <w:name w:val="heading 8"/>
    <w:basedOn w:val="Normal"/>
    <w:next w:val="Normal"/>
    <w:link w:val="Heading8Char"/>
    <w:qFormat/>
    <w:rsid w:val="00212BEF"/>
    <w:pPr>
      <w:ind w:left="720"/>
      <w:outlineLvl w:val="7"/>
    </w:pPr>
    <w:rPr>
      <w:i/>
    </w:rPr>
  </w:style>
  <w:style w:type="paragraph" w:styleId="Heading9">
    <w:name w:val="heading 9"/>
    <w:basedOn w:val="Normal"/>
    <w:next w:val="Normal"/>
    <w:link w:val="Heading9Char"/>
    <w:qFormat/>
    <w:rsid w:val="00212BEF"/>
    <w:pPr>
      <w:ind w:left="720"/>
      <w:outlineLvl w:val="8"/>
    </w:pPr>
    <w:rPr>
      <w:i/>
    </w:rPr>
  </w:style>
  <w:style w:type="character" w:default="1" w:styleId="DefaultParagraphFont">
    <w:name w:val="Default Paragraph Font"/>
    <w:uiPriority w:val="1"/>
    <w:unhideWhenUsed/>
    <w:rsid w:val="00212B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2BEF"/>
  </w:style>
  <w:style w:type="character" w:customStyle="1" w:styleId="Heading1Char">
    <w:name w:val="Heading 1 Char"/>
    <w:basedOn w:val="DefaultParagraphFont"/>
    <w:link w:val="Heading1"/>
    <w:rsid w:val="00212BEF"/>
    <w:rPr>
      <w:rFonts w:ascii="Times New Roman" w:eastAsia="Times New Roman" w:hAnsi="Times New Roman" w:cs="Times New Roman"/>
      <w:b/>
      <w:sz w:val="32"/>
      <w:szCs w:val="20"/>
      <w:lang w:eastAsia="en-US"/>
    </w:rPr>
  </w:style>
  <w:style w:type="paragraph" w:styleId="BodyText">
    <w:name w:val="Body Text"/>
    <w:basedOn w:val="Normal"/>
    <w:link w:val="BodyTextChar"/>
    <w:rsid w:val="00212B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2BEF"/>
    <w:rPr>
      <w:rFonts w:ascii="Times New Roman" w:eastAsia="Times New Roman" w:hAnsi="Times New Roman" w:cs="Times New Roman"/>
      <w:sz w:val="24"/>
      <w:lang w:eastAsia="en-US"/>
    </w:rPr>
  </w:style>
  <w:style w:type="paragraph" w:styleId="ListBullet">
    <w:name w:val="List Bullet"/>
    <w:basedOn w:val="List"/>
    <w:rsid w:val="00212BEF"/>
    <w:pPr>
      <w:numPr>
        <w:numId w:val="13"/>
      </w:numPr>
      <w:tabs>
        <w:tab w:val="clear" w:pos="340"/>
      </w:tabs>
      <w:spacing w:before="40" w:after="40"/>
    </w:pPr>
  </w:style>
  <w:style w:type="character" w:customStyle="1" w:styleId="SpecialBold">
    <w:name w:val="Special Bold"/>
    <w:basedOn w:val="DefaultParagraphFont"/>
    <w:rsid w:val="00212BEF"/>
    <w:rPr>
      <w:b/>
      <w:spacing w:val="0"/>
    </w:rPr>
  </w:style>
  <w:style w:type="paragraph" w:styleId="ListBullet2">
    <w:name w:val="List Bullet 2"/>
    <w:basedOn w:val="List2"/>
    <w:rsid w:val="00212BEF"/>
    <w:pPr>
      <w:numPr>
        <w:numId w:val="14"/>
      </w:numPr>
      <w:tabs>
        <w:tab w:val="clear" w:pos="680"/>
      </w:tabs>
    </w:pPr>
  </w:style>
  <w:style w:type="paragraph" w:customStyle="1" w:styleId="SuperHeading">
    <w:name w:val="SuperHeading"/>
    <w:basedOn w:val="Normal"/>
    <w:rsid w:val="00212BEF"/>
    <w:pPr>
      <w:spacing w:before="240" w:after="120"/>
      <w:outlineLvl w:val="0"/>
    </w:pPr>
    <w:rPr>
      <w:rFonts w:ascii="Times New Roman" w:hAnsi="Times New Roman"/>
      <w:b/>
      <w:sz w:val="32"/>
    </w:rPr>
  </w:style>
  <w:style w:type="paragraph" w:customStyle="1" w:styleId="AllowPageBreak">
    <w:name w:val="AllowPageBreak"/>
    <w:rsid w:val="00212B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2B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2B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2B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2B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2B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2B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2B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2BEF"/>
    <w:rPr>
      <w:rFonts w:ascii="Courier New" w:eastAsia="Times New Roman" w:hAnsi="Courier New" w:cs="Times New Roman"/>
      <w:i/>
      <w:szCs w:val="20"/>
      <w:lang w:eastAsia="en-US"/>
    </w:rPr>
  </w:style>
  <w:style w:type="paragraph" w:customStyle="1" w:styleId="HeadingBase">
    <w:name w:val="Heading Base"/>
    <w:rsid w:val="00212B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2BEF"/>
    <w:pPr>
      <w:tabs>
        <w:tab w:val="right" w:leader="dot" w:pos="9072"/>
      </w:tabs>
      <w:ind w:left="567"/>
    </w:pPr>
    <w:rPr>
      <w:szCs w:val="22"/>
    </w:rPr>
  </w:style>
  <w:style w:type="paragraph" w:customStyle="1" w:styleId="TOCBase">
    <w:name w:val="TOC Base"/>
    <w:rsid w:val="00212B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2BEF"/>
    <w:pPr>
      <w:tabs>
        <w:tab w:val="right" w:leader="dot" w:pos="9072"/>
      </w:tabs>
      <w:spacing w:before="40" w:after="40"/>
      <w:ind w:left="284"/>
    </w:pPr>
    <w:rPr>
      <w:rFonts w:ascii="Times New Roman" w:hAnsi="Times New Roman"/>
    </w:rPr>
  </w:style>
  <w:style w:type="paragraph" w:styleId="TOC1">
    <w:name w:val="toc 1"/>
    <w:basedOn w:val="TOCBase"/>
    <w:next w:val="Normal"/>
    <w:rsid w:val="00212B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2B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2BEF"/>
    <w:rPr>
      <w:rFonts w:ascii="Times New Roman" w:eastAsia="Times New Roman" w:hAnsi="Times New Roman" w:cs="Times New Roman"/>
      <w:sz w:val="16"/>
      <w:lang w:eastAsia="en-US"/>
    </w:rPr>
  </w:style>
  <w:style w:type="paragraph" w:styleId="Title">
    <w:name w:val="Title"/>
    <w:basedOn w:val="HeadingBase"/>
    <w:link w:val="TitleChar"/>
    <w:qFormat/>
    <w:rsid w:val="00212BEF"/>
    <w:pPr>
      <w:spacing w:before="5040"/>
      <w:jc w:val="center"/>
    </w:pPr>
    <w:rPr>
      <w:sz w:val="48"/>
      <w:szCs w:val="72"/>
      <w:lang w:val="en-US"/>
    </w:rPr>
  </w:style>
  <w:style w:type="character" w:customStyle="1" w:styleId="TitleChar">
    <w:name w:val="Title Char"/>
    <w:basedOn w:val="DefaultParagraphFont"/>
    <w:link w:val="Title"/>
    <w:rsid w:val="00212B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2BEF"/>
    <w:pPr>
      <w:tabs>
        <w:tab w:val="left" w:pos="3600"/>
        <w:tab w:val="left" w:pos="3958"/>
      </w:tabs>
    </w:pPr>
  </w:style>
  <w:style w:type="paragraph" w:styleId="List">
    <w:name w:val="List"/>
    <w:basedOn w:val="BodyText"/>
    <w:next w:val="BodyText"/>
    <w:rsid w:val="00212BEF"/>
    <w:pPr>
      <w:tabs>
        <w:tab w:val="left" w:pos="340"/>
      </w:tabs>
      <w:spacing w:before="60" w:after="60"/>
      <w:ind w:left="340" w:hanging="340"/>
    </w:pPr>
  </w:style>
  <w:style w:type="paragraph" w:customStyle="1" w:styleId="Note">
    <w:name w:val="Note"/>
    <w:basedOn w:val="BodyText"/>
    <w:rsid w:val="00212B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2BEF"/>
    <w:pPr>
      <w:framePr w:wrap="auto" w:hAnchor="text" w:y="6049"/>
    </w:pPr>
    <w:rPr>
      <w:color w:val="000000"/>
      <w:sz w:val="40"/>
    </w:rPr>
  </w:style>
  <w:style w:type="paragraph" w:customStyle="1" w:styleId="TOCTitle">
    <w:name w:val="TOCTitle"/>
    <w:basedOn w:val="Heading1"/>
    <w:rsid w:val="00212BEF"/>
    <w:pPr>
      <w:spacing w:after="240"/>
      <w:jc w:val="center"/>
      <w:outlineLvl w:val="9"/>
    </w:pPr>
    <w:rPr>
      <w:caps/>
    </w:rPr>
  </w:style>
  <w:style w:type="paragraph" w:customStyle="1" w:styleId="Version">
    <w:name w:val="Version"/>
    <w:rsid w:val="00212B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2BEF"/>
    <w:pPr>
      <w:keepNext w:val="0"/>
      <w:tabs>
        <w:tab w:val="right" w:pos="4176"/>
      </w:tabs>
      <w:ind w:left="198" w:hanging="198"/>
    </w:pPr>
    <w:rPr>
      <w:rFonts w:ascii="Garamond" w:hAnsi="Garamond"/>
    </w:rPr>
  </w:style>
  <w:style w:type="paragraph" w:styleId="IndexHeading">
    <w:name w:val="index heading"/>
    <w:basedOn w:val="Normal"/>
    <w:next w:val="Index1"/>
    <w:semiHidden/>
    <w:rsid w:val="00212BEF"/>
    <w:pPr>
      <w:spacing w:before="120" w:after="120"/>
    </w:pPr>
    <w:rPr>
      <w:rFonts w:ascii="Arial" w:hAnsi="Arial"/>
      <w:b/>
      <w:color w:val="918585"/>
      <w:sz w:val="24"/>
    </w:rPr>
  </w:style>
  <w:style w:type="paragraph" w:styleId="Header">
    <w:name w:val="header"/>
    <w:basedOn w:val="Normal"/>
    <w:link w:val="HeaderChar"/>
    <w:rsid w:val="00212B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2BEF"/>
    <w:rPr>
      <w:rFonts w:ascii="Times New Roman" w:eastAsia="Times New Roman" w:hAnsi="Times New Roman" w:cs="Times New Roman"/>
      <w:sz w:val="16"/>
      <w:szCs w:val="20"/>
      <w:lang w:val="en-GB" w:eastAsia="en-US"/>
    </w:rPr>
  </w:style>
  <w:style w:type="paragraph" w:customStyle="1" w:styleId="Chapter">
    <w:name w:val="Chapter"/>
    <w:basedOn w:val="Normal"/>
    <w:rsid w:val="00212BEF"/>
    <w:pPr>
      <w:spacing w:before="240"/>
    </w:pPr>
    <w:rPr>
      <w:rFonts w:ascii="Times New Roman" w:hAnsi="Times New Roman"/>
      <w:smallCaps/>
      <w:spacing w:val="80"/>
      <w:sz w:val="28"/>
    </w:rPr>
  </w:style>
  <w:style w:type="paragraph" w:customStyle="1" w:styleId="InChapter">
    <w:name w:val="InChapter"/>
    <w:basedOn w:val="Heading3"/>
    <w:rsid w:val="00212BEF"/>
    <w:pPr>
      <w:spacing w:after="240"/>
      <w:outlineLvl w:val="9"/>
    </w:pPr>
    <w:rPr>
      <w:noProof/>
    </w:rPr>
  </w:style>
  <w:style w:type="paragraph" w:styleId="Index2">
    <w:name w:val="index 2"/>
    <w:basedOn w:val="Normal"/>
    <w:next w:val="Normal"/>
    <w:semiHidden/>
    <w:rsid w:val="00212BEF"/>
    <w:pPr>
      <w:tabs>
        <w:tab w:val="right" w:pos="4176"/>
      </w:tabs>
      <w:ind w:left="568" w:hanging="284"/>
    </w:pPr>
    <w:rPr>
      <w:rFonts w:ascii="Garamond" w:hAnsi="Garamond"/>
    </w:rPr>
  </w:style>
  <w:style w:type="paragraph" w:customStyle="1" w:styleId="Byline">
    <w:name w:val="Byline"/>
    <w:rsid w:val="00212B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2BEF"/>
    <w:pPr>
      <w:tabs>
        <w:tab w:val="clear" w:pos="3600"/>
        <w:tab w:val="clear" w:pos="3958"/>
      </w:tabs>
      <w:jc w:val="right"/>
    </w:pPr>
  </w:style>
  <w:style w:type="character" w:styleId="Emphasis">
    <w:name w:val="Emphasis"/>
    <w:basedOn w:val="DefaultParagraphFont"/>
    <w:qFormat/>
    <w:rsid w:val="00212BEF"/>
    <w:rPr>
      <w:i/>
    </w:rPr>
  </w:style>
  <w:style w:type="paragraph" w:styleId="Caption">
    <w:name w:val="caption"/>
    <w:basedOn w:val="BodyText"/>
    <w:next w:val="Normal"/>
    <w:qFormat/>
    <w:rsid w:val="00212BEF"/>
    <w:pPr>
      <w:framePr w:w="2268" w:hSpace="181" w:vSpace="181" w:wrap="around" w:vAnchor="text" w:hAnchor="page" w:x="1135" w:y="285" w:anchorLock="1"/>
    </w:pPr>
    <w:rPr>
      <w:i/>
    </w:rPr>
  </w:style>
  <w:style w:type="paragraph" w:customStyle="1" w:styleId="MiniTOCTitle">
    <w:name w:val="MiniTOCTitle"/>
    <w:basedOn w:val="Heading4"/>
    <w:rsid w:val="00212BEF"/>
    <w:pPr>
      <w:spacing w:before="240"/>
      <w:outlineLvl w:val="9"/>
    </w:pPr>
    <w:rPr>
      <w:noProof/>
      <w:sz w:val="24"/>
    </w:rPr>
  </w:style>
  <w:style w:type="paragraph" w:customStyle="1" w:styleId="MiniTOCItem">
    <w:name w:val="MiniTOCItem"/>
    <w:basedOn w:val="ListBullet"/>
    <w:rsid w:val="00212BEF"/>
    <w:pPr>
      <w:numPr>
        <w:numId w:val="0"/>
      </w:numPr>
      <w:tabs>
        <w:tab w:val="right" w:leader="dot" w:pos="6521"/>
      </w:tabs>
      <w:spacing w:before="0" w:after="0"/>
    </w:pPr>
  </w:style>
  <w:style w:type="paragraph" w:customStyle="1" w:styleId="TOFTitle">
    <w:name w:val="TOFTitle"/>
    <w:basedOn w:val="TOCTitle"/>
    <w:rsid w:val="00212BEF"/>
  </w:style>
  <w:style w:type="paragraph" w:styleId="TableofFigures">
    <w:name w:val="table of figures"/>
    <w:basedOn w:val="Normal"/>
    <w:next w:val="Normal"/>
    <w:semiHidden/>
    <w:rsid w:val="00212BEF"/>
    <w:pPr>
      <w:tabs>
        <w:tab w:val="right" w:leader="dot" w:pos="9072"/>
      </w:tabs>
      <w:ind w:left="970" w:hanging="403"/>
    </w:pPr>
    <w:rPr>
      <w:rFonts w:ascii="Times New Roman" w:hAnsi="Times New Roman"/>
      <w:b/>
    </w:rPr>
  </w:style>
  <w:style w:type="paragraph" w:styleId="ListNumber">
    <w:name w:val="List Number"/>
    <w:basedOn w:val="List"/>
    <w:rsid w:val="00212BEF"/>
    <w:pPr>
      <w:numPr>
        <w:numId w:val="11"/>
      </w:numPr>
    </w:pPr>
  </w:style>
  <w:style w:type="character" w:customStyle="1" w:styleId="WingdingSymbols">
    <w:name w:val="Wingding Symbols"/>
    <w:rsid w:val="00212BEF"/>
    <w:rPr>
      <w:rFonts w:ascii="Wingdings" w:hAnsi="Wingdings"/>
    </w:rPr>
  </w:style>
  <w:style w:type="paragraph" w:customStyle="1" w:styleId="TableHeading">
    <w:name w:val="Table Heading"/>
    <w:basedOn w:val="HeadingBase"/>
    <w:rsid w:val="00212BEF"/>
    <w:pPr>
      <w:keepLines/>
      <w:pBdr>
        <w:bottom w:val="single" w:sz="6" w:space="1" w:color="918585"/>
      </w:pBdr>
      <w:spacing w:before="240"/>
    </w:pPr>
  </w:style>
  <w:style w:type="character" w:customStyle="1" w:styleId="HotSpot">
    <w:name w:val="HotSpot"/>
    <w:rsid w:val="00212BEF"/>
    <w:rPr>
      <w:color w:val="0033CC"/>
      <w:u w:val="none"/>
    </w:rPr>
  </w:style>
  <w:style w:type="paragraph" w:customStyle="1" w:styleId="BodyTextRight">
    <w:name w:val="Body Text Right"/>
    <w:basedOn w:val="BodyText"/>
    <w:rsid w:val="00212BEF"/>
    <w:pPr>
      <w:spacing w:before="0" w:after="0"/>
      <w:jc w:val="right"/>
    </w:pPr>
  </w:style>
  <w:style w:type="paragraph" w:styleId="Index3">
    <w:name w:val="index 3"/>
    <w:basedOn w:val="ListNumber2"/>
    <w:next w:val="Normal"/>
    <w:semiHidden/>
    <w:rsid w:val="00212BEF"/>
    <w:pPr>
      <w:numPr>
        <w:numId w:val="0"/>
      </w:numPr>
      <w:tabs>
        <w:tab w:val="right" w:leader="dot" w:pos="4176"/>
      </w:tabs>
    </w:pPr>
  </w:style>
  <w:style w:type="paragraph" w:styleId="ListNumber2">
    <w:name w:val="List Number 2"/>
    <w:basedOn w:val="List2"/>
    <w:rsid w:val="00212BEF"/>
    <w:pPr>
      <w:numPr>
        <w:numId w:val="10"/>
      </w:numPr>
      <w:tabs>
        <w:tab w:val="clear" w:pos="1060"/>
      </w:tabs>
    </w:pPr>
  </w:style>
  <w:style w:type="paragraph" w:customStyle="1" w:styleId="MarginNote">
    <w:name w:val="Margin Note"/>
    <w:basedOn w:val="BodyText"/>
    <w:rsid w:val="00212B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2B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2B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2BEF"/>
    <w:rPr>
      <w:sz w:val="32"/>
    </w:rPr>
  </w:style>
  <w:style w:type="paragraph" w:customStyle="1" w:styleId="HeadingProcedure">
    <w:name w:val="Heading Procedure"/>
    <w:basedOn w:val="HeadingBase"/>
    <w:next w:val="Normal"/>
    <w:rsid w:val="00212BEF"/>
    <w:pPr>
      <w:tabs>
        <w:tab w:val="left" w:pos="0"/>
      </w:tabs>
      <w:spacing w:before="120" w:after="60"/>
    </w:pPr>
    <w:rPr>
      <w:i/>
      <w:color w:val="918585"/>
      <w:sz w:val="22"/>
    </w:rPr>
  </w:style>
  <w:style w:type="paragraph" w:customStyle="1" w:styleId="TableBodyText">
    <w:name w:val="Table Body Text"/>
    <w:basedOn w:val="BodyText"/>
    <w:rsid w:val="00212BEF"/>
    <w:pPr>
      <w:spacing w:before="60" w:after="60"/>
    </w:pPr>
  </w:style>
  <w:style w:type="paragraph" w:styleId="ListContinue">
    <w:name w:val="List Continue"/>
    <w:basedOn w:val="List"/>
    <w:rsid w:val="00212BEF"/>
    <w:pPr>
      <w:ind w:firstLine="0"/>
    </w:pPr>
  </w:style>
  <w:style w:type="paragraph" w:customStyle="1" w:styleId="ListNote">
    <w:name w:val="List Note"/>
    <w:basedOn w:val="List"/>
    <w:rsid w:val="00212BEF"/>
    <w:pPr>
      <w:pBdr>
        <w:top w:val="single" w:sz="6" w:space="2" w:color="918585"/>
        <w:bottom w:val="single" w:sz="6" w:space="2" w:color="918585"/>
      </w:pBdr>
      <w:tabs>
        <w:tab w:val="left" w:pos="1021"/>
      </w:tabs>
      <w:ind w:firstLine="0"/>
    </w:pPr>
  </w:style>
  <w:style w:type="paragraph" w:customStyle="1" w:styleId="Warning">
    <w:name w:val="Warning"/>
    <w:basedOn w:val="BodyText"/>
    <w:rsid w:val="00212BEF"/>
    <w:pPr>
      <w:shd w:val="clear" w:color="auto" w:fill="D9D9D9"/>
      <w:tabs>
        <w:tab w:val="left" w:pos="992"/>
      </w:tabs>
      <w:ind w:left="119" w:right="119"/>
    </w:pPr>
    <w:rPr>
      <w:sz w:val="20"/>
    </w:rPr>
  </w:style>
  <w:style w:type="paragraph" w:customStyle="1" w:styleId="MarginIcons">
    <w:name w:val="Margin Icons"/>
    <w:basedOn w:val="BodyText"/>
    <w:rsid w:val="00212B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2BEF"/>
    <w:rPr>
      <w:rFonts w:ascii="Courier New" w:hAnsi="Courier New"/>
    </w:rPr>
  </w:style>
  <w:style w:type="paragraph" w:customStyle="1" w:styleId="NoteBullet">
    <w:name w:val="Note Bullet"/>
    <w:basedOn w:val="Note"/>
    <w:rsid w:val="00212BEF"/>
    <w:pPr>
      <w:tabs>
        <w:tab w:val="clear" w:pos="680"/>
      </w:tabs>
      <w:spacing w:before="60" w:after="60"/>
    </w:pPr>
  </w:style>
  <w:style w:type="paragraph" w:customStyle="1" w:styleId="SubHeading2">
    <w:name w:val="SubHeading2"/>
    <w:basedOn w:val="HeadingBase"/>
    <w:rsid w:val="00212BEF"/>
    <w:pPr>
      <w:spacing w:before="240" w:after="60"/>
    </w:pPr>
    <w:rPr>
      <w:sz w:val="20"/>
    </w:rPr>
  </w:style>
  <w:style w:type="paragraph" w:customStyle="1" w:styleId="SubHeading1">
    <w:name w:val="SubHeading1"/>
    <w:basedOn w:val="HeadingBase"/>
    <w:rsid w:val="00212BEF"/>
    <w:pPr>
      <w:spacing w:before="240" w:after="60"/>
    </w:pPr>
    <w:rPr>
      <w:color w:val="918585"/>
      <w:sz w:val="22"/>
    </w:rPr>
  </w:style>
  <w:style w:type="paragraph" w:customStyle="1" w:styleId="SideHeading">
    <w:name w:val="Side Heading"/>
    <w:basedOn w:val="HeadingBase"/>
    <w:rsid w:val="00212B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2BEF"/>
    <w:pPr>
      <w:numPr>
        <w:numId w:val="12"/>
      </w:numPr>
    </w:pPr>
  </w:style>
  <w:style w:type="paragraph" w:styleId="PlainText">
    <w:name w:val="Plain Text"/>
    <w:basedOn w:val="Normal"/>
    <w:link w:val="PlainTextChar"/>
    <w:rsid w:val="00212BEF"/>
    <w:rPr>
      <w:sz w:val="20"/>
    </w:rPr>
  </w:style>
  <w:style w:type="character" w:customStyle="1" w:styleId="PlainTextChar">
    <w:name w:val="Plain Text Char"/>
    <w:basedOn w:val="DefaultParagraphFont"/>
    <w:link w:val="PlainText"/>
    <w:rsid w:val="00212BEF"/>
    <w:rPr>
      <w:rFonts w:ascii="Courier New" w:eastAsia="Times New Roman" w:hAnsi="Courier New" w:cs="Times New Roman"/>
      <w:sz w:val="20"/>
      <w:szCs w:val="20"/>
      <w:lang w:eastAsia="en-US"/>
    </w:rPr>
  </w:style>
  <w:style w:type="character" w:customStyle="1" w:styleId="MenuOption">
    <w:name w:val="Menu Option"/>
    <w:basedOn w:val="DefaultParagraphFont"/>
    <w:rsid w:val="00212BEF"/>
    <w:rPr>
      <w:b/>
      <w:smallCaps/>
    </w:rPr>
  </w:style>
  <w:style w:type="paragraph" w:customStyle="1" w:styleId="TableListNumber">
    <w:name w:val="Table List Number"/>
    <w:basedOn w:val="ListNumber"/>
    <w:rsid w:val="00212BEF"/>
    <w:pPr>
      <w:numPr>
        <w:numId w:val="0"/>
      </w:numPr>
    </w:pPr>
  </w:style>
  <w:style w:type="paragraph" w:styleId="TOC4">
    <w:name w:val="toc 4"/>
    <w:basedOn w:val="TOCBase"/>
    <w:next w:val="Normal"/>
    <w:semiHidden/>
    <w:rsid w:val="00212BEF"/>
    <w:pPr>
      <w:tabs>
        <w:tab w:val="right" w:leader="dot" w:pos="9071"/>
      </w:tabs>
      <w:ind w:left="1701"/>
    </w:pPr>
  </w:style>
  <w:style w:type="paragraph" w:customStyle="1" w:styleId="ListAlpha">
    <w:name w:val="List Alpha"/>
    <w:basedOn w:val="List"/>
    <w:rsid w:val="00212BEF"/>
    <w:pPr>
      <w:numPr>
        <w:numId w:val="9"/>
      </w:numPr>
    </w:pPr>
  </w:style>
  <w:style w:type="paragraph" w:customStyle="1" w:styleId="ListAlpha2">
    <w:name w:val="List Alpha 2"/>
    <w:basedOn w:val="List2"/>
    <w:rsid w:val="00212BEF"/>
    <w:pPr>
      <w:numPr>
        <w:numId w:val="8"/>
      </w:numPr>
    </w:pPr>
  </w:style>
  <w:style w:type="paragraph" w:styleId="List2">
    <w:name w:val="List 2"/>
    <w:basedOn w:val="BodyText"/>
    <w:rsid w:val="00212BEF"/>
    <w:pPr>
      <w:tabs>
        <w:tab w:val="left" w:pos="680"/>
      </w:tabs>
      <w:spacing w:before="60" w:after="60"/>
      <w:ind w:left="680" w:hanging="340"/>
    </w:pPr>
  </w:style>
  <w:style w:type="paragraph" w:styleId="List3">
    <w:name w:val="List 3"/>
    <w:basedOn w:val="BodyText"/>
    <w:rsid w:val="00212BEF"/>
    <w:pPr>
      <w:tabs>
        <w:tab w:val="left" w:pos="1021"/>
      </w:tabs>
      <w:spacing w:before="60" w:after="60"/>
      <w:ind w:left="1020" w:hanging="340"/>
    </w:pPr>
  </w:style>
  <w:style w:type="paragraph" w:styleId="List4">
    <w:name w:val="List 4"/>
    <w:basedOn w:val="BodyText"/>
    <w:rsid w:val="00212BEF"/>
    <w:pPr>
      <w:tabs>
        <w:tab w:val="left" w:pos="1361"/>
      </w:tabs>
      <w:spacing w:before="60" w:after="60"/>
      <w:ind w:left="1361" w:hanging="340"/>
    </w:pPr>
  </w:style>
  <w:style w:type="paragraph" w:styleId="List5">
    <w:name w:val="List 5"/>
    <w:basedOn w:val="BodyText"/>
    <w:rsid w:val="00212BEF"/>
    <w:pPr>
      <w:tabs>
        <w:tab w:val="left" w:pos="1701"/>
      </w:tabs>
      <w:spacing w:before="60" w:after="60"/>
      <w:ind w:left="1701" w:hanging="340"/>
    </w:pPr>
  </w:style>
  <w:style w:type="paragraph" w:styleId="ListBullet3">
    <w:name w:val="List Bullet 3"/>
    <w:basedOn w:val="List3"/>
    <w:rsid w:val="00212BEF"/>
    <w:pPr>
      <w:numPr>
        <w:numId w:val="15"/>
      </w:numPr>
      <w:tabs>
        <w:tab w:val="clear" w:pos="1021"/>
      </w:tabs>
      <w:ind w:left="1037" w:hanging="357"/>
    </w:pPr>
  </w:style>
  <w:style w:type="paragraph" w:styleId="ListBullet4">
    <w:name w:val="List Bullet 4"/>
    <w:basedOn w:val="List4"/>
    <w:rsid w:val="00212BEF"/>
    <w:pPr>
      <w:numPr>
        <w:numId w:val="3"/>
      </w:numPr>
    </w:pPr>
  </w:style>
  <w:style w:type="paragraph" w:styleId="ListBullet5">
    <w:name w:val="List Bullet 5"/>
    <w:basedOn w:val="List5"/>
    <w:rsid w:val="00212BEF"/>
    <w:pPr>
      <w:numPr>
        <w:numId w:val="4"/>
      </w:numPr>
    </w:pPr>
  </w:style>
  <w:style w:type="paragraph" w:styleId="ListContinue2">
    <w:name w:val="List Continue 2"/>
    <w:basedOn w:val="List2"/>
    <w:rsid w:val="00212BEF"/>
    <w:pPr>
      <w:ind w:firstLine="0"/>
    </w:pPr>
  </w:style>
  <w:style w:type="paragraph" w:styleId="ListContinue3">
    <w:name w:val="List Continue 3"/>
    <w:basedOn w:val="List3"/>
    <w:rsid w:val="00212BEF"/>
    <w:pPr>
      <w:ind w:left="1021" w:firstLine="0"/>
    </w:pPr>
  </w:style>
  <w:style w:type="paragraph" w:styleId="ListContinue4">
    <w:name w:val="List Continue 4"/>
    <w:basedOn w:val="List4"/>
    <w:rsid w:val="00212BEF"/>
    <w:pPr>
      <w:ind w:firstLine="0"/>
    </w:pPr>
  </w:style>
  <w:style w:type="paragraph" w:styleId="ListContinue5">
    <w:name w:val="List Continue 5"/>
    <w:basedOn w:val="List5"/>
    <w:rsid w:val="00212BEF"/>
    <w:pPr>
      <w:ind w:firstLine="0"/>
    </w:pPr>
  </w:style>
  <w:style w:type="paragraph" w:styleId="ListNumber3">
    <w:name w:val="List Number 3"/>
    <w:basedOn w:val="List3"/>
    <w:rsid w:val="00212BEF"/>
    <w:pPr>
      <w:numPr>
        <w:numId w:val="5"/>
      </w:numPr>
    </w:pPr>
  </w:style>
  <w:style w:type="paragraph" w:styleId="ListNumber4">
    <w:name w:val="List Number 4"/>
    <w:basedOn w:val="List4"/>
    <w:rsid w:val="00212BEF"/>
    <w:pPr>
      <w:numPr>
        <w:numId w:val="6"/>
      </w:numPr>
    </w:pPr>
  </w:style>
  <w:style w:type="paragraph" w:styleId="ListNumber5">
    <w:name w:val="List Number 5"/>
    <w:basedOn w:val="List5"/>
    <w:rsid w:val="00212BEF"/>
    <w:pPr>
      <w:numPr>
        <w:numId w:val="7"/>
      </w:numPr>
    </w:pPr>
  </w:style>
  <w:style w:type="paragraph" w:styleId="BlockText">
    <w:name w:val="Block Text"/>
    <w:basedOn w:val="Normal"/>
    <w:rsid w:val="00212BEF"/>
    <w:pPr>
      <w:spacing w:after="120"/>
      <w:ind w:left="1440" w:right="1440"/>
    </w:pPr>
  </w:style>
  <w:style w:type="character" w:customStyle="1" w:styleId="Subscript">
    <w:name w:val="Subscript"/>
    <w:basedOn w:val="DefaultParagraphFont"/>
    <w:rsid w:val="00212BEF"/>
    <w:rPr>
      <w:sz w:val="16"/>
      <w:vertAlign w:val="subscript"/>
    </w:rPr>
  </w:style>
  <w:style w:type="character" w:customStyle="1" w:styleId="Superscript">
    <w:name w:val="Superscript"/>
    <w:basedOn w:val="DefaultParagraphFont"/>
    <w:rsid w:val="00212BEF"/>
    <w:rPr>
      <w:sz w:val="16"/>
      <w:vertAlign w:val="superscript"/>
    </w:rPr>
  </w:style>
  <w:style w:type="character" w:customStyle="1" w:styleId="Symbols">
    <w:name w:val="Symbols"/>
    <w:basedOn w:val="DefaultParagraphFont"/>
    <w:rsid w:val="00212BEF"/>
    <w:rPr>
      <w:rFonts w:ascii="Symbol" w:hAnsi="Symbol"/>
    </w:rPr>
  </w:style>
  <w:style w:type="character" w:customStyle="1" w:styleId="MenuOptions">
    <w:name w:val="Menu Options"/>
    <w:basedOn w:val="DefaultParagraphFont"/>
    <w:rsid w:val="00212BEF"/>
    <w:rPr>
      <w:rFonts w:ascii="Arial Narrow" w:hAnsi="Arial Narrow"/>
      <w:smallCaps/>
    </w:rPr>
  </w:style>
  <w:style w:type="character" w:customStyle="1" w:styleId="Buttons">
    <w:name w:val="Buttons"/>
    <w:basedOn w:val="DefaultParagraphFont"/>
    <w:rsid w:val="00212BEF"/>
    <w:rPr>
      <w:b/>
    </w:rPr>
  </w:style>
  <w:style w:type="character" w:customStyle="1" w:styleId="Underlined">
    <w:name w:val="Underlined"/>
    <w:basedOn w:val="DefaultParagraphFont"/>
    <w:rsid w:val="00212BEF"/>
    <w:rPr>
      <w:u w:val="single"/>
    </w:rPr>
  </w:style>
  <w:style w:type="paragraph" w:customStyle="1" w:styleId="TableBodyTextRight">
    <w:name w:val="Table Body Text Right"/>
    <w:basedOn w:val="TableBodyText"/>
    <w:rsid w:val="00212BEF"/>
    <w:pPr>
      <w:widowControl w:val="0"/>
      <w:autoSpaceDE w:val="0"/>
      <w:autoSpaceDN w:val="0"/>
      <w:adjustRightInd w:val="0"/>
      <w:jc w:val="right"/>
    </w:pPr>
    <w:rPr>
      <w:rFonts w:cs="Arial"/>
      <w:szCs w:val="18"/>
    </w:rPr>
  </w:style>
  <w:style w:type="paragraph" w:customStyle="1" w:styleId="CopyrightText">
    <w:name w:val="Copyright Text"/>
    <w:basedOn w:val="BodyText"/>
    <w:rsid w:val="00212BEF"/>
    <w:rPr>
      <w:sz w:val="18"/>
    </w:rPr>
  </w:style>
  <w:style w:type="paragraph" w:customStyle="1" w:styleId="BodySmallRight">
    <w:name w:val="Body Small Right"/>
    <w:basedOn w:val="BodyTextRight"/>
    <w:rsid w:val="00212BEF"/>
    <w:rPr>
      <w:sz w:val="18"/>
      <w:szCs w:val="18"/>
    </w:rPr>
  </w:style>
  <w:style w:type="paragraph" w:customStyle="1" w:styleId="MarginEdition">
    <w:name w:val="Margin Edition"/>
    <w:basedOn w:val="MarginNote"/>
    <w:rsid w:val="00212BEF"/>
    <w:pPr>
      <w:spacing w:before="0" w:after="0"/>
    </w:pPr>
    <w:rPr>
      <w:rFonts w:ascii="Times New Roman" w:hAnsi="Times New Roman"/>
      <w:color w:val="999999"/>
    </w:rPr>
  </w:style>
  <w:style w:type="paragraph" w:customStyle="1" w:styleId="Spacer">
    <w:name w:val="Spacer"/>
    <w:basedOn w:val="Normal"/>
    <w:rsid w:val="00212BEF"/>
    <w:rPr>
      <w:sz w:val="2"/>
      <w:szCs w:val="2"/>
    </w:rPr>
  </w:style>
  <w:style w:type="character" w:customStyle="1" w:styleId="Small">
    <w:name w:val="Small"/>
    <w:basedOn w:val="DefaultParagraphFont"/>
    <w:rsid w:val="00212BEF"/>
    <w:rPr>
      <w:sz w:val="16"/>
    </w:rPr>
  </w:style>
  <w:style w:type="paragraph" w:customStyle="1" w:styleId="WideTable">
    <w:name w:val="Wide Table"/>
    <w:basedOn w:val="Normal"/>
    <w:rsid w:val="00212BEF"/>
    <w:pPr>
      <w:ind w:left="-1418"/>
    </w:pPr>
    <w:rPr>
      <w:sz w:val="2"/>
      <w:szCs w:val="2"/>
    </w:rPr>
  </w:style>
  <w:style w:type="character" w:styleId="PageNumber">
    <w:name w:val="page number"/>
    <w:basedOn w:val="DefaultParagraphFont"/>
    <w:rsid w:val="00212BEF"/>
  </w:style>
  <w:style w:type="paragraph" w:styleId="Quote">
    <w:name w:val="Quote"/>
    <w:basedOn w:val="Heading1"/>
    <w:link w:val="QuoteChar"/>
    <w:qFormat/>
    <w:rsid w:val="00212BEF"/>
    <w:rPr>
      <w:b w:val="0"/>
      <w:sz w:val="72"/>
      <w:szCs w:val="72"/>
      <w:lang w:val="en-NZ"/>
    </w:rPr>
  </w:style>
  <w:style w:type="character" w:customStyle="1" w:styleId="QuoteChar">
    <w:name w:val="Quote Char"/>
    <w:basedOn w:val="DefaultParagraphFont"/>
    <w:link w:val="Quote"/>
    <w:rsid w:val="00212B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2BEF"/>
    <w:pPr>
      <w:pageBreakBefore/>
    </w:pPr>
  </w:style>
  <w:style w:type="paragraph" w:customStyle="1" w:styleId="Border">
    <w:name w:val="Border"/>
    <w:basedOn w:val="Normal"/>
    <w:qFormat/>
    <w:rsid w:val="00212B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2BEF"/>
    <w:rPr>
      <w:b/>
      <w:bCs/>
      <w:i/>
      <w:iCs/>
      <w:color w:val="auto"/>
    </w:rPr>
  </w:style>
  <w:style w:type="paragraph" w:styleId="IntenseQuote">
    <w:name w:val="Intense Quote"/>
    <w:basedOn w:val="Normal"/>
    <w:next w:val="Normal"/>
    <w:link w:val="IntenseQuoteChar"/>
    <w:uiPriority w:val="30"/>
    <w:qFormat/>
    <w:rsid w:val="00212B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2B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2BEF"/>
    <w:rPr>
      <w:smallCaps/>
      <w:color w:val="auto"/>
      <w:u w:val="single"/>
    </w:rPr>
  </w:style>
  <w:style w:type="character" w:styleId="IntenseReference">
    <w:name w:val="Intense Reference"/>
    <w:basedOn w:val="DefaultParagraphFont"/>
    <w:uiPriority w:val="32"/>
    <w:qFormat/>
    <w:rsid w:val="00212BEF"/>
    <w:rPr>
      <w:b/>
      <w:bCs/>
      <w:smallCaps/>
      <w:color w:val="auto"/>
      <w:spacing w:val="5"/>
      <w:u w:val="single"/>
    </w:rPr>
  </w:style>
  <w:style w:type="paragraph" w:customStyle="1" w:styleId="2ColumnHeading">
    <w:name w:val="2Column Heading"/>
    <w:basedOn w:val="BodyText"/>
    <w:qFormat/>
    <w:rsid w:val="00212BEF"/>
    <w:pPr>
      <w:spacing w:after="60"/>
      <w:ind w:left="-2268"/>
    </w:pPr>
    <w:rPr>
      <w:b/>
    </w:rPr>
  </w:style>
  <w:style w:type="paragraph" w:customStyle="1" w:styleId="Heading1TOC">
    <w:name w:val="Heading1 TOC"/>
    <w:basedOn w:val="Normal"/>
    <w:qFormat/>
    <w:rsid w:val="00212BEF"/>
    <w:pPr>
      <w:spacing w:before="240" w:after="120"/>
    </w:pPr>
    <w:rPr>
      <w:rFonts w:ascii="Times New Roman" w:hAnsi="Times New Roman"/>
      <w:b/>
      <w:sz w:val="32"/>
    </w:rPr>
  </w:style>
  <w:style w:type="paragraph" w:customStyle="1" w:styleId="Heading2TOC">
    <w:name w:val="Heading2 TOC"/>
    <w:basedOn w:val="Normal"/>
    <w:qFormat/>
    <w:rsid w:val="00212BEF"/>
    <w:pPr>
      <w:spacing w:before="240" w:after="60"/>
    </w:pPr>
    <w:rPr>
      <w:rFonts w:ascii="Times New Roman" w:hAnsi="Times New Roman"/>
      <w:b/>
      <w:sz w:val="28"/>
    </w:rPr>
  </w:style>
  <w:style w:type="character" w:customStyle="1" w:styleId="Underline">
    <w:name w:val="Underline"/>
    <w:basedOn w:val="DefaultParagraphFont"/>
    <w:qFormat/>
    <w:rsid w:val="00212BEF"/>
    <w:rPr>
      <w:u w:val="single"/>
    </w:rPr>
  </w:style>
  <w:style w:type="character" w:customStyle="1" w:styleId="BoldandItalics">
    <w:name w:val="Bold and Italics"/>
    <w:qFormat/>
    <w:rsid w:val="00212BEF"/>
    <w:rPr>
      <w:b/>
      <w:i/>
      <w:u w:val="none"/>
    </w:rPr>
  </w:style>
  <w:style w:type="paragraph" w:styleId="BalloonText">
    <w:name w:val="Balloon Text"/>
    <w:basedOn w:val="Normal"/>
    <w:link w:val="BalloonTextChar"/>
    <w:rsid w:val="00212BEF"/>
    <w:rPr>
      <w:rFonts w:ascii="Tahoma" w:hAnsi="Tahoma" w:cs="Tahoma"/>
      <w:sz w:val="16"/>
      <w:szCs w:val="16"/>
    </w:rPr>
  </w:style>
  <w:style w:type="character" w:customStyle="1" w:styleId="BalloonTextChar">
    <w:name w:val="Balloon Text Char"/>
    <w:basedOn w:val="DefaultParagraphFont"/>
    <w:link w:val="BalloonText"/>
    <w:rsid w:val="00212B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2B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2B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2BEF"/>
    <w:rPr>
      <w:b/>
      <w:color w:val="660033"/>
      <w:spacing w:val="0"/>
    </w:rPr>
  </w:style>
  <w:style w:type="paragraph" w:customStyle="1" w:styleId="Nameditemlist">
    <w:name w:val="Named item list"/>
    <w:basedOn w:val="BodyText"/>
    <w:qFormat/>
    <w:rsid w:val="00212B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1269</Words>
  <Characters>7968</Characters>
  <Application>Microsoft Office Word</Application>
  <DocSecurity>0</DocSecurity>
  <Lines>245</Lines>
  <Paragraphs>146</Paragraphs>
  <ScaleCrop>false</ScaleCrop>
  <Company>Author-it Software Corporation Ltd.</Company>
  <LinksUpToDate>false</LinksUpToDate>
  <CharactersWithSpaces>9188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TLIC0079A Operate a motive power unit within defined limits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2013-04-18T07:49:00Z</dcterms:created>
  <dcterms:modified xsi:type="dcterms:W3CDTF">2013-04-18T07:49:00Z</dcterms:modified>
</cp:coreProperties>
</file>