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C82" w:rsidP="00556C82">
      <w:pPr>
        <w:pStyle w:val="Title"/>
      </w:pPr>
      <w:r>
        <w:fldChar w:fldCharType="begin"/>
      </w:r>
      <w:r>
        <w:instrText xml:space="preserve"> TITLE   \* MERGEFORMAT </w:instrText>
      </w:r>
      <w:r>
        <w:fldChar w:fldCharType="separate"/>
      </w:r>
      <w:r>
        <w:t>TLIB4081A Provision a motive power unit</w:t>
      </w:r>
      <w:r>
        <w:fldChar w:fldCharType="end"/>
      </w:r>
    </w:p>
    <w:p w:rsidR="00556C82" w:rsidP="00556C82">
      <w:pPr>
        <w:pStyle w:val="Version"/>
        <w:sectPr w:rsidSect="00285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1E0" w:rsidP="002851E0">
      <w:pPr>
        <w:pStyle w:val="SuperHeading"/>
      </w:pPr>
      <w:r w:rsidRPr="002851E0">
        <w:t>TLIB4081A Provision a motive power unit</w:t>
      </w:r>
    </w:p>
    <w:p w:rsidR="00000000" w:rsidRPr="002851E0" w:rsidP="002851E0">
      <w:pPr>
        <w:pStyle w:val="Heading1"/>
      </w:pPr>
      <w:bookmarkStart w:id="1" w:name="O_627385"/>
      <w:bookmarkEnd w:id="1"/>
      <w:r w:rsidRPr="002851E0">
        <w:t>Modification History</w:t>
      </w:r>
    </w:p>
    <w:p w:rsidR="00000000" w:rsidRPr="002851E0" w:rsidP="002851E0">
      <w:pPr>
        <w:pStyle w:val="BodyText"/>
      </w:pPr>
      <w:r w:rsidRPr="002851E0">
        <w:t>Release 1. This is the first release of this unit.</w:t>
      </w:r>
    </w:p>
    <w:p w:rsidR="00000000" w:rsidRPr="002851E0" w:rsidP="002851E0">
      <w:pPr>
        <w:pStyle w:val="AllowPageBreak"/>
      </w:pPr>
    </w:p>
    <w:p w:rsidR="00000000" w:rsidRPr="002851E0" w:rsidP="002851E0">
      <w:pPr>
        <w:pStyle w:val="Heading1"/>
      </w:pPr>
      <w:bookmarkStart w:id="2" w:name="O_627386"/>
      <w:bookmarkEnd w:id="2"/>
      <w:r w:rsidRPr="002851E0">
        <w:t>Unit Descriptor</w:t>
      </w:r>
    </w:p>
    <w:p w:rsidR="00000000" w:rsidRPr="002851E0" w:rsidP="002851E0">
      <w:pPr>
        <w:pStyle w:val="BodyText"/>
      </w:pPr>
      <w:r w:rsidRPr="002851E0">
        <w:t>This unit involves the skills and knowledge required to provision a motive power unit prior to it entering service.</w:t>
      </w:r>
    </w:p>
    <w:p w:rsidR="00000000" w:rsidRPr="002851E0" w:rsidP="002851E0">
      <w:pPr>
        <w:pStyle w:val="BodyText"/>
      </w:pPr>
      <w:r w:rsidRPr="002851E0">
        <w:t>Licensing or certification requirem</w:t>
      </w:r>
      <w:r w:rsidRPr="002851E0">
        <w:t>ents are not applicable to this unit.</w:t>
      </w:r>
    </w:p>
    <w:p w:rsidR="00000000" w:rsidRPr="002851E0" w:rsidP="002851E0">
      <w:pPr>
        <w:pStyle w:val="AllowPageBreak"/>
      </w:pPr>
    </w:p>
    <w:p w:rsidR="00000000" w:rsidRPr="002851E0" w:rsidP="002851E0">
      <w:pPr>
        <w:pStyle w:val="Heading1"/>
      </w:pPr>
      <w:bookmarkStart w:id="3" w:name="O_627387"/>
      <w:bookmarkEnd w:id="3"/>
      <w:r w:rsidRPr="002851E0">
        <w:t>Application of the Unit</w:t>
      </w:r>
    </w:p>
    <w:p w:rsidR="00000000" w:rsidRPr="002851E0" w:rsidP="002851E0">
      <w:pPr>
        <w:pStyle w:val="BodyText"/>
      </w:pPr>
      <w:r w:rsidRPr="002851E0">
        <w:t>Activities for this unit include checking fuel, oil, water and sand levels, and replenishing them as required; restocking consumables; general housekeeping and completing docume</w:t>
      </w:r>
      <w:r w:rsidRPr="002851E0">
        <w:t>ntation as required.</w:t>
      </w:r>
    </w:p>
    <w:p w:rsidR="00000000" w:rsidRPr="002851E0" w:rsidP="002851E0">
      <w:pPr>
        <w:pStyle w:val="AllowPageBreak"/>
      </w:pPr>
    </w:p>
    <w:p w:rsidR="00000000" w:rsidRPr="002851E0" w:rsidP="002851E0">
      <w:pPr>
        <w:pStyle w:val="Heading1"/>
      </w:pPr>
      <w:bookmarkStart w:id="4" w:name="O_627388"/>
      <w:bookmarkEnd w:id="4"/>
      <w:r w:rsidRPr="002851E0">
        <w:t>Licensing/Regulatory Information</w:t>
      </w:r>
    </w:p>
    <w:p w:rsidR="00000000" w:rsidRPr="002851E0" w:rsidP="002851E0">
      <w:pPr>
        <w:pStyle w:val="BodyText"/>
      </w:pPr>
      <w:r w:rsidRPr="002851E0">
        <w:t>Refer to Unit Descriptor.</w:t>
      </w:r>
    </w:p>
    <w:p w:rsidR="00000000" w:rsidRPr="002851E0" w:rsidP="002851E0">
      <w:pPr>
        <w:pStyle w:val="AllowPageBreak"/>
      </w:pPr>
    </w:p>
    <w:p w:rsidR="00000000" w:rsidRPr="002851E0" w:rsidP="002851E0">
      <w:pPr>
        <w:pStyle w:val="Heading1"/>
      </w:pPr>
      <w:bookmarkStart w:id="5" w:name="O_627389"/>
      <w:bookmarkEnd w:id="5"/>
      <w:r w:rsidRPr="002851E0">
        <w:t>Pre-Requisites</w:t>
      </w:r>
    </w:p>
    <w:p w:rsidR="00000000" w:rsidRPr="002851E0" w:rsidP="002851E0">
      <w:pPr>
        <w:pStyle w:val="BodyText"/>
      </w:pPr>
      <w:r w:rsidRPr="002851E0">
        <w:t>Nil</w:t>
      </w:r>
    </w:p>
    <w:p w:rsidR="00000000" w:rsidRPr="002851E0" w:rsidP="002851E0">
      <w:pPr>
        <w:pStyle w:val="AllowPageBreak"/>
      </w:pPr>
    </w:p>
    <w:p w:rsidR="00000000" w:rsidRPr="002851E0" w:rsidP="002851E0">
      <w:pPr>
        <w:pStyle w:val="Heading1"/>
      </w:pPr>
      <w:bookmarkStart w:id="6" w:name="O_627390"/>
      <w:bookmarkEnd w:id="6"/>
      <w:r w:rsidRPr="002851E0">
        <w:t>Employability Skills Information</w:t>
      </w:r>
    </w:p>
    <w:p w:rsidR="00000000" w:rsidRPr="002851E0" w:rsidP="002851E0">
      <w:pPr>
        <w:pStyle w:val="BodyText"/>
      </w:pPr>
      <w:r w:rsidRPr="002851E0">
        <w:t>This unit contains employability skills.</w:t>
      </w:r>
    </w:p>
    <w:p w:rsidR="00000000" w:rsidRPr="002851E0" w:rsidP="002851E0">
      <w:pPr>
        <w:pStyle w:val="AllowPageBreak"/>
      </w:pPr>
    </w:p>
    <w:p w:rsidR="00000000" w:rsidRPr="002851E0" w:rsidP="002851E0">
      <w:pPr>
        <w:pStyle w:val="Heading1"/>
      </w:pPr>
      <w:bookmarkStart w:id="7" w:name="O_627391"/>
      <w:bookmarkEnd w:id="7"/>
      <w:r w:rsidRPr="002851E0">
        <w:t>Elements and Pe</w:t>
      </w:r>
      <w:r w:rsidRPr="002851E0">
        <w:t>rformance Criteria Pre-Content</w:t>
      </w:r>
    </w:p>
    <w:tbl>
      <w:tblPr>
        <w:tblW w:w="9640" w:type="dxa"/>
        <w:tblLayout w:type="fixed"/>
        <w:tblCellMar>
          <w:left w:w="62" w:type="dxa"/>
          <w:right w:w="62" w:type="dxa"/>
        </w:tblCellMar>
        <w:tblLook w:val="0000"/>
      </w:tblPr>
      <w:tblGrid>
        <w:gridCol w:w="2776"/>
        <w:gridCol w:w="6864"/>
      </w:tblGrid>
      <w:tr w:rsidTr="00556C8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t>Performance criteria describe the required performance needed to demonstrate achievement of the element. Assessment of performance is to be consistent with the</w:t>
            </w:r>
            <w:r w:rsidRPr="002851E0">
              <w:t xml:space="preserve"> evidence guide.</w:t>
            </w:r>
          </w:p>
        </w:tc>
      </w:tr>
    </w:tbl>
    <w:p w:rsidR="00000000" w:rsidRPr="002851E0" w:rsidP="002851E0">
      <w:pPr>
        <w:pStyle w:val="BodyText"/>
      </w:pPr>
    </w:p>
    <w:p w:rsidR="00000000" w:rsidRPr="002851E0" w:rsidP="002851E0">
      <w:pPr>
        <w:pStyle w:val="AllowPageBreak"/>
      </w:pPr>
    </w:p>
    <w:p w:rsidR="00000000" w:rsidRPr="002851E0" w:rsidP="002851E0">
      <w:pPr>
        <w:pStyle w:val="Heading1"/>
      </w:pPr>
      <w:bookmarkStart w:id="8" w:name="O_627392"/>
      <w:bookmarkEnd w:id="8"/>
      <w:r w:rsidRPr="002851E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56C8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Check and replenish fuel, oil, water and sand levels</w:t>
            </w: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1.1</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Motive power unit is positioned and secured at required service point in accordance with organisational requirements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1.2</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Fuel, oil, water and sand levels are checked following manufacturer and/or organisational procedures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1.3</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Where indicated, fuel, oil, water and sand levels are replenished following manufacturer and/or organisational procedures</w:t>
            </w:r>
          </w:p>
        </w:tc>
      </w:tr>
      <w:tr w:rsidTr="00556C82">
        <w:tblPrEx>
          <w:tblW w:w="9640" w:type="dxa"/>
          <w:tblLayout w:type="fixed"/>
          <w:tblCellMar>
            <w:left w:w="62" w:type="dxa"/>
            <w:right w:w="62" w:type="dxa"/>
          </w:tblCellMar>
          <w:tblLook w:val="0000"/>
        </w:tblPrEx>
        <w:trPr>
          <w:trHeight w:val="722"/>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1.4</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Equipment is used in accordance with manufacturer and/or organisational policies and procedures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1.5</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Faults and/or deficiencies are identified and reported to relevant personnel</w:t>
            </w:r>
          </w:p>
        </w:tc>
      </w:tr>
      <w:tr w:rsidTr="00556C8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Check and restock consumables</w:t>
            </w: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2.1</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Consumables are checked for availability and serviceability</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2.2</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Replacement consumables are acquired in accordance with organisational policies and procedures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2.3</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Faults and/or deficiencies are identified and reported to relevant personnel</w:t>
            </w:r>
          </w:p>
        </w:tc>
      </w:tr>
      <w:tr w:rsidTr="00556C8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Carry out general housekeeping</w:t>
            </w: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3.1</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Rubbish is removed and disposed of in accordance with organisational policies and procedures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3.2</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Relevant areas of the motive power unit are cleaned in accordance with organisational policies and procedures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3.3</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Cleaning materials are utilised in accordance with safety data sheets (SDS)/material safety data sheets (MSDS) and/or manufacturer instructions and organisational policies and procedures</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3.4</w:t>
            </w:r>
          </w:p>
        </w:tc>
        <w:tc>
          <w:tcPr>
            <w:tcW w:w="686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Faults and/or deficiencies are identified are reported to rele</w:t>
            </w:r>
            <w:r w:rsidRPr="002851E0">
              <w:t>vant personnel</w:t>
            </w:r>
          </w:p>
        </w:tc>
      </w:tr>
      <w:tr w:rsidTr="00556C8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3.5</w:t>
            </w:r>
          </w:p>
        </w:tc>
        <w:tc>
          <w:tcPr>
            <w:tcW w:w="6864" w:type="dxa"/>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t>Documentation is completed in accordance with organisational policies and procedures</w:t>
            </w:r>
          </w:p>
        </w:tc>
      </w:tr>
    </w:tbl>
    <w:p w:rsidR="00000000" w:rsidRPr="002851E0" w:rsidP="002851E0">
      <w:pPr>
        <w:pStyle w:val="BodyText"/>
      </w:pPr>
    </w:p>
    <w:p w:rsidR="00000000" w:rsidRPr="002851E0" w:rsidP="002851E0">
      <w:pPr>
        <w:pStyle w:val="AllowPageBreak"/>
      </w:pPr>
    </w:p>
    <w:p w:rsidR="00000000" w:rsidRPr="002851E0" w:rsidP="002851E0">
      <w:pPr>
        <w:pStyle w:val="Heading1"/>
      </w:pPr>
      <w:bookmarkStart w:id="9" w:name="O_627393"/>
      <w:bookmarkEnd w:id="9"/>
      <w:r w:rsidRPr="002851E0">
        <w:t>Required Skills and Knowledge</w:t>
      </w:r>
    </w:p>
    <w:tbl>
      <w:tblPr>
        <w:tblW w:w="9640" w:type="dxa"/>
        <w:tblLayout w:type="fixed"/>
        <w:tblCellMar>
          <w:left w:w="62" w:type="dxa"/>
          <w:right w:w="62" w:type="dxa"/>
        </w:tblCellMar>
        <w:tblLook w:val="0000"/>
      </w:tblPr>
      <w:tblGrid>
        <w:gridCol w:w="9640"/>
      </w:tblGrid>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This section describes the knowledge and skills required for this unit.</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Required knowledge:</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ListBullet"/>
              <w:rPr>
                <w:lang w:val="en-NZ"/>
              </w:rPr>
            </w:pPr>
            <w:r w:rsidRPr="002851E0">
              <w:t>Potential faults and/or deficiencies</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ListBullet"/>
              <w:rPr>
                <w:lang w:val="en-NZ"/>
              </w:rPr>
            </w:pPr>
            <w:r w:rsidRPr="002851E0">
              <w:t>Relevant motive power unit terminology and layout</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51E0" w:rsidP="002851E0">
            <w:pPr>
              <w:pStyle w:val="ListBullet"/>
            </w:pPr>
            <w:r w:rsidRPr="002851E0">
              <w:t>Relevant safety, work health and safety (WHS)/occupational health and safety (OHS), and environmental procedures and regulations</w:t>
            </w:r>
          </w:p>
        </w:tc>
      </w:tr>
    </w:tbl>
    <w:p w:rsidR="00000000" w:rsidRPr="002851E0" w:rsidP="002851E0">
      <w:pPr>
        <w:pStyle w:val="BodyText"/>
      </w:pPr>
    </w:p>
    <w:tbl>
      <w:tblPr>
        <w:tblW w:w="9640" w:type="dxa"/>
        <w:tblLayout w:type="fixed"/>
        <w:tblCellMar>
          <w:left w:w="62" w:type="dxa"/>
          <w:right w:w="62" w:type="dxa"/>
        </w:tblCellMar>
        <w:tblLook w:val="0000"/>
      </w:tblPr>
      <w:tblGrid>
        <w:gridCol w:w="9640"/>
      </w:tblGrid>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Required skills:</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ListBullet"/>
              <w:rPr>
                <w:lang w:val="en-NZ"/>
              </w:rPr>
            </w:pPr>
            <w:r w:rsidRPr="002851E0">
              <w:t>Communicate eff</w:t>
            </w:r>
            <w:r w:rsidRPr="002851E0">
              <w:t xml:space="preserve">ectively with others </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1E0">
            <w:pPr>
              <w:pStyle w:val="ListBullet"/>
              <w:rPr>
                <w:lang w:val="en-NZ"/>
              </w:rPr>
            </w:pPr>
            <w:r w:rsidRPr="002851E0">
              <w:t>Interpret and follow operational instructions</w:t>
            </w:r>
          </w:p>
        </w:tc>
      </w:tr>
      <w:tr w:rsidTr="002851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51E0" w:rsidP="002851E0">
            <w:pPr>
              <w:pStyle w:val="ListBullet"/>
            </w:pPr>
            <w:r w:rsidRPr="002851E0">
              <w:t xml:space="preserve">Read and interpret instructions, procedures, information, signs, symbols and diagrams relating to provisioning a motive power unit </w:t>
            </w:r>
          </w:p>
        </w:tc>
      </w:tr>
    </w:tbl>
    <w:p w:rsidR="00000000" w:rsidRPr="002851E0" w:rsidP="002851E0">
      <w:pPr>
        <w:pStyle w:val="BodyText"/>
      </w:pPr>
    </w:p>
    <w:p w:rsidR="00000000" w:rsidRPr="002851E0" w:rsidP="002851E0">
      <w:pPr>
        <w:pStyle w:val="AllowPageBreak"/>
      </w:pPr>
    </w:p>
    <w:p w:rsidR="00000000" w:rsidRPr="002851E0" w:rsidP="002851E0">
      <w:pPr>
        <w:pStyle w:val="Heading1"/>
      </w:pPr>
      <w:bookmarkStart w:id="10" w:name="O_627394"/>
      <w:bookmarkEnd w:id="10"/>
      <w:r w:rsidRPr="002851E0">
        <w:t>Evidence Guide</w:t>
      </w:r>
    </w:p>
    <w:tbl>
      <w:tblPr>
        <w:tblW w:w="9640" w:type="dxa"/>
        <w:tblLayout w:type="fixed"/>
        <w:tblCellMar>
          <w:left w:w="62" w:type="dxa"/>
          <w:right w:w="62" w:type="dxa"/>
        </w:tblCellMar>
        <w:tblLook w:val="0000"/>
      </w:tblPr>
      <w:tblGrid>
        <w:gridCol w:w="3338"/>
        <w:gridCol w:w="6302"/>
      </w:tblGrid>
      <w:tr w:rsidTr="002851E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The evidence guide provides advice on assessment and must be read in conjunction with the performance criteria, required knowledge and skills, the range statement and the assessment guidelines for this Training Package.</w:t>
            </w:r>
          </w:p>
        </w:tc>
      </w:tr>
      <w:tr w:rsidTr="002851E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Critical aspects for assessment an</w:t>
            </w:r>
            <w:r w:rsidRPr="002851E0">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t xml:space="preserve">The evidence required to demonstrate competency in this unit must be relevant to and satisfy all of the requirements of the elements and performance </w:t>
            </w:r>
            <w:r w:rsidRPr="002851E0">
              <w:t>criteria of this unit and include demonstration of applying:</w:t>
            </w:r>
          </w:p>
          <w:p w:rsidR="00000000" w:rsidRPr="002851E0" w:rsidP="002851E0">
            <w:pPr>
              <w:pStyle w:val="ListBullet"/>
            </w:pPr>
            <w:r w:rsidRPr="002851E0">
              <w:t>required knowledge and skills</w:t>
            </w:r>
          </w:p>
          <w:p w:rsidR="00000000" w:rsidRPr="002851E0" w:rsidP="002851E0">
            <w:pPr>
              <w:pStyle w:val="ListBullet"/>
            </w:pPr>
            <w:r w:rsidRPr="002851E0">
              <w:t>relevant legislation and organisational procedures</w:t>
            </w:r>
          </w:p>
          <w:p w:rsidR="00000000" w:rsidP="002851E0">
            <w:pPr>
              <w:pStyle w:val="ListBullet"/>
              <w:rPr>
                <w:lang w:val="en-NZ"/>
              </w:rPr>
            </w:pPr>
            <w:r w:rsidRPr="002851E0">
              <w:t>other relevant aspects of the range statement.</w:t>
            </w:r>
          </w:p>
        </w:tc>
      </w:tr>
      <w:tr w:rsidTr="002851E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t>Performance is d</w:t>
            </w:r>
            <w:r w:rsidRPr="002851E0">
              <w:t>emonstrated consistently over time and in a suitable range of contexts.</w:t>
            </w:r>
          </w:p>
          <w:p w:rsidR="00000000" w:rsidRPr="002851E0" w:rsidP="002851E0">
            <w:pPr>
              <w:pStyle w:val="BodyText"/>
            </w:pPr>
            <w:r w:rsidRPr="002851E0">
              <w:t>Resources for assessment include:</w:t>
            </w:r>
          </w:p>
          <w:p w:rsidR="00000000" w:rsidRPr="002851E0" w:rsidP="002851E0">
            <w:pPr>
              <w:pStyle w:val="ListBullet"/>
            </w:pPr>
            <w:r w:rsidRPr="002851E0">
              <w:t>a range of relevant exercises, case studies and other simulated practical and knowledge assessment, and/or</w:t>
            </w:r>
          </w:p>
          <w:p w:rsidR="00000000" w:rsidRPr="002851E0" w:rsidP="002851E0">
            <w:pPr>
              <w:pStyle w:val="ListBullet"/>
            </w:pPr>
            <w:r w:rsidRPr="002851E0">
              <w:t>access to an appropriate range of relevant</w:t>
            </w:r>
            <w:r w:rsidRPr="002851E0">
              <w:t xml:space="preserve"> operational situations in the workplace.</w:t>
            </w:r>
          </w:p>
          <w:p w:rsidR="00000000" w:rsidRPr="002851E0" w:rsidP="002851E0">
            <w:pPr>
              <w:pStyle w:val="BodyText"/>
            </w:pPr>
            <w:r w:rsidRPr="002851E0">
              <w:t>In both real and simulated environments, access is required to:</w:t>
            </w:r>
          </w:p>
          <w:p w:rsidR="00000000" w:rsidRPr="002851E0" w:rsidP="002851E0">
            <w:pPr>
              <w:pStyle w:val="ListBullet"/>
            </w:pPr>
            <w:r w:rsidRPr="002851E0">
              <w:t>relevant and appropriate materials and/or equipment, and/or</w:t>
            </w:r>
          </w:p>
          <w:p w:rsidR="00000000" w:rsidP="002851E0">
            <w:pPr>
              <w:pStyle w:val="ListBullet"/>
              <w:rPr>
                <w:lang w:val="en-NZ"/>
              </w:rPr>
            </w:pPr>
            <w:r w:rsidRPr="002851E0">
              <w:t>applicable documentation including organisational procedures, regulations, codes of pract</w:t>
            </w:r>
            <w:r w:rsidRPr="002851E0">
              <w:t>ice and operation manuals.</w:t>
            </w:r>
          </w:p>
        </w:tc>
      </w:tr>
      <w:tr w:rsidTr="002851E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2851E0" w:rsidP="002851E0">
            <w:pPr>
              <w:pStyle w:val="BodyText"/>
            </w:pPr>
            <w:r w:rsidRPr="002851E0">
              <w:t>As a minimum, assessment of knowledge must be conducted through appropriate written/oral tests</w:t>
            </w:r>
          </w:p>
          <w:p w:rsidR="00000000" w:rsidRPr="002851E0" w:rsidP="002851E0">
            <w:pPr>
              <w:pStyle w:val="BodyText"/>
            </w:pPr>
            <w:r w:rsidRPr="002851E0">
              <w:t>Practical assessment must occur:</w:t>
            </w:r>
          </w:p>
          <w:p w:rsidR="00000000" w:rsidRPr="002851E0" w:rsidP="002851E0">
            <w:pPr>
              <w:pStyle w:val="ListBullet"/>
            </w:pPr>
            <w:r w:rsidRPr="002851E0">
              <w:t>through activities in an appropriately simulated environment, and/or</w:t>
            </w:r>
          </w:p>
          <w:p w:rsidR="00000000" w:rsidRPr="002851E0" w:rsidP="002851E0">
            <w:pPr>
              <w:pStyle w:val="ListBullet"/>
            </w:pPr>
            <w:r w:rsidRPr="002851E0">
              <w:t>in an appropriate range of situations in the workplace.</w:t>
            </w:r>
          </w:p>
        </w:tc>
      </w:tr>
    </w:tbl>
    <w:p w:rsidR="00000000" w:rsidRPr="002851E0" w:rsidP="002851E0">
      <w:pPr>
        <w:pStyle w:val="BodyText"/>
      </w:pPr>
    </w:p>
    <w:p w:rsidR="00000000" w:rsidRPr="002851E0" w:rsidP="002851E0">
      <w:pPr>
        <w:pStyle w:val="AllowPageBreak"/>
      </w:pPr>
    </w:p>
    <w:p w:rsidR="00000000" w:rsidRPr="002851E0" w:rsidP="002851E0">
      <w:pPr>
        <w:pStyle w:val="Heading1"/>
      </w:pPr>
      <w:bookmarkStart w:id="11" w:name="O_627395"/>
      <w:bookmarkEnd w:id="11"/>
      <w:r w:rsidRPr="002851E0">
        <w:t>Range Statement</w:t>
      </w:r>
    </w:p>
    <w:tbl>
      <w:tblPr>
        <w:tblW w:w="0" w:type="auto"/>
        <w:tblCellMar>
          <w:left w:w="62" w:type="dxa"/>
          <w:right w:w="62" w:type="dxa"/>
        </w:tblCellMar>
        <w:tblLook w:val="0000"/>
      </w:tblPr>
      <w:tblGrid>
        <w:gridCol w:w="2586"/>
        <w:gridCol w:w="6610"/>
      </w:tblGrid>
      <w:tr w:rsidTr="00556C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The range statement relates to the unit of competency as a whole. It allows for different work environments and situations that may affect performance.</w:t>
            </w:r>
          </w:p>
        </w:tc>
      </w:tr>
      <w:tr w:rsidTr="00556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Consumables may include:</w:t>
            </w:r>
          </w:p>
        </w:tc>
        <w:tc>
          <w:tcPr>
            <w:tcW w:w="0" w:type="auto"/>
            <w:tcBorders>
              <w:top w:val="nil"/>
              <w:left w:val="nil"/>
              <w:bottom w:val="nil"/>
              <w:right w:val="nil"/>
            </w:tcBorders>
            <w:tcMar>
              <w:top w:w="0" w:type="dxa"/>
              <w:left w:w="62" w:type="dxa"/>
              <w:bottom w:w="0" w:type="dxa"/>
              <w:right w:w="62" w:type="dxa"/>
            </w:tcMar>
          </w:tcPr>
          <w:p w:rsidR="00000000" w:rsidRPr="002851E0" w:rsidP="002851E0">
            <w:pPr>
              <w:pStyle w:val="ListBullet"/>
            </w:pPr>
            <w:r w:rsidRPr="002851E0">
              <w:t>cleaning agents</w:t>
            </w:r>
          </w:p>
          <w:p w:rsidR="00000000" w:rsidRPr="002851E0" w:rsidP="002851E0">
            <w:pPr>
              <w:pStyle w:val="ListBullet"/>
            </w:pPr>
            <w:r w:rsidRPr="002851E0">
              <w:t xml:space="preserve">emergency equipment </w:t>
            </w:r>
          </w:p>
          <w:p w:rsidR="00000000" w:rsidRPr="002851E0" w:rsidP="002851E0">
            <w:pPr>
              <w:pStyle w:val="ListBullet"/>
            </w:pPr>
            <w:r w:rsidRPr="002851E0">
              <w:t xml:space="preserve">fire extinguisher </w:t>
            </w:r>
          </w:p>
          <w:p w:rsidR="00000000" w:rsidRPr="002851E0" w:rsidP="002851E0">
            <w:pPr>
              <w:pStyle w:val="ListBullet"/>
            </w:pPr>
            <w:r w:rsidRPr="002851E0">
              <w:t>first aid kit</w:t>
            </w:r>
          </w:p>
          <w:p w:rsidR="00000000" w:rsidRPr="002851E0" w:rsidP="002851E0">
            <w:pPr>
              <w:pStyle w:val="ListBullet"/>
            </w:pPr>
            <w:r w:rsidRPr="002851E0">
              <w:t>fuses</w:t>
            </w:r>
          </w:p>
          <w:p w:rsidR="00000000" w:rsidRPr="002851E0" w:rsidP="002851E0">
            <w:pPr>
              <w:pStyle w:val="ListBullet"/>
            </w:pPr>
            <w:r w:rsidRPr="002851E0">
              <w:t>hand towel</w:t>
            </w:r>
          </w:p>
          <w:p w:rsidR="00000000" w:rsidRPr="002851E0" w:rsidP="002851E0">
            <w:pPr>
              <w:pStyle w:val="ListBullet"/>
            </w:pPr>
            <w:r w:rsidRPr="002851E0">
              <w:t>light globes</w:t>
            </w:r>
          </w:p>
          <w:p w:rsidR="00000000" w:rsidRPr="002851E0" w:rsidP="002851E0">
            <w:pPr>
              <w:pStyle w:val="ListBullet"/>
            </w:pPr>
            <w:r w:rsidRPr="002851E0">
              <w:t>logbook</w:t>
            </w:r>
          </w:p>
          <w:p w:rsidR="00000000" w:rsidRPr="002851E0" w:rsidP="002851E0">
            <w:pPr>
              <w:pStyle w:val="ListBullet"/>
            </w:pPr>
            <w:r w:rsidRPr="002851E0">
              <w:t>potable water</w:t>
            </w:r>
          </w:p>
          <w:p w:rsidR="00000000" w:rsidRPr="002851E0" w:rsidP="002851E0">
            <w:pPr>
              <w:pStyle w:val="ListBullet"/>
            </w:pPr>
            <w:r w:rsidRPr="002851E0">
              <w:t>safeworking forms</w:t>
            </w:r>
          </w:p>
          <w:p w:rsidR="00000000" w:rsidRPr="002851E0" w:rsidP="002851E0">
            <w:pPr>
              <w:pStyle w:val="ListBullet"/>
            </w:pPr>
            <w:r w:rsidRPr="002851E0">
              <w:t>spare batteries</w:t>
            </w:r>
          </w:p>
          <w:p w:rsidR="00000000" w:rsidRPr="002851E0" w:rsidP="002851E0">
            <w:pPr>
              <w:pStyle w:val="ListBullet"/>
            </w:pPr>
            <w:r w:rsidRPr="002851E0">
              <w:t>toilet chemicals</w:t>
            </w:r>
          </w:p>
          <w:p w:rsidR="00000000" w:rsidRPr="002851E0" w:rsidP="002851E0">
            <w:pPr>
              <w:pStyle w:val="ListBullet"/>
            </w:pPr>
            <w:r w:rsidRPr="002851E0">
              <w:t>toilet paper</w:t>
            </w:r>
          </w:p>
          <w:p w:rsidR="00000000" w:rsidRPr="002851E0" w:rsidP="002851E0">
            <w:pPr>
              <w:pStyle w:val="ListBullet"/>
            </w:pPr>
            <w:r w:rsidRPr="002851E0">
              <w:t>tool box</w:t>
            </w:r>
          </w:p>
          <w:p w:rsidR="00000000" w:rsidP="002851E0">
            <w:pPr>
              <w:pStyle w:val="ListBullet"/>
              <w:rPr>
                <w:lang w:val="en-NZ"/>
              </w:rPr>
            </w:pPr>
            <w:r w:rsidRPr="002851E0">
              <w:t>torches</w:t>
            </w:r>
          </w:p>
        </w:tc>
      </w:tr>
      <w:tr w:rsidTr="00556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Relevant areas of a motive power unit may include:</w:t>
            </w:r>
          </w:p>
        </w:tc>
        <w:tc>
          <w:tcPr>
            <w:tcW w:w="0" w:type="auto"/>
            <w:tcBorders>
              <w:top w:val="nil"/>
              <w:left w:val="nil"/>
              <w:bottom w:val="nil"/>
              <w:right w:val="nil"/>
            </w:tcBorders>
            <w:tcMar>
              <w:top w:w="0" w:type="dxa"/>
              <w:left w:w="62" w:type="dxa"/>
              <w:bottom w:w="0" w:type="dxa"/>
              <w:right w:w="62" w:type="dxa"/>
            </w:tcMar>
          </w:tcPr>
          <w:p w:rsidR="00000000" w:rsidRPr="002851E0" w:rsidP="002851E0">
            <w:pPr>
              <w:pStyle w:val="ListBullet"/>
            </w:pPr>
            <w:r w:rsidRPr="002851E0">
              <w:t>cooking equipment</w:t>
            </w:r>
          </w:p>
          <w:p w:rsidR="00000000" w:rsidRPr="002851E0" w:rsidP="002851E0">
            <w:pPr>
              <w:pStyle w:val="ListBullet"/>
            </w:pPr>
            <w:r w:rsidRPr="002851E0">
              <w:t>fridge</w:t>
            </w:r>
          </w:p>
          <w:p w:rsidR="00000000" w:rsidRPr="002851E0" w:rsidP="002851E0">
            <w:pPr>
              <w:pStyle w:val="ListBullet"/>
            </w:pPr>
            <w:r w:rsidRPr="002851E0">
              <w:t>mirrors</w:t>
            </w:r>
          </w:p>
          <w:p w:rsidR="00000000" w:rsidRPr="002851E0" w:rsidP="002851E0">
            <w:pPr>
              <w:pStyle w:val="ListBullet"/>
            </w:pPr>
            <w:r w:rsidRPr="002851E0">
              <w:t>operator cab</w:t>
            </w:r>
          </w:p>
          <w:p w:rsidR="00000000" w:rsidRPr="002851E0" w:rsidP="002851E0">
            <w:pPr>
              <w:pStyle w:val="ListBullet"/>
            </w:pPr>
            <w:r w:rsidRPr="002851E0">
              <w:t>running boards</w:t>
            </w:r>
          </w:p>
          <w:p w:rsidR="00000000" w:rsidRPr="002851E0" w:rsidP="002851E0">
            <w:pPr>
              <w:pStyle w:val="ListBullet"/>
            </w:pPr>
            <w:r w:rsidRPr="002851E0">
              <w:t>side windows</w:t>
            </w:r>
          </w:p>
          <w:p w:rsidR="00000000" w:rsidRPr="002851E0" w:rsidP="002851E0">
            <w:pPr>
              <w:pStyle w:val="ListBullet"/>
            </w:pPr>
            <w:r w:rsidRPr="002851E0">
              <w:t>toilet</w:t>
            </w:r>
          </w:p>
          <w:p w:rsidR="00000000" w:rsidRPr="002851E0" w:rsidP="002851E0">
            <w:pPr>
              <w:pStyle w:val="ListBullet"/>
            </w:pPr>
            <w:r w:rsidRPr="002851E0">
              <w:t>vestibule</w:t>
            </w:r>
          </w:p>
          <w:p w:rsidR="00000000" w:rsidRPr="002851E0" w:rsidP="002851E0">
            <w:pPr>
              <w:pStyle w:val="ListBullet"/>
            </w:pPr>
            <w:r w:rsidRPr="002851E0">
              <w:t>windscreens</w:t>
            </w:r>
          </w:p>
          <w:p w:rsidR="00000000" w:rsidP="002851E0">
            <w:pPr>
              <w:pStyle w:val="ListBullet"/>
              <w:rPr>
                <w:lang w:val="en-NZ"/>
              </w:rPr>
            </w:pPr>
            <w:r w:rsidRPr="002851E0">
              <w:t>wiper blades</w:t>
            </w:r>
          </w:p>
        </w:tc>
      </w:tr>
      <w:tr w:rsidTr="00556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1E0">
            <w:pPr>
              <w:pStyle w:val="BodyText"/>
              <w:rPr>
                <w:lang w:val="en-NZ"/>
              </w:rPr>
            </w:pPr>
            <w:r w:rsidRPr="002851E0">
              <w:t>Documentation may include:</w:t>
            </w:r>
          </w:p>
        </w:tc>
        <w:tc>
          <w:tcPr>
            <w:tcW w:w="0" w:type="auto"/>
            <w:tcBorders>
              <w:top w:val="nil"/>
              <w:left w:val="nil"/>
              <w:bottom w:val="nil"/>
              <w:right w:val="nil"/>
            </w:tcBorders>
            <w:tcMar>
              <w:top w:w="0" w:type="dxa"/>
              <w:left w:w="62" w:type="dxa"/>
              <w:bottom w:w="0" w:type="dxa"/>
              <w:right w:w="62" w:type="dxa"/>
            </w:tcMar>
          </w:tcPr>
          <w:p w:rsidR="00000000" w:rsidRPr="002851E0" w:rsidP="002851E0">
            <w:pPr>
              <w:pStyle w:val="ListBullet"/>
            </w:pPr>
            <w:r w:rsidRPr="002851E0">
              <w:t>logbook</w:t>
            </w:r>
          </w:p>
          <w:p w:rsidR="00000000" w:rsidRPr="002851E0" w:rsidP="002851E0">
            <w:pPr>
              <w:pStyle w:val="ListBullet"/>
            </w:pPr>
            <w:r w:rsidRPr="002851E0">
              <w:t>service records</w:t>
            </w:r>
          </w:p>
        </w:tc>
      </w:tr>
    </w:tbl>
    <w:p w:rsidR="00000000" w:rsidRPr="002851E0" w:rsidP="002851E0">
      <w:pPr>
        <w:pStyle w:val="BodyText"/>
      </w:pPr>
    </w:p>
    <w:p w:rsidR="00000000" w:rsidRPr="002851E0" w:rsidP="002851E0">
      <w:pPr>
        <w:pStyle w:val="AllowPageBreak"/>
      </w:pPr>
    </w:p>
    <w:p w:rsidR="00000000" w:rsidRPr="002851E0" w:rsidP="002851E0">
      <w:pPr>
        <w:pStyle w:val="Heading1"/>
      </w:pPr>
      <w:bookmarkStart w:id="12" w:name="O_627396"/>
      <w:bookmarkEnd w:id="12"/>
      <w:r w:rsidRPr="002851E0">
        <w:t>Unit Sector(s)</w:t>
      </w:r>
    </w:p>
    <w:p w:rsidR="00000000" w:rsidRPr="002851E0" w:rsidP="002851E0">
      <w:pPr>
        <w:pStyle w:val="BodyText"/>
      </w:pPr>
      <w:r w:rsidRPr="002851E0">
        <w:t>Not applicable.</w:t>
      </w:r>
    </w:p>
    <w:p w:rsidR="00000000" w:rsidRPr="002851E0" w:rsidP="002851E0">
      <w:pPr>
        <w:pStyle w:val="AllowPageBreak"/>
      </w:pPr>
    </w:p>
    <w:p w:rsidR="00000000" w:rsidRPr="002851E0" w:rsidP="002851E0">
      <w:pPr>
        <w:pStyle w:val="Heading1"/>
      </w:pPr>
      <w:bookmarkStart w:id="13" w:name="O_627397"/>
      <w:bookmarkEnd w:id="13"/>
      <w:r w:rsidRPr="002851E0">
        <w:t>Competency Field</w:t>
      </w:r>
    </w:p>
    <w:p w:rsidR="00000000" w:rsidRPr="002851E0" w:rsidP="002851E0">
      <w:pPr>
        <w:pStyle w:val="BodyText"/>
      </w:pPr>
      <w:r w:rsidRPr="002851E0">
        <w:t>B – Equipment Checking and Maintenance</w:t>
      </w:r>
    </w:p>
    <w:p w:rsidR="00000000" w:rsidRPr="002851E0" w:rsidP="002851E0"/>
    <w:sectPr w:rsidSect="00285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E0" w:rsidRPr="00556C82" w:rsidP="00556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C82" w:rsidP="00285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6C82" w:rsidP="002851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6C82" w:rsidP="00285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E0" w:rsidRPr="00556C82" w:rsidP="00556C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C82" w:rsidRPr="002D2AF8" w:rsidP="002851E0">
    <w:pPr>
      <w:pStyle w:val="Header"/>
      <w:framePr w:wrap="around"/>
    </w:pPr>
    <w:r>
      <w:fldChar w:fldCharType="begin"/>
    </w:r>
    <w:r>
      <w:instrText xml:space="preserve"> TITLE   \* MERGEFORMAT </w:instrText>
    </w:r>
    <w:r>
      <w:fldChar w:fldCharType="separate"/>
    </w:r>
    <w:r>
      <w:t>TLIB4081A Provision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556C82" w:rsidP="00285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C0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441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1E0"/>
    <w:pPr>
      <w:spacing w:before="360" w:after="60"/>
      <w:outlineLvl w:val="0"/>
    </w:pPr>
    <w:rPr>
      <w:sz w:val="32"/>
    </w:rPr>
  </w:style>
  <w:style w:type="paragraph" w:styleId="Heading2">
    <w:name w:val="heading 2"/>
    <w:basedOn w:val="HeadingBase"/>
    <w:next w:val="BodyText"/>
    <w:link w:val="Heading2Char"/>
    <w:qFormat/>
    <w:rsid w:val="002851E0"/>
    <w:pPr>
      <w:keepLines/>
      <w:spacing w:before="240" w:after="120"/>
      <w:outlineLvl w:val="1"/>
    </w:pPr>
    <w:rPr>
      <w:sz w:val="28"/>
      <w:szCs w:val="40"/>
    </w:rPr>
  </w:style>
  <w:style w:type="paragraph" w:styleId="Heading3">
    <w:name w:val="heading 3"/>
    <w:basedOn w:val="HeadingBase"/>
    <w:next w:val="BodyText"/>
    <w:link w:val="Heading3Char"/>
    <w:qFormat/>
    <w:rsid w:val="002851E0"/>
    <w:pPr>
      <w:spacing w:before="180" w:after="120"/>
      <w:outlineLvl w:val="2"/>
    </w:pPr>
    <w:rPr>
      <w:spacing w:val="-10"/>
      <w:kern w:val="32"/>
    </w:rPr>
  </w:style>
  <w:style w:type="paragraph" w:styleId="Heading4">
    <w:name w:val="heading 4"/>
    <w:basedOn w:val="HeadingBase"/>
    <w:next w:val="BodyText"/>
    <w:link w:val="Heading4Char"/>
    <w:qFormat/>
    <w:rsid w:val="002851E0"/>
    <w:pPr>
      <w:spacing w:before="160" w:after="120"/>
      <w:outlineLvl w:val="3"/>
    </w:pPr>
    <w:rPr>
      <w:sz w:val="22"/>
    </w:rPr>
  </w:style>
  <w:style w:type="paragraph" w:styleId="Heading5">
    <w:name w:val="heading 5"/>
    <w:basedOn w:val="HeadingBase"/>
    <w:next w:val="Normal"/>
    <w:link w:val="Heading5Char"/>
    <w:qFormat/>
    <w:rsid w:val="002851E0"/>
    <w:pPr>
      <w:spacing w:before="80"/>
      <w:outlineLvl w:val="4"/>
    </w:pPr>
    <w:rPr>
      <w:color w:val="918585"/>
      <w:sz w:val="20"/>
    </w:rPr>
  </w:style>
  <w:style w:type="paragraph" w:styleId="Heading6">
    <w:name w:val="heading 6"/>
    <w:basedOn w:val="HeadingBase"/>
    <w:next w:val="Normal"/>
    <w:link w:val="Heading6Char"/>
    <w:qFormat/>
    <w:rsid w:val="002851E0"/>
    <w:pPr>
      <w:spacing w:before="60"/>
      <w:outlineLvl w:val="5"/>
    </w:pPr>
    <w:rPr>
      <w:color w:val="918585"/>
      <w:sz w:val="20"/>
    </w:rPr>
  </w:style>
  <w:style w:type="paragraph" w:styleId="Heading7">
    <w:name w:val="heading 7"/>
    <w:basedOn w:val="Normal"/>
    <w:next w:val="Normal"/>
    <w:link w:val="Heading7Char"/>
    <w:qFormat/>
    <w:rsid w:val="002851E0"/>
    <w:pPr>
      <w:ind w:left="720"/>
      <w:outlineLvl w:val="6"/>
    </w:pPr>
    <w:rPr>
      <w:i/>
    </w:rPr>
  </w:style>
  <w:style w:type="paragraph" w:styleId="Heading8">
    <w:name w:val="heading 8"/>
    <w:basedOn w:val="Normal"/>
    <w:next w:val="Normal"/>
    <w:link w:val="Heading8Char"/>
    <w:qFormat/>
    <w:rsid w:val="002851E0"/>
    <w:pPr>
      <w:ind w:left="720"/>
      <w:outlineLvl w:val="7"/>
    </w:pPr>
    <w:rPr>
      <w:i/>
    </w:rPr>
  </w:style>
  <w:style w:type="paragraph" w:styleId="Heading9">
    <w:name w:val="heading 9"/>
    <w:basedOn w:val="Normal"/>
    <w:next w:val="Normal"/>
    <w:link w:val="Heading9Char"/>
    <w:qFormat/>
    <w:rsid w:val="002851E0"/>
    <w:pPr>
      <w:ind w:left="720"/>
      <w:outlineLvl w:val="8"/>
    </w:pPr>
    <w:rPr>
      <w:i/>
    </w:rPr>
  </w:style>
  <w:style w:type="character" w:default="1" w:styleId="DefaultParagraphFont">
    <w:name w:val="Default Paragraph Font"/>
    <w:uiPriority w:val="1"/>
    <w:unhideWhenUsed/>
    <w:rsid w:val="00285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1E0"/>
  </w:style>
  <w:style w:type="character" w:customStyle="1" w:styleId="Heading1Char">
    <w:name w:val="Heading 1 Char"/>
    <w:basedOn w:val="DefaultParagraphFont"/>
    <w:link w:val="Heading1"/>
    <w:rsid w:val="002851E0"/>
    <w:rPr>
      <w:rFonts w:ascii="Times New Roman" w:eastAsia="Times New Roman" w:hAnsi="Times New Roman" w:cs="Times New Roman"/>
      <w:b/>
      <w:sz w:val="32"/>
      <w:szCs w:val="20"/>
      <w:lang w:eastAsia="en-US"/>
    </w:rPr>
  </w:style>
  <w:style w:type="paragraph" w:styleId="BodyText">
    <w:name w:val="Body Text"/>
    <w:basedOn w:val="Normal"/>
    <w:link w:val="BodyTextChar"/>
    <w:rsid w:val="00285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1E0"/>
    <w:rPr>
      <w:rFonts w:ascii="Times New Roman" w:eastAsia="Times New Roman" w:hAnsi="Times New Roman" w:cs="Times New Roman"/>
      <w:sz w:val="24"/>
      <w:lang w:eastAsia="en-US"/>
    </w:rPr>
  </w:style>
  <w:style w:type="paragraph" w:styleId="ListBullet">
    <w:name w:val="List Bullet"/>
    <w:basedOn w:val="List"/>
    <w:rsid w:val="002851E0"/>
    <w:pPr>
      <w:numPr>
        <w:numId w:val="12"/>
      </w:numPr>
      <w:tabs>
        <w:tab w:val="clear" w:pos="340"/>
      </w:tabs>
      <w:spacing w:before="40" w:after="40"/>
    </w:pPr>
  </w:style>
  <w:style w:type="character" w:customStyle="1" w:styleId="SpecialBold">
    <w:name w:val="Special Bold"/>
    <w:basedOn w:val="DefaultParagraphFont"/>
    <w:rsid w:val="002851E0"/>
    <w:rPr>
      <w:b/>
      <w:spacing w:val="0"/>
    </w:rPr>
  </w:style>
  <w:style w:type="paragraph" w:customStyle="1" w:styleId="SuperHeading">
    <w:name w:val="SuperHeading"/>
    <w:basedOn w:val="Normal"/>
    <w:rsid w:val="002851E0"/>
    <w:pPr>
      <w:spacing w:before="240" w:after="120"/>
      <w:outlineLvl w:val="0"/>
    </w:pPr>
    <w:rPr>
      <w:rFonts w:ascii="Times New Roman" w:hAnsi="Times New Roman"/>
      <w:b/>
      <w:sz w:val="32"/>
    </w:rPr>
  </w:style>
  <w:style w:type="paragraph" w:customStyle="1" w:styleId="AllowPageBreak">
    <w:name w:val="AllowPageBreak"/>
    <w:rsid w:val="00285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1E0"/>
    <w:rPr>
      <w:rFonts w:ascii="Courier New" w:eastAsia="Times New Roman" w:hAnsi="Courier New" w:cs="Times New Roman"/>
      <w:i/>
      <w:szCs w:val="20"/>
      <w:lang w:eastAsia="en-US"/>
    </w:rPr>
  </w:style>
  <w:style w:type="paragraph" w:customStyle="1" w:styleId="HeadingBase">
    <w:name w:val="Heading Base"/>
    <w:rsid w:val="00285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1E0"/>
    <w:pPr>
      <w:tabs>
        <w:tab w:val="right" w:leader="dot" w:pos="9072"/>
      </w:tabs>
      <w:ind w:left="567"/>
    </w:pPr>
    <w:rPr>
      <w:szCs w:val="22"/>
    </w:rPr>
  </w:style>
  <w:style w:type="paragraph" w:customStyle="1" w:styleId="TOCBase">
    <w:name w:val="TOC Base"/>
    <w:rsid w:val="00285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1E0"/>
    <w:pPr>
      <w:tabs>
        <w:tab w:val="right" w:leader="dot" w:pos="9072"/>
      </w:tabs>
      <w:spacing w:before="40" w:after="40"/>
      <w:ind w:left="284"/>
    </w:pPr>
    <w:rPr>
      <w:rFonts w:ascii="Times New Roman" w:hAnsi="Times New Roman"/>
    </w:rPr>
  </w:style>
  <w:style w:type="paragraph" w:styleId="TOC1">
    <w:name w:val="toc 1"/>
    <w:basedOn w:val="TOCBase"/>
    <w:next w:val="Normal"/>
    <w:rsid w:val="00285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1E0"/>
    <w:rPr>
      <w:rFonts w:ascii="Times New Roman" w:eastAsia="Times New Roman" w:hAnsi="Times New Roman" w:cs="Times New Roman"/>
      <w:sz w:val="16"/>
      <w:lang w:eastAsia="en-US"/>
    </w:rPr>
  </w:style>
  <w:style w:type="paragraph" w:styleId="Title">
    <w:name w:val="Title"/>
    <w:basedOn w:val="HeadingBase"/>
    <w:link w:val="TitleChar"/>
    <w:qFormat/>
    <w:rsid w:val="002851E0"/>
    <w:pPr>
      <w:spacing w:before="5040"/>
      <w:jc w:val="center"/>
    </w:pPr>
    <w:rPr>
      <w:sz w:val="48"/>
      <w:szCs w:val="72"/>
      <w:lang w:val="en-US"/>
    </w:rPr>
  </w:style>
  <w:style w:type="character" w:customStyle="1" w:styleId="TitleChar">
    <w:name w:val="Title Char"/>
    <w:basedOn w:val="DefaultParagraphFont"/>
    <w:link w:val="Title"/>
    <w:rsid w:val="00285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1E0"/>
    <w:pPr>
      <w:tabs>
        <w:tab w:val="left" w:pos="3600"/>
        <w:tab w:val="left" w:pos="3958"/>
      </w:tabs>
    </w:pPr>
  </w:style>
  <w:style w:type="paragraph" w:styleId="List">
    <w:name w:val="List"/>
    <w:basedOn w:val="BodyText"/>
    <w:next w:val="BodyText"/>
    <w:rsid w:val="002851E0"/>
    <w:pPr>
      <w:tabs>
        <w:tab w:val="left" w:pos="340"/>
      </w:tabs>
      <w:spacing w:before="60" w:after="60"/>
      <w:ind w:left="340" w:hanging="340"/>
    </w:pPr>
  </w:style>
  <w:style w:type="paragraph" w:customStyle="1" w:styleId="Note">
    <w:name w:val="Note"/>
    <w:basedOn w:val="BodyText"/>
    <w:rsid w:val="00285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1E0"/>
    <w:pPr>
      <w:framePr w:wrap="auto" w:hAnchor="text" w:y="6049"/>
    </w:pPr>
    <w:rPr>
      <w:color w:val="000000"/>
      <w:sz w:val="40"/>
    </w:rPr>
  </w:style>
  <w:style w:type="paragraph" w:customStyle="1" w:styleId="TOCTitle">
    <w:name w:val="TOCTitle"/>
    <w:basedOn w:val="Heading1"/>
    <w:rsid w:val="002851E0"/>
    <w:pPr>
      <w:spacing w:after="240"/>
      <w:jc w:val="center"/>
      <w:outlineLvl w:val="9"/>
    </w:pPr>
    <w:rPr>
      <w:caps/>
    </w:rPr>
  </w:style>
  <w:style w:type="paragraph" w:customStyle="1" w:styleId="Version">
    <w:name w:val="Version"/>
    <w:rsid w:val="002851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1E0"/>
    <w:pPr>
      <w:numPr>
        <w:numId w:val="13"/>
      </w:numPr>
      <w:tabs>
        <w:tab w:val="clear" w:pos="680"/>
      </w:tabs>
    </w:pPr>
  </w:style>
  <w:style w:type="paragraph" w:styleId="Index1">
    <w:name w:val="index 1"/>
    <w:basedOn w:val="Normal"/>
    <w:next w:val="Normal"/>
    <w:semiHidden/>
    <w:rsid w:val="002851E0"/>
    <w:pPr>
      <w:keepNext w:val="0"/>
      <w:tabs>
        <w:tab w:val="right" w:pos="4176"/>
      </w:tabs>
      <w:ind w:left="198" w:hanging="198"/>
    </w:pPr>
    <w:rPr>
      <w:rFonts w:ascii="Garamond" w:hAnsi="Garamond"/>
    </w:rPr>
  </w:style>
  <w:style w:type="paragraph" w:styleId="IndexHeading">
    <w:name w:val="index heading"/>
    <w:basedOn w:val="Normal"/>
    <w:next w:val="Index1"/>
    <w:semiHidden/>
    <w:rsid w:val="002851E0"/>
    <w:pPr>
      <w:spacing w:before="120" w:after="120"/>
    </w:pPr>
    <w:rPr>
      <w:rFonts w:ascii="Arial" w:hAnsi="Arial"/>
      <w:b/>
      <w:color w:val="918585"/>
      <w:sz w:val="24"/>
    </w:rPr>
  </w:style>
  <w:style w:type="paragraph" w:styleId="Header">
    <w:name w:val="header"/>
    <w:basedOn w:val="Normal"/>
    <w:link w:val="HeaderChar"/>
    <w:rsid w:val="00285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1E0"/>
    <w:rPr>
      <w:rFonts w:ascii="Times New Roman" w:eastAsia="Times New Roman" w:hAnsi="Times New Roman" w:cs="Times New Roman"/>
      <w:sz w:val="16"/>
      <w:szCs w:val="20"/>
      <w:lang w:val="en-GB" w:eastAsia="en-US"/>
    </w:rPr>
  </w:style>
  <w:style w:type="paragraph" w:customStyle="1" w:styleId="Chapter">
    <w:name w:val="Chapter"/>
    <w:basedOn w:val="Normal"/>
    <w:rsid w:val="002851E0"/>
    <w:pPr>
      <w:spacing w:before="240"/>
    </w:pPr>
    <w:rPr>
      <w:rFonts w:ascii="Times New Roman" w:hAnsi="Times New Roman"/>
      <w:smallCaps/>
      <w:spacing w:val="80"/>
      <w:sz w:val="28"/>
    </w:rPr>
  </w:style>
  <w:style w:type="paragraph" w:customStyle="1" w:styleId="InChapter">
    <w:name w:val="InChapter"/>
    <w:basedOn w:val="Heading3"/>
    <w:rsid w:val="002851E0"/>
    <w:pPr>
      <w:spacing w:after="240"/>
      <w:outlineLvl w:val="9"/>
    </w:pPr>
    <w:rPr>
      <w:noProof/>
    </w:rPr>
  </w:style>
  <w:style w:type="paragraph" w:styleId="Index2">
    <w:name w:val="index 2"/>
    <w:basedOn w:val="Normal"/>
    <w:next w:val="Normal"/>
    <w:semiHidden/>
    <w:rsid w:val="002851E0"/>
    <w:pPr>
      <w:tabs>
        <w:tab w:val="right" w:pos="4176"/>
      </w:tabs>
      <w:ind w:left="568" w:hanging="284"/>
    </w:pPr>
    <w:rPr>
      <w:rFonts w:ascii="Garamond" w:hAnsi="Garamond"/>
    </w:rPr>
  </w:style>
  <w:style w:type="paragraph" w:customStyle="1" w:styleId="Byline">
    <w:name w:val="Byline"/>
    <w:rsid w:val="00285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1E0"/>
    <w:pPr>
      <w:tabs>
        <w:tab w:val="clear" w:pos="3600"/>
        <w:tab w:val="clear" w:pos="3958"/>
      </w:tabs>
      <w:jc w:val="right"/>
    </w:pPr>
  </w:style>
  <w:style w:type="character" w:styleId="Emphasis">
    <w:name w:val="Emphasis"/>
    <w:basedOn w:val="DefaultParagraphFont"/>
    <w:qFormat/>
    <w:rsid w:val="002851E0"/>
    <w:rPr>
      <w:i/>
    </w:rPr>
  </w:style>
  <w:style w:type="paragraph" w:styleId="Caption">
    <w:name w:val="caption"/>
    <w:basedOn w:val="BodyText"/>
    <w:next w:val="Normal"/>
    <w:qFormat/>
    <w:rsid w:val="002851E0"/>
    <w:pPr>
      <w:framePr w:w="2268" w:hSpace="181" w:vSpace="181" w:wrap="around" w:vAnchor="text" w:hAnchor="page" w:x="1135" w:y="285" w:anchorLock="1"/>
    </w:pPr>
    <w:rPr>
      <w:i/>
    </w:rPr>
  </w:style>
  <w:style w:type="paragraph" w:customStyle="1" w:styleId="MiniTOCTitle">
    <w:name w:val="MiniTOCTitle"/>
    <w:basedOn w:val="Heading4"/>
    <w:rsid w:val="002851E0"/>
    <w:pPr>
      <w:spacing w:before="240"/>
      <w:outlineLvl w:val="9"/>
    </w:pPr>
    <w:rPr>
      <w:noProof/>
      <w:sz w:val="24"/>
    </w:rPr>
  </w:style>
  <w:style w:type="paragraph" w:customStyle="1" w:styleId="MiniTOCItem">
    <w:name w:val="MiniTOCItem"/>
    <w:basedOn w:val="ListBullet"/>
    <w:rsid w:val="002851E0"/>
    <w:pPr>
      <w:numPr>
        <w:numId w:val="0"/>
      </w:numPr>
      <w:tabs>
        <w:tab w:val="right" w:leader="dot" w:pos="6521"/>
      </w:tabs>
      <w:spacing w:before="0" w:after="0"/>
    </w:pPr>
  </w:style>
  <w:style w:type="paragraph" w:customStyle="1" w:styleId="TOFTitle">
    <w:name w:val="TOFTitle"/>
    <w:basedOn w:val="TOCTitle"/>
    <w:rsid w:val="002851E0"/>
  </w:style>
  <w:style w:type="paragraph" w:styleId="TableofFigures">
    <w:name w:val="table of figures"/>
    <w:basedOn w:val="Normal"/>
    <w:next w:val="Normal"/>
    <w:semiHidden/>
    <w:rsid w:val="002851E0"/>
    <w:pPr>
      <w:tabs>
        <w:tab w:val="right" w:leader="dot" w:pos="9072"/>
      </w:tabs>
      <w:ind w:left="970" w:hanging="403"/>
    </w:pPr>
    <w:rPr>
      <w:rFonts w:ascii="Times New Roman" w:hAnsi="Times New Roman"/>
      <w:b/>
    </w:rPr>
  </w:style>
  <w:style w:type="paragraph" w:styleId="ListNumber">
    <w:name w:val="List Number"/>
    <w:basedOn w:val="List"/>
    <w:rsid w:val="002851E0"/>
    <w:pPr>
      <w:numPr>
        <w:numId w:val="10"/>
      </w:numPr>
    </w:pPr>
  </w:style>
  <w:style w:type="character" w:customStyle="1" w:styleId="WingdingSymbols">
    <w:name w:val="Wingding Symbols"/>
    <w:rsid w:val="002851E0"/>
    <w:rPr>
      <w:rFonts w:ascii="Wingdings" w:hAnsi="Wingdings"/>
    </w:rPr>
  </w:style>
  <w:style w:type="paragraph" w:customStyle="1" w:styleId="TableHeading">
    <w:name w:val="Table Heading"/>
    <w:basedOn w:val="HeadingBase"/>
    <w:rsid w:val="002851E0"/>
    <w:pPr>
      <w:keepLines/>
      <w:pBdr>
        <w:bottom w:val="single" w:sz="6" w:space="1" w:color="918585"/>
      </w:pBdr>
      <w:spacing w:before="240"/>
    </w:pPr>
  </w:style>
  <w:style w:type="character" w:customStyle="1" w:styleId="HotSpot">
    <w:name w:val="HotSpot"/>
    <w:rsid w:val="002851E0"/>
    <w:rPr>
      <w:color w:val="0033CC"/>
      <w:u w:val="none"/>
    </w:rPr>
  </w:style>
  <w:style w:type="paragraph" w:customStyle="1" w:styleId="BodyTextRight">
    <w:name w:val="Body Text Right"/>
    <w:basedOn w:val="BodyText"/>
    <w:rsid w:val="002851E0"/>
    <w:pPr>
      <w:spacing w:before="0" w:after="0"/>
      <w:jc w:val="right"/>
    </w:pPr>
  </w:style>
  <w:style w:type="paragraph" w:styleId="Index3">
    <w:name w:val="index 3"/>
    <w:basedOn w:val="ListNumber2"/>
    <w:next w:val="Normal"/>
    <w:semiHidden/>
    <w:rsid w:val="002851E0"/>
    <w:pPr>
      <w:numPr>
        <w:numId w:val="0"/>
      </w:numPr>
      <w:tabs>
        <w:tab w:val="right" w:leader="dot" w:pos="4176"/>
      </w:tabs>
    </w:pPr>
  </w:style>
  <w:style w:type="paragraph" w:styleId="ListNumber2">
    <w:name w:val="List Number 2"/>
    <w:basedOn w:val="List2"/>
    <w:rsid w:val="002851E0"/>
    <w:pPr>
      <w:numPr>
        <w:numId w:val="9"/>
      </w:numPr>
      <w:tabs>
        <w:tab w:val="clear" w:pos="1060"/>
      </w:tabs>
    </w:pPr>
  </w:style>
  <w:style w:type="paragraph" w:customStyle="1" w:styleId="MarginNote">
    <w:name w:val="Margin Note"/>
    <w:basedOn w:val="BodyText"/>
    <w:rsid w:val="00285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1E0"/>
    <w:rPr>
      <w:sz w:val="32"/>
    </w:rPr>
  </w:style>
  <w:style w:type="paragraph" w:customStyle="1" w:styleId="HeadingProcedure">
    <w:name w:val="Heading Procedure"/>
    <w:basedOn w:val="HeadingBase"/>
    <w:next w:val="Normal"/>
    <w:rsid w:val="002851E0"/>
    <w:pPr>
      <w:tabs>
        <w:tab w:val="left" w:pos="0"/>
      </w:tabs>
      <w:spacing w:before="120" w:after="60"/>
    </w:pPr>
    <w:rPr>
      <w:i/>
      <w:color w:val="918585"/>
      <w:sz w:val="22"/>
    </w:rPr>
  </w:style>
  <w:style w:type="paragraph" w:customStyle="1" w:styleId="TableBodyText">
    <w:name w:val="Table Body Text"/>
    <w:basedOn w:val="BodyText"/>
    <w:rsid w:val="002851E0"/>
    <w:pPr>
      <w:spacing w:before="60" w:after="60"/>
    </w:pPr>
  </w:style>
  <w:style w:type="paragraph" w:styleId="ListContinue">
    <w:name w:val="List Continue"/>
    <w:basedOn w:val="List"/>
    <w:rsid w:val="002851E0"/>
    <w:pPr>
      <w:ind w:firstLine="0"/>
    </w:pPr>
  </w:style>
  <w:style w:type="paragraph" w:customStyle="1" w:styleId="ListNote">
    <w:name w:val="List Note"/>
    <w:basedOn w:val="List"/>
    <w:rsid w:val="002851E0"/>
    <w:pPr>
      <w:pBdr>
        <w:top w:val="single" w:sz="6" w:space="2" w:color="918585"/>
        <w:bottom w:val="single" w:sz="6" w:space="2" w:color="918585"/>
      </w:pBdr>
      <w:tabs>
        <w:tab w:val="left" w:pos="1021"/>
      </w:tabs>
      <w:ind w:firstLine="0"/>
    </w:pPr>
  </w:style>
  <w:style w:type="paragraph" w:customStyle="1" w:styleId="Warning">
    <w:name w:val="Warning"/>
    <w:basedOn w:val="BodyText"/>
    <w:rsid w:val="002851E0"/>
    <w:pPr>
      <w:shd w:val="clear" w:color="auto" w:fill="D9D9D9"/>
      <w:tabs>
        <w:tab w:val="left" w:pos="992"/>
      </w:tabs>
      <w:ind w:left="119" w:right="119"/>
    </w:pPr>
    <w:rPr>
      <w:sz w:val="20"/>
    </w:rPr>
  </w:style>
  <w:style w:type="paragraph" w:customStyle="1" w:styleId="MarginIcons">
    <w:name w:val="Margin Icons"/>
    <w:basedOn w:val="BodyText"/>
    <w:rsid w:val="00285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1E0"/>
    <w:rPr>
      <w:rFonts w:ascii="Courier New" w:hAnsi="Courier New"/>
    </w:rPr>
  </w:style>
  <w:style w:type="paragraph" w:customStyle="1" w:styleId="NoteBullet">
    <w:name w:val="Note Bullet"/>
    <w:basedOn w:val="Note"/>
    <w:rsid w:val="002851E0"/>
    <w:pPr>
      <w:tabs>
        <w:tab w:val="clear" w:pos="680"/>
      </w:tabs>
      <w:spacing w:before="60" w:after="60"/>
    </w:pPr>
  </w:style>
  <w:style w:type="paragraph" w:customStyle="1" w:styleId="SubHeading2">
    <w:name w:val="SubHeading2"/>
    <w:basedOn w:val="HeadingBase"/>
    <w:rsid w:val="002851E0"/>
    <w:pPr>
      <w:spacing w:before="240" w:after="60"/>
    </w:pPr>
    <w:rPr>
      <w:sz w:val="20"/>
    </w:rPr>
  </w:style>
  <w:style w:type="paragraph" w:customStyle="1" w:styleId="SubHeading1">
    <w:name w:val="SubHeading1"/>
    <w:basedOn w:val="HeadingBase"/>
    <w:rsid w:val="002851E0"/>
    <w:pPr>
      <w:spacing w:before="240" w:after="60"/>
    </w:pPr>
    <w:rPr>
      <w:color w:val="918585"/>
      <w:sz w:val="22"/>
    </w:rPr>
  </w:style>
  <w:style w:type="paragraph" w:customStyle="1" w:styleId="SideHeading">
    <w:name w:val="Side Heading"/>
    <w:basedOn w:val="HeadingBase"/>
    <w:rsid w:val="00285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1E0"/>
    <w:pPr>
      <w:tabs>
        <w:tab w:val="num" w:pos="360"/>
      </w:tabs>
    </w:pPr>
  </w:style>
  <w:style w:type="paragraph" w:styleId="PlainText">
    <w:name w:val="Plain Text"/>
    <w:basedOn w:val="Normal"/>
    <w:link w:val="PlainTextChar"/>
    <w:rsid w:val="002851E0"/>
    <w:rPr>
      <w:sz w:val="20"/>
    </w:rPr>
  </w:style>
  <w:style w:type="character" w:customStyle="1" w:styleId="PlainTextChar">
    <w:name w:val="Plain Text Char"/>
    <w:basedOn w:val="DefaultParagraphFont"/>
    <w:link w:val="PlainText"/>
    <w:rsid w:val="002851E0"/>
    <w:rPr>
      <w:rFonts w:ascii="Courier New" w:eastAsia="Times New Roman" w:hAnsi="Courier New" w:cs="Times New Roman"/>
      <w:sz w:val="20"/>
      <w:szCs w:val="20"/>
      <w:lang w:eastAsia="en-US"/>
    </w:rPr>
  </w:style>
  <w:style w:type="character" w:customStyle="1" w:styleId="MenuOption">
    <w:name w:val="Menu Option"/>
    <w:basedOn w:val="DefaultParagraphFont"/>
    <w:rsid w:val="002851E0"/>
    <w:rPr>
      <w:b/>
      <w:smallCaps/>
    </w:rPr>
  </w:style>
  <w:style w:type="paragraph" w:customStyle="1" w:styleId="TableListNumber">
    <w:name w:val="Table List Number"/>
    <w:basedOn w:val="ListNumber"/>
    <w:rsid w:val="002851E0"/>
    <w:pPr>
      <w:numPr>
        <w:numId w:val="0"/>
      </w:numPr>
    </w:pPr>
  </w:style>
  <w:style w:type="paragraph" w:styleId="TOC4">
    <w:name w:val="toc 4"/>
    <w:basedOn w:val="TOCBase"/>
    <w:next w:val="Normal"/>
    <w:semiHidden/>
    <w:rsid w:val="002851E0"/>
    <w:pPr>
      <w:tabs>
        <w:tab w:val="right" w:leader="dot" w:pos="9071"/>
      </w:tabs>
      <w:ind w:left="1701"/>
    </w:pPr>
  </w:style>
  <w:style w:type="paragraph" w:customStyle="1" w:styleId="ListAlpha">
    <w:name w:val="List Alpha"/>
    <w:basedOn w:val="List"/>
    <w:rsid w:val="002851E0"/>
    <w:pPr>
      <w:numPr>
        <w:numId w:val="8"/>
      </w:numPr>
    </w:pPr>
  </w:style>
  <w:style w:type="paragraph" w:customStyle="1" w:styleId="ListAlpha2">
    <w:name w:val="List Alpha 2"/>
    <w:basedOn w:val="List2"/>
    <w:rsid w:val="002851E0"/>
    <w:pPr>
      <w:numPr>
        <w:numId w:val="7"/>
      </w:numPr>
    </w:pPr>
  </w:style>
  <w:style w:type="paragraph" w:styleId="List2">
    <w:name w:val="List 2"/>
    <w:basedOn w:val="BodyText"/>
    <w:rsid w:val="002851E0"/>
    <w:pPr>
      <w:tabs>
        <w:tab w:val="left" w:pos="680"/>
      </w:tabs>
      <w:spacing w:before="60" w:after="60"/>
      <w:ind w:left="680" w:hanging="340"/>
    </w:pPr>
  </w:style>
  <w:style w:type="paragraph" w:styleId="List3">
    <w:name w:val="List 3"/>
    <w:basedOn w:val="BodyText"/>
    <w:rsid w:val="002851E0"/>
    <w:pPr>
      <w:tabs>
        <w:tab w:val="left" w:pos="1021"/>
      </w:tabs>
      <w:spacing w:before="60" w:after="60"/>
      <w:ind w:left="1020" w:hanging="340"/>
    </w:pPr>
  </w:style>
  <w:style w:type="paragraph" w:styleId="List4">
    <w:name w:val="List 4"/>
    <w:basedOn w:val="BodyText"/>
    <w:rsid w:val="002851E0"/>
    <w:pPr>
      <w:tabs>
        <w:tab w:val="left" w:pos="1361"/>
      </w:tabs>
      <w:spacing w:before="60" w:after="60"/>
      <w:ind w:left="1361" w:hanging="340"/>
    </w:pPr>
  </w:style>
  <w:style w:type="paragraph" w:styleId="List5">
    <w:name w:val="List 5"/>
    <w:basedOn w:val="BodyText"/>
    <w:rsid w:val="002851E0"/>
    <w:pPr>
      <w:tabs>
        <w:tab w:val="left" w:pos="1701"/>
      </w:tabs>
      <w:spacing w:before="60" w:after="60"/>
      <w:ind w:left="1701" w:hanging="340"/>
    </w:pPr>
  </w:style>
  <w:style w:type="paragraph" w:styleId="ListBullet3">
    <w:name w:val="List Bullet 3"/>
    <w:basedOn w:val="List3"/>
    <w:rsid w:val="002851E0"/>
    <w:pPr>
      <w:numPr>
        <w:numId w:val="14"/>
      </w:numPr>
      <w:tabs>
        <w:tab w:val="clear" w:pos="1021"/>
      </w:tabs>
      <w:ind w:left="1037" w:hanging="357"/>
    </w:pPr>
  </w:style>
  <w:style w:type="paragraph" w:styleId="ListBullet4">
    <w:name w:val="List Bullet 4"/>
    <w:basedOn w:val="List4"/>
    <w:rsid w:val="002851E0"/>
    <w:pPr>
      <w:numPr>
        <w:numId w:val="2"/>
      </w:numPr>
    </w:pPr>
  </w:style>
  <w:style w:type="paragraph" w:styleId="ListBullet5">
    <w:name w:val="List Bullet 5"/>
    <w:basedOn w:val="List5"/>
    <w:rsid w:val="002851E0"/>
    <w:pPr>
      <w:numPr>
        <w:numId w:val="3"/>
      </w:numPr>
    </w:pPr>
  </w:style>
  <w:style w:type="paragraph" w:styleId="ListContinue2">
    <w:name w:val="List Continue 2"/>
    <w:basedOn w:val="List2"/>
    <w:rsid w:val="002851E0"/>
    <w:pPr>
      <w:ind w:firstLine="0"/>
    </w:pPr>
  </w:style>
  <w:style w:type="paragraph" w:styleId="ListContinue3">
    <w:name w:val="List Continue 3"/>
    <w:basedOn w:val="List3"/>
    <w:rsid w:val="002851E0"/>
    <w:pPr>
      <w:ind w:left="1021" w:firstLine="0"/>
    </w:pPr>
  </w:style>
  <w:style w:type="paragraph" w:styleId="ListContinue4">
    <w:name w:val="List Continue 4"/>
    <w:basedOn w:val="List4"/>
    <w:rsid w:val="002851E0"/>
    <w:pPr>
      <w:ind w:firstLine="0"/>
    </w:pPr>
  </w:style>
  <w:style w:type="paragraph" w:styleId="ListContinue5">
    <w:name w:val="List Continue 5"/>
    <w:basedOn w:val="List5"/>
    <w:rsid w:val="002851E0"/>
    <w:pPr>
      <w:ind w:firstLine="0"/>
    </w:pPr>
  </w:style>
  <w:style w:type="paragraph" w:styleId="ListNumber3">
    <w:name w:val="List Number 3"/>
    <w:basedOn w:val="List3"/>
    <w:rsid w:val="002851E0"/>
    <w:pPr>
      <w:numPr>
        <w:numId w:val="4"/>
      </w:numPr>
    </w:pPr>
  </w:style>
  <w:style w:type="paragraph" w:styleId="ListNumber4">
    <w:name w:val="List Number 4"/>
    <w:basedOn w:val="List4"/>
    <w:rsid w:val="002851E0"/>
    <w:pPr>
      <w:numPr>
        <w:numId w:val="5"/>
      </w:numPr>
    </w:pPr>
  </w:style>
  <w:style w:type="paragraph" w:styleId="ListNumber5">
    <w:name w:val="List Number 5"/>
    <w:basedOn w:val="List5"/>
    <w:rsid w:val="002851E0"/>
    <w:pPr>
      <w:numPr>
        <w:numId w:val="6"/>
      </w:numPr>
    </w:pPr>
  </w:style>
  <w:style w:type="paragraph" w:styleId="BlockText">
    <w:name w:val="Block Text"/>
    <w:basedOn w:val="Normal"/>
    <w:rsid w:val="002851E0"/>
    <w:pPr>
      <w:spacing w:after="120"/>
      <w:ind w:left="1440" w:right="1440"/>
    </w:pPr>
  </w:style>
  <w:style w:type="character" w:customStyle="1" w:styleId="Subscript">
    <w:name w:val="Subscript"/>
    <w:basedOn w:val="DefaultParagraphFont"/>
    <w:rsid w:val="002851E0"/>
    <w:rPr>
      <w:sz w:val="16"/>
      <w:vertAlign w:val="subscript"/>
    </w:rPr>
  </w:style>
  <w:style w:type="character" w:customStyle="1" w:styleId="Superscript">
    <w:name w:val="Superscript"/>
    <w:basedOn w:val="DefaultParagraphFont"/>
    <w:rsid w:val="002851E0"/>
    <w:rPr>
      <w:sz w:val="16"/>
      <w:vertAlign w:val="superscript"/>
    </w:rPr>
  </w:style>
  <w:style w:type="character" w:customStyle="1" w:styleId="Symbols">
    <w:name w:val="Symbols"/>
    <w:basedOn w:val="DefaultParagraphFont"/>
    <w:rsid w:val="002851E0"/>
    <w:rPr>
      <w:rFonts w:ascii="Symbol" w:hAnsi="Symbol"/>
    </w:rPr>
  </w:style>
  <w:style w:type="character" w:customStyle="1" w:styleId="MenuOptions">
    <w:name w:val="Menu Options"/>
    <w:basedOn w:val="DefaultParagraphFont"/>
    <w:rsid w:val="002851E0"/>
    <w:rPr>
      <w:rFonts w:ascii="Arial Narrow" w:hAnsi="Arial Narrow"/>
      <w:smallCaps/>
    </w:rPr>
  </w:style>
  <w:style w:type="character" w:customStyle="1" w:styleId="Buttons">
    <w:name w:val="Buttons"/>
    <w:basedOn w:val="DefaultParagraphFont"/>
    <w:rsid w:val="002851E0"/>
    <w:rPr>
      <w:b/>
    </w:rPr>
  </w:style>
  <w:style w:type="character" w:customStyle="1" w:styleId="Underlined">
    <w:name w:val="Underlined"/>
    <w:basedOn w:val="DefaultParagraphFont"/>
    <w:rsid w:val="002851E0"/>
    <w:rPr>
      <w:u w:val="single"/>
    </w:rPr>
  </w:style>
  <w:style w:type="paragraph" w:customStyle="1" w:styleId="TableBodyTextRight">
    <w:name w:val="Table Body Text Right"/>
    <w:basedOn w:val="TableBodyText"/>
    <w:rsid w:val="002851E0"/>
    <w:pPr>
      <w:widowControl w:val="0"/>
      <w:autoSpaceDE w:val="0"/>
      <w:autoSpaceDN w:val="0"/>
      <w:adjustRightInd w:val="0"/>
      <w:jc w:val="right"/>
    </w:pPr>
    <w:rPr>
      <w:rFonts w:cs="Arial"/>
      <w:szCs w:val="18"/>
    </w:rPr>
  </w:style>
  <w:style w:type="paragraph" w:customStyle="1" w:styleId="CopyrightText">
    <w:name w:val="Copyright Text"/>
    <w:basedOn w:val="BodyText"/>
    <w:rsid w:val="002851E0"/>
    <w:rPr>
      <w:sz w:val="18"/>
    </w:rPr>
  </w:style>
  <w:style w:type="paragraph" w:customStyle="1" w:styleId="BodySmallRight">
    <w:name w:val="Body Small Right"/>
    <w:basedOn w:val="BodyTextRight"/>
    <w:rsid w:val="002851E0"/>
    <w:rPr>
      <w:sz w:val="18"/>
      <w:szCs w:val="18"/>
    </w:rPr>
  </w:style>
  <w:style w:type="paragraph" w:customStyle="1" w:styleId="MarginEdition">
    <w:name w:val="Margin Edition"/>
    <w:basedOn w:val="MarginNote"/>
    <w:rsid w:val="002851E0"/>
    <w:pPr>
      <w:spacing w:before="0" w:after="0"/>
    </w:pPr>
    <w:rPr>
      <w:rFonts w:ascii="Times New Roman" w:hAnsi="Times New Roman"/>
      <w:color w:val="999999"/>
    </w:rPr>
  </w:style>
  <w:style w:type="paragraph" w:customStyle="1" w:styleId="Spacer">
    <w:name w:val="Spacer"/>
    <w:basedOn w:val="Normal"/>
    <w:rsid w:val="002851E0"/>
    <w:rPr>
      <w:sz w:val="2"/>
      <w:szCs w:val="2"/>
    </w:rPr>
  </w:style>
  <w:style w:type="character" w:customStyle="1" w:styleId="Small">
    <w:name w:val="Small"/>
    <w:basedOn w:val="DefaultParagraphFont"/>
    <w:rsid w:val="002851E0"/>
    <w:rPr>
      <w:sz w:val="16"/>
    </w:rPr>
  </w:style>
  <w:style w:type="paragraph" w:customStyle="1" w:styleId="WideTable">
    <w:name w:val="Wide Table"/>
    <w:basedOn w:val="Normal"/>
    <w:rsid w:val="002851E0"/>
    <w:pPr>
      <w:ind w:left="-1418"/>
    </w:pPr>
    <w:rPr>
      <w:sz w:val="2"/>
      <w:szCs w:val="2"/>
    </w:rPr>
  </w:style>
  <w:style w:type="character" w:styleId="PageNumber">
    <w:name w:val="page number"/>
    <w:basedOn w:val="DefaultParagraphFont"/>
    <w:rsid w:val="002851E0"/>
  </w:style>
  <w:style w:type="paragraph" w:styleId="Quote">
    <w:name w:val="Quote"/>
    <w:basedOn w:val="Heading1"/>
    <w:link w:val="QuoteChar"/>
    <w:qFormat/>
    <w:rsid w:val="002851E0"/>
    <w:rPr>
      <w:b w:val="0"/>
      <w:sz w:val="72"/>
      <w:szCs w:val="72"/>
      <w:lang w:val="en-NZ"/>
    </w:rPr>
  </w:style>
  <w:style w:type="character" w:customStyle="1" w:styleId="QuoteChar">
    <w:name w:val="Quote Char"/>
    <w:basedOn w:val="DefaultParagraphFont"/>
    <w:link w:val="Quote"/>
    <w:rsid w:val="00285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1E0"/>
    <w:pPr>
      <w:pageBreakBefore/>
    </w:pPr>
  </w:style>
  <w:style w:type="paragraph" w:customStyle="1" w:styleId="Border">
    <w:name w:val="Border"/>
    <w:basedOn w:val="Normal"/>
    <w:qFormat/>
    <w:rsid w:val="00285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1E0"/>
    <w:rPr>
      <w:b/>
      <w:bCs/>
      <w:i/>
      <w:iCs/>
      <w:color w:val="auto"/>
    </w:rPr>
  </w:style>
  <w:style w:type="paragraph" w:styleId="IntenseQuote">
    <w:name w:val="Intense Quote"/>
    <w:basedOn w:val="Normal"/>
    <w:next w:val="Normal"/>
    <w:link w:val="IntenseQuoteChar"/>
    <w:uiPriority w:val="30"/>
    <w:qFormat/>
    <w:rsid w:val="00285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1E0"/>
    <w:rPr>
      <w:smallCaps/>
      <w:color w:val="auto"/>
      <w:u w:val="single"/>
    </w:rPr>
  </w:style>
  <w:style w:type="character" w:styleId="IntenseReference">
    <w:name w:val="Intense Reference"/>
    <w:basedOn w:val="DefaultParagraphFont"/>
    <w:uiPriority w:val="32"/>
    <w:qFormat/>
    <w:rsid w:val="002851E0"/>
    <w:rPr>
      <w:b/>
      <w:bCs/>
      <w:smallCaps/>
      <w:color w:val="auto"/>
      <w:spacing w:val="5"/>
      <w:u w:val="single"/>
    </w:rPr>
  </w:style>
  <w:style w:type="paragraph" w:customStyle="1" w:styleId="2ColumnHeading">
    <w:name w:val="2Column Heading"/>
    <w:basedOn w:val="BodyText"/>
    <w:qFormat/>
    <w:rsid w:val="002851E0"/>
    <w:pPr>
      <w:spacing w:after="60"/>
      <w:ind w:left="-2268"/>
    </w:pPr>
    <w:rPr>
      <w:b/>
    </w:rPr>
  </w:style>
  <w:style w:type="paragraph" w:customStyle="1" w:styleId="Heading1TOC">
    <w:name w:val="Heading1 TOC"/>
    <w:basedOn w:val="Normal"/>
    <w:qFormat/>
    <w:rsid w:val="002851E0"/>
    <w:pPr>
      <w:spacing w:before="240" w:after="120"/>
    </w:pPr>
    <w:rPr>
      <w:rFonts w:ascii="Times New Roman" w:hAnsi="Times New Roman"/>
      <w:b/>
      <w:sz w:val="32"/>
    </w:rPr>
  </w:style>
  <w:style w:type="paragraph" w:customStyle="1" w:styleId="Heading2TOC">
    <w:name w:val="Heading2 TOC"/>
    <w:basedOn w:val="Normal"/>
    <w:qFormat/>
    <w:rsid w:val="002851E0"/>
    <w:pPr>
      <w:spacing w:before="240" w:after="60"/>
    </w:pPr>
    <w:rPr>
      <w:rFonts w:ascii="Times New Roman" w:hAnsi="Times New Roman"/>
      <w:b/>
      <w:sz w:val="28"/>
    </w:rPr>
  </w:style>
  <w:style w:type="character" w:customStyle="1" w:styleId="Underline">
    <w:name w:val="Underline"/>
    <w:basedOn w:val="DefaultParagraphFont"/>
    <w:qFormat/>
    <w:rsid w:val="002851E0"/>
    <w:rPr>
      <w:u w:val="single"/>
    </w:rPr>
  </w:style>
  <w:style w:type="character" w:customStyle="1" w:styleId="BoldandItalics">
    <w:name w:val="Bold and Italics"/>
    <w:qFormat/>
    <w:rsid w:val="002851E0"/>
    <w:rPr>
      <w:b/>
      <w:i/>
      <w:u w:val="none"/>
    </w:rPr>
  </w:style>
  <w:style w:type="paragraph" w:styleId="BalloonText">
    <w:name w:val="Balloon Text"/>
    <w:basedOn w:val="Normal"/>
    <w:link w:val="BalloonTextChar"/>
    <w:rsid w:val="002851E0"/>
    <w:rPr>
      <w:rFonts w:ascii="Tahoma" w:hAnsi="Tahoma" w:cs="Tahoma"/>
      <w:sz w:val="16"/>
      <w:szCs w:val="16"/>
    </w:rPr>
  </w:style>
  <w:style w:type="character" w:customStyle="1" w:styleId="BalloonTextChar">
    <w:name w:val="Balloon Text Char"/>
    <w:basedOn w:val="DefaultParagraphFont"/>
    <w:link w:val="BalloonText"/>
    <w:rsid w:val="00285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1E0"/>
    <w:rPr>
      <w:b/>
      <w:color w:val="660033"/>
      <w:spacing w:val="0"/>
    </w:rPr>
  </w:style>
  <w:style w:type="paragraph" w:customStyle="1" w:styleId="Nameditemlist">
    <w:name w:val="Named item list"/>
    <w:basedOn w:val="BodyText"/>
    <w:qFormat/>
    <w:rsid w:val="002851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727</Words>
  <Characters>4654</Characters>
  <Application>Microsoft Office Word</Application>
  <DocSecurity>0</DocSecurity>
  <Lines>206</Lines>
  <Paragraphs>118</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TLIB4081A Provision a motive power unit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2013-12-24T08:54:08Z</dcterms:created>
  <dcterms:modified xsi:type="dcterms:W3CDTF">2013-12-23T05:25:00Z</dcterms:modified>
</cp:coreProperties>
</file>