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D76" w:rsidP="00F20D76">
      <w:pPr>
        <w:pStyle w:val="Title"/>
      </w:pPr>
      <w:r>
        <w:fldChar w:fldCharType="begin"/>
      </w:r>
      <w:r>
        <w:instrText xml:space="preserve"> TITLE   \* MERGEFORMAT </w:instrText>
      </w:r>
      <w:r>
        <w:fldChar w:fldCharType="separate"/>
      </w:r>
      <w:r>
        <w:t>TLIB3026A Prepare for train operation</w:t>
      </w:r>
      <w:r>
        <w:fldChar w:fldCharType="end"/>
      </w:r>
    </w:p>
    <w:p w:rsidR="00F20D76" w:rsidP="00F20D76">
      <w:pPr>
        <w:pStyle w:val="Version"/>
        <w:sectPr w:rsidSect="00D02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362" w:rsidP="00D02362">
      <w:pPr>
        <w:pStyle w:val="SuperHeading"/>
      </w:pPr>
      <w:r w:rsidRPr="00D02362">
        <w:t>TLIB3026A Prepare for train operation</w:t>
      </w:r>
    </w:p>
    <w:p w:rsidR="00000000" w:rsidRPr="00D02362" w:rsidP="00D02362">
      <w:pPr>
        <w:pStyle w:val="Heading1"/>
      </w:pPr>
      <w:bookmarkStart w:id="1" w:name="O_273965"/>
      <w:bookmarkEnd w:id="1"/>
      <w:r w:rsidRPr="00D02362">
        <w:t>Modification History</w:t>
      </w:r>
    </w:p>
    <w:p w:rsidR="00000000" w:rsidRPr="00D02362" w:rsidP="00D02362">
      <w:pPr>
        <w:pStyle w:val="BodyText"/>
      </w:pPr>
      <w:r w:rsidRPr="00D02362">
        <w:t>Not Applicable</w:t>
      </w:r>
    </w:p>
    <w:p w:rsidR="00000000" w:rsidRPr="00D02362" w:rsidP="00D02362">
      <w:pPr>
        <w:pStyle w:val="AllowPageBreak"/>
      </w:pPr>
    </w:p>
    <w:p w:rsidR="00000000" w:rsidRPr="00D02362" w:rsidP="00D02362">
      <w:pPr>
        <w:pStyle w:val="Heading1"/>
      </w:pPr>
      <w:bookmarkStart w:id="2" w:name="O_222934"/>
      <w:bookmarkEnd w:id="2"/>
      <w:r w:rsidRPr="00D02362">
        <w:t>Unit Descriptor</w:t>
      </w:r>
    </w:p>
    <w:tbl>
      <w:tblPr>
        <w:tblW w:w="9640" w:type="dxa"/>
        <w:tblLayout w:type="fixed"/>
        <w:tblCellMar>
          <w:left w:w="62" w:type="dxa"/>
          <w:right w:w="62" w:type="dxa"/>
        </w:tblCellMar>
        <w:tblLook w:val="0000"/>
      </w:tblPr>
      <w:tblGrid>
        <w:gridCol w:w="2978"/>
        <w:gridCol w:w="6662"/>
      </w:tblGrid>
      <w:tr w:rsidTr="00F20D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BodyText"/>
            </w:pPr>
            <w:r w:rsidRPr="00D02362">
              <w:t>This unit involves the skills and knowledge required to prepare for train operation in accordance wit</w:t>
            </w:r>
            <w:r w:rsidRPr="00D02362">
              <w:t>h workplace procedures and the requirements of relevant safeworking regulations and codes of practice. It includes preparing for and implementing the prescribed pre-departure checks and confirming the required train documentation. Licensing or certificatio</w:t>
            </w:r>
            <w:r w:rsidRPr="00D02362">
              <w:t>n requirements are not applicable to this unit.</w:t>
            </w:r>
          </w:p>
        </w:tc>
      </w:tr>
    </w:tbl>
    <w:p w:rsidR="00F20D76" w:rsidP="00D02362">
      <w:pPr>
        <w:pStyle w:val="BodyText"/>
      </w:pPr>
    </w:p>
    <w:p w:rsidR="00F20D76" w:rsidP="00D02362">
      <w:pPr>
        <w:pStyle w:val="BodyText"/>
      </w:pPr>
    </w:p>
    <w:p w:rsidR="00000000" w:rsidRPr="00D02362" w:rsidP="00D02362">
      <w:pPr>
        <w:pStyle w:val="Heading1"/>
      </w:pPr>
      <w:bookmarkStart w:id="3" w:name="O_222936"/>
      <w:bookmarkEnd w:id="3"/>
      <w:r w:rsidRPr="00D02362">
        <w:t>Application of the Unit</w:t>
      </w:r>
    </w:p>
    <w:tbl>
      <w:tblPr>
        <w:tblW w:w="9640" w:type="dxa"/>
        <w:tblLayout w:type="fixed"/>
        <w:tblCellMar>
          <w:left w:w="62" w:type="dxa"/>
          <w:right w:w="62" w:type="dxa"/>
        </w:tblCellMar>
        <w:tblLook w:val="0000"/>
      </w:tblPr>
      <w:tblGrid>
        <w:gridCol w:w="2978"/>
        <w:gridCol w:w="6662"/>
      </w:tblGrid>
      <w:tr w:rsidTr="00F20D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BodyText"/>
            </w:pPr>
            <w:r w:rsidRPr="00D02362">
              <w:t>Persons achieving competence in this unit will need to fulfil the applicable legislated rail safety requirements including acts and regulations from each applicable state and territory together with any nationally approved compliance codes and/or guideline</w:t>
            </w:r>
            <w:r w:rsidRPr="00D02362">
              <w:t>s.</w:t>
            </w:r>
          </w:p>
          <w:p w:rsidR="00000000" w:rsidRPr="00D02362" w:rsidP="00D02362">
            <w:pPr>
              <w:pStyle w:val="BodyText"/>
            </w:pPr>
            <w:r w:rsidRPr="00D02362">
              <w:t>Work is performed without supervision, generally within a team environment. It involves the application of routine operational principles and procedures to prepare for train operation as part of workplace activities across a variety of operational conte</w:t>
            </w:r>
            <w:r w:rsidRPr="00D02362">
              <w:t>xts within the Australian rail system.</w:t>
            </w:r>
          </w:p>
        </w:tc>
      </w:tr>
    </w:tbl>
    <w:p w:rsidR="00F20D76" w:rsidP="00D02362">
      <w:pPr>
        <w:pStyle w:val="BodyText"/>
      </w:pPr>
    </w:p>
    <w:p w:rsidR="00F20D76" w:rsidP="00D02362">
      <w:pPr>
        <w:pStyle w:val="BodyText"/>
      </w:pPr>
    </w:p>
    <w:p w:rsidR="00000000" w:rsidRPr="00D02362" w:rsidP="00D02362">
      <w:pPr>
        <w:pStyle w:val="Heading1"/>
      </w:pPr>
      <w:bookmarkStart w:id="4" w:name="O_282225"/>
      <w:bookmarkEnd w:id="4"/>
      <w:r w:rsidRPr="00D02362">
        <w:t>Licensing/Regulatory Information</w:t>
      </w:r>
    </w:p>
    <w:p w:rsidR="00000000" w:rsidRPr="00D02362" w:rsidP="00D02362">
      <w:pPr>
        <w:pStyle w:val="BodyText"/>
      </w:pPr>
      <w:r w:rsidRPr="00D02362">
        <w:t>Refer to Unit Descriptor</w:t>
      </w:r>
    </w:p>
    <w:p w:rsidR="00000000" w:rsidRPr="00D02362" w:rsidP="00D02362">
      <w:pPr>
        <w:pStyle w:val="AllowPageBreak"/>
      </w:pPr>
    </w:p>
    <w:p w:rsidR="00000000" w:rsidRPr="00D02362" w:rsidP="00D02362">
      <w:pPr>
        <w:pStyle w:val="Heading1"/>
      </w:pPr>
      <w:bookmarkStart w:id="5" w:name="O_284675"/>
      <w:bookmarkEnd w:id="5"/>
      <w:r w:rsidRPr="00D02362">
        <w:t>Pre-Requisites</w:t>
      </w:r>
    </w:p>
    <w:p w:rsidR="00000000" w:rsidRPr="00D02362" w:rsidP="00D02362">
      <w:pPr>
        <w:pStyle w:val="BodyText"/>
      </w:pPr>
      <w:r w:rsidRPr="00D02362">
        <w:t>Not Applicable</w:t>
      </w:r>
    </w:p>
    <w:p w:rsidR="00000000" w:rsidRPr="00D02362" w:rsidP="00D02362">
      <w:pPr>
        <w:pStyle w:val="AllowPageBreak"/>
      </w:pPr>
    </w:p>
    <w:p w:rsidR="00000000" w:rsidRPr="00D02362" w:rsidP="00D02362">
      <w:pPr>
        <w:pStyle w:val="Heading1"/>
      </w:pPr>
      <w:bookmarkStart w:id="6" w:name="O_222935"/>
      <w:bookmarkEnd w:id="6"/>
      <w:r w:rsidRPr="00D02362">
        <w:t>Employability Skills Information</w:t>
      </w:r>
    </w:p>
    <w:tbl>
      <w:tblPr>
        <w:tblW w:w="9640" w:type="dxa"/>
        <w:tblLayout w:type="fixed"/>
        <w:tblCellMar>
          <w:left w:w="62" w:type="dxa"/>
          <w:right w:w="62" w:type="dxa"/>
        </w:tblCellMar>
        <w:tblLook w:val="0000"/>
      </w:tblPr>
      <w:tblGrid>
        <w:gridCol w:w="2978"/>
        <w:gridCol w:w="6662"/>
      </w:tblGrid>
      <w:tr w:rsidTr="00F20D7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BodyText"/>
            </w:pPr>
            <w:r w:rsidRPr="00D02362">
              <w:t>This unit contains employability skills.</w:t>
            </w:r>
          </w:p>
        </w:tc>
      </w:tr>
    </w:tbl>
    <w:p w:rsidR="00F20D76" w:rsidP="00D02362">
      <w:pPr>
        <w:pStyle w:val="BodyText"/>
      </w:pPr>
    </w:p>
    <w:p w:rsidR="00F20D76" w:rsidP="00D02362">
      <w:pPr>
        <w:pStyle w:val="BodyText"/>
      </w:pPr>
    </w:p>
    <w:p w:rsidR="00000000" w:rsidRPr="00D02362" w:rsidP="00D02362">
      <w:pPr>
        <w:pStyle w:val="Heading1"/>
      </w:pPr>
      <w:bookmarkStart w:id="7" w:name="O_292011"/>
      <w:bookmarkEnd w:id="7"/>
      <w:r w:rsidRPr="00D02362">
        <w:t>Elements and Performance Criteria Pre-Content</w:t>
      </w:r>
    </w:p>
    <w:tbl>
      <w:tblPr>
        <w:tblW w:w="9640" w:type="dxa"/>
        <w:tblLayout w:type="fixed"/>
        <w:tblCellMar>
          <w:left w:w="62" w:type="dxa"/>
          <w:right w:w="62" w:type="dxa"/>
        </w:tblCellMar>
        <w:tblLook w:val="0000"/>
      </w:tblPr>
      <w:tblGrid>
        <w:gridCol w:w="2978"/>
        <w:gridCol w:w="6662"/>
      </w:tblGrid>
      <w:tr w:rsidTr="00F20D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BodyText"/>
            </w:pPr>
            <w:r w:rsidRPr="00D02362">
              <w:t xml:space="preserve">Performance </w:t>
            </w:r>
            <w:r w:rsidRPr="00D02362">
              <w:t>criteria describe the required performance needed to demonstrate achievement of the element. Assessment of performance is to be consistent with the evidence guide.</w:t>
            </w:r>
          </w:p>
        </w:tc>
      </w:tr>
    </w:tbl>
    <w:p w:rsidR="00000000" w:rsidRPr="00D02362" w:rsidP="00D02362">
      <w:pPr>
        <w:pStyle w:val="BodyText"/>
      </w:pPr>
    </w:p>
    <w:p w:rsidR="00000000" w:rsidRPr="00D02362" w:rsidP="00D02362">
      <w:pPr>
        <w:pStyle w:val="AllowPageBreak"/>
      </w:pPr>
    </w:p>
    <w:p w:rsidR="00000000" w:rsidRPr="00D02362" w:rsidP="00D02362">
      <w:pPr>
        <w:pStyle w:val="Heading1"/>
      </w:pPr>
      <w:bookmarkStart w:id="8" w:name="O_238679"/>
      <w:bookmarkEnd w:id="8"/>
      <w:r w:rsidRPr="00D02362">
        <w:t>Elements and Performance Criteria</w:t>
      </w:r>
    </w:p>
    <w:tbl>
      <w:tblPr>
        <w:tblW w:w="9640" w:type="dxa"/>
        <w:tblLayout w:type="fixed"/>
        <w:tblCellMar>
          <w:left w:w="62" w:type="dxa"/>
          <w:right w:w="62" w:type="dxa"/>
        </w:tblCellMar>
        <w:tblLook w:val="0000"/>
      </w:tblPr>
      <w:tblGrid>
        <w:gridCol w:w="2978"/>
        <w:gridCol w:w="6662"/>
      </w:tblGrid>
      <w:tr w:rsidTr="00F20D7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02362" w:rsidP="00D02362">
            <w:pPr>
              <w:pStyle w:val="List"/>
            </w:pPr>
            <w:r w:rsidRPr="00D023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02362">
            <w:pPr>
              <w:pStyle w:val="List"/>
              <w:rPr>
                <w:lang w:val="en-NZ"/>
              </w:rPr>
            </w:pPr>
            <w:r w:rsidRPr="00D02362">
              <w:rPr>
                <w:rStyle w:val="SpecialBold"/>
              </w:rPr>
              <w:t>PERFORMANCE CRITERIA</w:t>
            </w:r>
          </w:p>
        </w:tc>
      </w:tr>
      <w:tr w:rsidTr="00F20D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2362">
            <w:pPr>
              <w:pStyle w:val="List"/>
              <w:rPr>
                <w:lang w:val="en-NZ"/>
              </w:rPr>
            </w:pPr>
            <w:r w:rsidRPr="00D02362">
              <w:rPr>
                <w:rStyle w:val="SpecialBold"/>
              </w:rPr>
              <w:t>1</w:t>
            </w:r>
            <w:r w:rsidRPr="00D02362">
              <w:tab/>
            </w:r>
            <w:r w:rsidRPr="00D02362">
              <w:rPr>
                <w:rStyle w:val="SpecialBold"/>
              </w:rPr>
              <w:t>Prepare for pre-departure checks</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List"/>
            </w:pPr>
            <w:r w:rsidRPr="00D02362">
              <w:t>1.1</w:t>
            </w:r>
            <w:r w:rsidRPr="00D02362">
              <w:tab/>
              <w:t>Required checks and relevant procedures and standards are identified</w:t>
            </w:r>
          </w:p>
          <w:p w:rsidR="00000000" w:rsidRPr="00D02362" w:rsidP="00D02362">
            <w:pPr>
              <w:pStyle w:val="List"/>
            </w:pPr>
            <w:r w:rsidRPr="00D02362">
              <w:t>1.2</w:t>
            </w:r>
            <w:r w:rsidRPr="00D02362">
              <w:tab/>
              <w:t>Purpose of the journey and activities to be undertaken are identified</w:t>
            </w:r>
          </w:p>
          <w:p w:rsidR="00000000" w:rsidRPr="00D02362" w:rsidP="00D02362">
            <w:pPr>
              <w:pStyle w:val="List"/>
            </w:pPr>
            <w:r w:rsidRPr="00D02362">
              <w:t>1.3</w:t>
            </w:r>
            <w:r w:rsidRPr="00D02362">
              <w:tab/>
              <w:t xml:space="preserve">Constraints and special instructions that may apply for the journey are </w:t>
            </w:r>
            <w:r w:rsidRPr="00D02362">
              <w:t>identified</w:t>
            </w:r>
          </w:p>
          <w:p w:rsidR="00000000" w:rsidRPr="00D02362" w:rsidP="00D02362">
            <w:pPr>
              <w:pStyle w:val="List"/>
            </w:pPr>
            <w:r w:rsidRPr="00D02362">
              <w:t>1.4</w:t>
            </w:r>
            <w:r w:rsidRPr="00D02362">
              <w:tab/>
              <w:t>Documentation is read to identify and confirm consist, attach/detach information, loading information and characteristics of the train</w:t>
            </w:r>
          </w:p>
          <w:p w:rsidR="00000000" w:rsidP="00D02362">
            <w:pPr>
              <w:pStyle w:val="List"/>
              <w:rPr>
                <w:lang w:val="en-NZ"/>
              </w:rPr>
            </w:pPr>
            <w:r w:rsidRPr="00D02362">
              <w:t>1.5</w:t>
            </w:r>
            <w:r w:rsidRPr="00D02362">
              <w:tab/>
              <w:t>Where necessary, compliance with relevant regulatory and ADG Code requirements are identified</w:t>
            </w:r>
          </w:p>
        </w:tc>
      </w:tr>
      <w:tr w:rsidTr="00F20D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2362">
            <w:pPr>
              <w:pStyle w:val="List"/>
              <w:rPr>
                <w:lang w:val="en-NZ"/>
              </w:rPr>
            </w:pPr>
            <w:r w:rsidRPr="00D02362">
              <w:rPr>
                <w:rStyle w:val="SpecialBold"/>
              </w:rPr>
              <w:t>2</w:t>
            </w:r>
            <w:r w:rsidRPr="00D02362">
              <w:tab/>
            </w:r>
            <w:r w:rsidRPr="00D02362">
              <w:rPr>
                <w:rStyle w:val="SpecialBold"/>
              </w:rPr>
              <w:t>Imple</w:t>
            </w:r>
            <w:r w:rsidRPr="00D02362">
              <w:rPr>
                <w:rStyle w:val="SpecialBold"/>
              </w:rPr>
              <w:t>ment pre-departure checks</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List"/>
            </w:pPr>
            <w:r w:rsidRPr="00D02362">
              <w:t>2.1</w:t>
            </w:r>
            <w:r w:rsidRPr="00D02362">
              <w:tab/>
              <w:t>Motive power control systems are set up and checked in accordance with workplace policies and procedures</w:t>
            </w:r>
          </w:p>
          <w:p w:rsidR="00000000" w:rsidRPr="00D02362" w:rsidP="00D02362">
            <w:pPr>
              <w:pStyle w:val="List"/>
            </w:pPr>
            <w:r w:rsidRPr="00D02362">
              <w:t>2.2</w:t>
            </w:r>
            <w:r w:rsidRPr="00D02362">
              <w:tab/>
              <w:t>Train, or relevant portion of the train, is checked to ensure that rolling stock is coupled and sequenced correctly</w:t>
            </w:r>
          </w:p>
          <w:p w:rsidR="00000000" w:rsidRPr="00D02362" w:rsidP="00D02362">
            <w:pPr>
              <w:pStyle w:val="List"/>
            </w:pPr>
            <w:r w:rsidRPr="00D02362">
              <w:t>2</w:t>
            </w:r>
            <w:r w:rsidRPr="00D02362">
              <w:t>.3</w:t>
            </w:r>
            <w:r w:rsidRPr="00D02362">
              <w:tab/>
              <w:t>Train braking systems are applied and released to ensure they are operating effectively</w:t>
            </w:r>
          </w:p>
          <w:p w:rsidR="00000000" w:rsidRPr="00D02362" w:rsidP="00D02362">
            <w:pPr>
              <w:pStyle w:val="List"/>
            </w:pPr>
            <w:r w:rsidRPr="00D02362">
              <w:t>2.4</w:t>
            </w:r>
            <w:r w:rsidRPr="00D02362">
              <w:tab/>
              <w:t>Visual inspection is conducted to identify any obvious faults or defects that would prevent safe transit</w:t>
            </w:r>
          </w:p>
          <w:p w:rsidR="00000000" w:rsidRPr="00D02362" w:rsidP="00D02362">
            <w:pPr>
              <w:pStyle w:val="List"/>
            </w:pPr>
            <w:r w:rsidRPr="00D02362">
              <w:t>2.5</w:t>
            </w:r>
            <w:r w:rsidRPr="00D02362">
              <w:tab/>
              <w:t>Corrective action is taken to rectify faults and ens</w:t>
            </w:r>
            <w:r w:rsidRPr="00D02362">
              <w:t>ure minimum delay to planned running schedule</w:t>
            </w:r>
          </w:p>
          <w:p w:rsidR="00000000" w:rsidP="00D02362">
            <w:pPr>
              <w:pStyle w:val="List"/>
              <w:rPr>
                <w:lang w:val="en-NZ"/>
              </w:rPr>
            </w:pPr>
            <w:r w:rsidRPr="00D02362">
              <w:t>2.6</w:t>
            </w:r>
            <w:r w:rsidRPr="00D02362">
              <w:tab/>
              <w:t>Relevant OH&amp;S requirements are followed to prevent injury and damage</w:t>
            </w:r>
          </w:p>
        </w:tc>
      </w:tr>
      <w:tr w:rsidTr="00F20D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2362">
            <w:pPr>
              <w:pStyle w:val="List"/>
              <w:rPr>
                <w:lang w:val="en-NZ"/>
              </w:rPr>
            </w:pPr>
            <w:r w:rsidRPr="00D02362">
              <w:rPr>
                <w:rStyle w:val="SpecialBold"/>
              </w:rPr>
              <w:t>3</w:t>
            </w:r>
            <w:r w:rsidRPr="00D02362">
              <w:tab/>
            </w:r>
            <w:r w:rsidRPr="00D02362">
              <w:rPr>
                <w:rStyle w:val="SpecialBold"/>
              </w:rPr>
              <w:t>Confirm train is OK to proceed</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List"/>
            </w:pPr>
            <w:r w:rsidRPr="00D02362">
              <w:t>3.1</w:t>
            </w:r>
            <w:r w:rsidRPr="00D02362">
              <w:tab/>
              <w:t>Relevant personnel are promptly advised of the result of completed checks</w:t>
            </w:r>
          </w:p>
          <w:p w:rsidR="00000000" w:rsidRPr="00D02362" w:rsidP="00D02362">
            <w:pPr>
              <w:pStyle w:val="List"/>
            </w:pPr>
            <w:r w:rsidRPr="00D02362">
              <w:t>3.2</w:t>
            </w:r>
            <w:r w:rsidRPr="00D02362">
              <w:tab/>
            </w:r>
            <w:r w:rsidRPr="00D02362">
              <w:t>Authority to proceed relevant to the operational situation is obtained and followed</w:t>
            </w:r>
          </w:p>
        </w:tc>
      </w:tr>
    </w:tbl>
    <w:p w:rsidR="00F20D76" w:rsidP="00D02362">
      <w:pPr>
        <w:pStyle w:val="BodyText"/>
      </w:pPr>
    </w:p>
    <w:p w:rsidR="00F20D76" w:rsidP="00D02362">
      <w:pPr>
        <w:pStyle w:val="BodyText"/>
      </w:pPr>
    </w:p>
    <w:p w:rsidR="00000000" w:rsidRPr="00D02362" w:rsidP="00D02362">
      <w:pPr>
        <w:pStyle w:val="Heading1"/>
      </w:pPr>
      <w:bookmarkStart w:id="9" w:name="O_262470"/>
      <w:bookmarkEnd w:id="9"/>
      <w:r w:rsidRPr="00D02362">
        <w:t>Required Skills and Knowledge</w:t>
      </w:r>
    </w:p>
    <w:tbl>
      <w:tblPr>
        <w:tblW w:w="9640" w:type="dxa"/>
        <w:tblLayout w:type="fixed"/>
        <w:tblCellMar>
          <w:left w:w="62" w:type="dxa"/>
          <w:right w:w="62" w:type="dxa"/>
        </w:tblCellMar>
        <w:tblLook w:val="0000"/>
      </w:tblPr>
      <w:tblGrid>
        <w:gridCol w:w="9640"/>
      </w:tblGrid>
      <w:tr w:rsidTr="00F20D7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REQUIRED KNOWLEDGE AND SKILLS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This describes the essential knowledge and skills and their level required for this unit.</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Required knowledge</w:t>
            </w:r>
            <w:r w:rsidRPr="00D02362">
              <w:t>:</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Legislated rail safety requirements including acts and regulations from each applicable state and territory together with any nationally approved compliance codes and/or guidelines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Relevant OH&amp;S and environmental procedures and regulations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Procedures for preparing a train for operation</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Set-up procedures for equipment used in the control of trains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Pre-departure train testing procedures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Train preparation documentation procedure</w:t>
            </w:r>
            <w:r w:rsidRPr="00D02362">
              <w:t>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Communication procedures and protocols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Maintenance and servicing procedures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Procedures to be followed in the event of an emergency</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Train coupling equipment and methods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Safeworking systems and requirements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Safeworking procedures in electrified areas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Train characteristics and specifications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Relevant sections of the ADG Code and other dangerous goods regulations (for freight operations only)</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Contingency management processes for unexpected events</w:t>
            </w:r>
          </w:p>
        </w:tc>
      </w:tr>
    </w:tbl>
    <w:p w:rsidR="00000000" w:rsidRPr="00D02362" w:rsidP="00D02362">
      <w:pPr>
        <w:pStyle w:val="BodyText"/>
      </w:pPr>
    </w:p>
    <w:tbl>
      <w:tblPr>
        <w:tblW w:w="9640" w:type="dxa"/>
        <w:tblLayout w:type="fixed"/>
        <w:tblCellMar>
          <w:left w:w="62" w:type="dxa"/>
          <w:right w:w="62" w:type="dxa"/>
        </w:tblCellMar>
        <w:tblLook w:val="0000"/>
      </w:tblPr>
      <w:tblGrid>
        <w:gridCol w:w="9640"/>
      </w:tblGrid>
      <w:tr w:rsidTr="00F20D7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Required skills</w:t>
            </w:r>
            <w:r w:rsidRPr="00D02362">
              <w:t>:</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Communicate effectively with others when preparing a train for operation</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Read and interpret instructions, procedures, information and signs relevant to preparing a train for operation</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Interpret and follow operational instructions and</w:t>
            </w:r>
            <w:r w:rsidRPr="00D02362">
              <w:t xml:space="preserve"> prioritise work</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Complete documentation related to the preparation of a train for operation</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Operate electronic communication equipment to required protocol</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Work collaboratively with others when preparing a train for operation</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Promptly report and/or rectify any identified problems, faults or malfunctions when preparing a train for operation in accordance with regulatory requirements and workplace procedures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Implement contingency plans for unexpected events when preparing a tra</w:t>
            </w:r>
            <w:r w:rsidRPr="00D02362">
              <w:t>in for operation</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Apply precautions and required action to minimise, control or eliminate hazards that may exist during work activities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Monitor work activities in terms of planned schedule</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Modify activities depending on differing operational contingen</w:t>
            </w:r>
            <w:r w:rsidRPr="00D02362">
              <w:t>cies, risk situations and environments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Apply fatigue management knowledge and techniques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Work systematically with required attention to detail without injury to self or others, or damage to goods or equipment</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Operate and adapt to differences in equipment in accordance with standard operating procedures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Select and use required personal protective equipment conforming to industry and OH&amp;S standards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Set up and check train control systems</w:t>
            </w:r>
          </w:p>
        </w:tc>
      </w:tr>
      <w:tr w:rsidTr="00F20D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 xml:space="preserve">Test air continuity </w:t>
            </w:r>
            <w:r w:rsidRPr="00D02362">
              <w:t>and braking systems</w:t>
            </w:r>
          </w:p>
        </w:tc>
      </w:tr>
    </w:tbl>
    <w:p w:rsidR="00F20D76" w:rsidP="00D02362">
      <w:pPr>
        <w:pStyle w:val="BodyText"/>
      </w:pPr>
    </w:p>
    <w:p w:rsidR="00F20D76" w:rsidP="00D02362">
      <w:pPr>
        <w:pStyle w:val="BodyText"/>
      </w:pPr>
    </w:p>
    <w:p w:rsidR="00000000" w:rsidRPr="00D02362" w:rsidP="00D02362">
      <w:pPr>
        <w:pStyle w:val="Heading1"/>
      </w:pPr>
      <w:bookmarkStart w:id="10" w:name="O_246663"/>
      <w:bookmarkEnd w:id="10"/>
      <w:r w:rsidRPr="00D02362">
        <w:t>Evidence Guide</w:t>
      </w:r>
    </w:p>
    <w:tbl>
      <w:tblPr>
        <w:tblW w:w="9499" w:type="dxa"/>
        <w:tblLayout w:type="fixed"/>
        <w:tblCellMar>
          <w:left w:w="62" w:type="dxa"/>
          <w:right w:w="62" w:type="dxa"/>
        </w:tblCellMar>
        <w:tblLook w:val="0000"/>
      </w:tblPr>
      <w:tblGrid>
        <w:gridCol w:w="3524"/>
        <w:gridCol w:w="5975"/>
      </w:tblGrid>
      <w:tr w:rsidTr="00F20D7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EVIDENCE GUIDE</w:t>
            </w:r>
          </w:p>
        </w:tc>
      </w:tr>
      <w:tr w:rsidTr="00F20D7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 xml:space="preserve">The evidence guide provides advice on assessment and must be read in conjunction with the performance criteria, required knowledge and skills, </w:t>
            </w:r>
            <w:r w:rsidRPr="00D02362">
              <w:t>the range statement and the assessment guidelines for this Training Package.</w:t>
            </w:r>
          </w:p>
        </w:tc>
      </w:tr>
      <w:tr w:rsidTr="00F20D7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The evidence required to demonstrate competency in this unit must be relevant to an</w:t>
            </w:r>
            <w:r w:rsidRPr="00D02362">
              <w:t>d satisfy all of the requirements of the elements and performance criteria of this unit and include demonstration of applying:</w:t>
            </w:r>
          </w:p>
          <w:p w:rsidR="00000000" w:rsidRPr="00D02362" w:rsidP="00D02362">
            <w:pPr>
              <w:pStyle w:val="ListBullet2"/>
            </w:pPr>
            <w:r w:rsidRPr="00D02362">
              <w:t>the underpinning knowledge and skills</w:t>
            </w:r>
          </w:p>
          <w:p w:rsidR="00000000" w:rsidRPr="00D02362" w:rsidP="00D02362">
            <w:pPr>
              <w:pStyle w:val="ListBullet2"/>
            </w:pPr>
            <w:r w:rsidRPr="00D02362">
              <w:t>relevant legislation and workplace procedures</w:t>
            </w:r>
          </w:p>
          <w:p w:rsidR="00000000" w:rsidRPr="00D02362" w:rsidP="00D02362">
            <w:pPr>
              <w:pStyle w:val="ListBullet2"/>
            </w:pPr>
            <w:r w:rsidRPr="00D02362">
              <w:t>other relevant aspects of the range statement</w:t>
            </w:r>
          </w:p>
          <w:p w:rsidR="00000000" w:rsidRPr="00D02362" w:rsidP="00D02362">
            <w:pPr>
              <w:pStyle w:val="ListBullet"/>
            </w:pPr>
            <w:r w:rsidRPr="00D02362">
              <w:t>Assessment must include exercises which demonstrate competent performance of the following in a range of situations:</w:t>
            </w:r>
          </w:p>
          <w:p w:rsidR="00000000" w:rsidRPr="00D02362" w:rsidP="00D02362">
            <w:pPr>
              <w:pStyle w:val="ListBullet2"/>
            </w:pPr>
            <w:r w:rsidRPr="00D02362">
              <w:t>carrying out all pre-departure checks correctly</w:t>
            </w:r>
          </w:p>
          <w:p w:rsidR="00000000" w:rsidRPr="00D02362" w:rsidP="00D02362">
            <w:pPr>
              <w:pStyle w:val="ListBullet2"/>
            </w:pPr>
            <w:r w:rsidRPr="00D02362">
              <w:t>identifying typical faults or defects for t</w:t>
            </w:r>
            <w:r w:rsidRPr="00D02362">
              <w:t>he type of rolling stock being operated</w:t>
            </w:r>
          </w:p>
          <w:p w:rsidR="00000000" w:rsidP="00D02362">
            <w:pPr>
              <w:pStyle w:val="ListBullet2"/>
              <w:rPr>
                <w:lang w:val="en-NZ"/>
              </w:rPr>
            </w:pPr>
            <w:r w:rsidRPr="00D02362">
              <w:t>applying appropriate methods to overcome identified faults or defects</w:t>
            </w:r>
          </w:p>
        </w:tc>
      </w:tr>
      <w:tr w:rsidTr="00F20D7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 xml:space="preserve">Performance is demonstrated consistently over a period of time and in a suitable </w:t>
            </w:r>
            <w:r w:rsidRPr="00D02362">
              <w:t>range of contexts</w:t>
            </w:r>
          </w:p>
          <w:p w:rsidR="00000000" w:rsidRPr="00D02362" w:rsidP="00D02362">
            <w:pPr>
              <w:pStyle w:val="ListBullet"/>
            </w:pPr>
            <w:r w:rsidRPr="00D02362">
              <w:t>Resources for assessment include:</w:t>
            </w:r>
          </w:p>
          <w:p w:rsidR="00000000" w:rsidRPr="00D02362" w:rsidP="00D02362">
            <w:pPr>
              <w:pStyle w:val="ListBullet2"/>
            </w:pPr>
            <w:r w:rsidRPr="00D02362">
              <w:t>a range of relevant exercises, case studies and/or other simulated practical and knowledge assessment, and/or</w:t>
            </w:r>
          </w:p>
          <w:p w:rsidR="00000000" w:rsidRPr="00D02362" w:rsidP="00D02362">
            <w:pPr>
              <w:pStyle w:val="ListBullet2"/>
            </w:pPr>
            <w:r w:rsidRPr="00D02362">
              <w:t>access to an appropriate range of relevant operational situations in the workplace</w:t>
            </w:r>
          </w:p>
          <w:p w:rsidR="00000000" w:rsidRPr="00D02362" w:rsidP="00D02362">
            <w:pPr>
              <w:pStyle w:val="ListBullet"/>
            </w:pPr>
            <w:r w:rsidRPr="00D02362">
              <w:t>In both r</w:t>
            </w:r>
            <w:r w:rsidRPr="00D02362">
              <w:t>eal and simulated environments, access is required to:</w:t>
            </w:r>
          </w:p>
          <w:p w:rsidR="00000000" w:rsidRPr="00D02362" w:rsidP="00D02362">
            <w:pPr>
              <w:pStyle w:val="ListBullet2"/>
            </w:pPr>
            <w:r w:rsidRPr="00D02362">
              <w:t>relevant and appropriate materials and equipment, and</w:t>
            </w:r>
          </w:p>
          <w:p w:rsidR="00000000" w:rsidP="00D02362">
            <w:pPr>
              <w:pStyle w:val="ListBullet2"/>
              <w:rPr>
                <w:lang w:val="en-NZ"/>
              </w:rPr>
            </w:pPr>
            <w:r w:rsidRPr="00D02362">
              <w:t>applicable documentation including workplace procedures, regulations, codes of practice and operation manuals</w:t>
            </w:r>
          </w:p>
        </w:tc>
      </w:tr>
      <w:tr w:rsidTr="00F20D7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Assessment of this unit must be undertaken by a registered training organisation</w:t>
            </w:r>
          </w:p>
          <w:p w:rsidR="00000000" w:rsidRPr="00D02362" w:rsidP="00D02362">
            <w:pPr>
              <w:pStyle w:val="ListBullet"/>
            </w:pPr>
            <w:r w:rsidRPr="00D02362">
              <w:t>As a minimum, assessment of knowledge must be conducted through appropriate written/oral tests</w:t>
            </w:r>
          </w:p>
          <w:p w:rsidR="00000000" w:rsidRPr="00D02362" w:rsidP="00D02362">
            <w:pPr>
              <w:pStyle w:val="ListBullet"/>
            </w:pPr>
            <w:r w:rsidRPr="00D02362">
              <w:t>Practical assessment must occur:</w:t>
            </w:r>
          </w:p>
          <w:p w:rsidR="00000000" w:rsidRPr="00D02362" w:rsidP="00D02362">
            <w:pPr>
              <w:pStyle w:val="ListBullet2"/>
            </w:pPr>
            <w:r w:rsidRPr="00D02362">
              <w:t>through activities in an appropriately simulated environment, and/or</w:t>
            </w:r>
          </w:p>
          <w:p w:rsidR="00000000" w:rsidRPr="00D02362" w:rsidP="00D02362">
            <w:pPr>
              <w:pStyle w:val="ListBullet2"/>
            </w:pPr>
            <w:r w:rsidRPr="00D02362">
              <w:t>in an appropriate range of situations in the workplace</w:t>
            </w:r>
          </w:p>
        </w:tc>
      </w:tr>
    </w:tbl>
    <w:p w:rsidR="00F20D76" w:rsidP="00D02362">
      <w:pPr>
        <w:pStyle w:val="BodyText"/>
      </w:pPr>
    </w:p>
    <w:p w:rsidR="00F20D76" w:rsidP="00D02362">
      <w:pPr>
        <w:pStyle w:val="BodyText"/>
      </w:pPr>
    </w:p>
    <w:p w:rsidR="00000000" w:rsidRPr="00D02362" w:rsidP="00D02362">
      <w:pPr>
        <w:pStyle w:val="Heading1"/>
      </w:pPr>
      <w:bookmarkStart w:id="11" w:name="O_254646"/>
      <w:bookmarkEnd w:id="11"/>
      <w:r w:rsidRPr="00D02362">
        <w:t>Range Statement</w:t>
      </w:r>
    </w:p>
    <w:tbl>
      <w:tblPr>
        <w:tblW w:w="9640" w:type="dxa"/>
        <w:tblLayout w:type="fixed"/>
        <w:tblCellMar>
          <w:left w:w="62" w:type="dxa"/>
          <w:right w:w="62" w:type="dxa"/>
        </w:tblCellMar>
        <w:tblLook w:val="0000"/>
      </w:tblPr>
      <w:tblGrid>
        <w:gridCol w:w="3486"/>
        <w:gridCol w:w="6154"/>
      </w:tblGrid>
      <w:tr w:rsidTr="00F20D7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RANGE STATEMENT</w:t>
            </w:r>
            <w:r w:rsidRPr="00D02362">
              <w:t xml:space="preserve"> </w:t>
            </w:r>
          </w:p>
        </w:tc>
      </w:tr>
      <w:tr w:rsidTr="00F20D7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The range statement relates to the unit of competency as a whole. It allows for different work environments and situations that may affect performance.</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Operations conducted:</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by day or night</w:t>
            </w:r>
          </w:p>
          <w:p w:rsidR="00000000" w:rsidP="00D02362">
            <w:pPr>
              <w:pStyle w:val="ListBullet"/>
              <w:rPr>
                <w:lang w:val="en-NZ"/>
              </w:rPr>
            </w:pPr>
            <w:r w:rsidRPr="00D02362">
              <w:t>in all relevant weather conditions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Motive power units may include all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diesel locomotives</w:t>
            </w:r>
          </w:p>
          <w:p w:rsidR="00000000" w:rsidRPr="00D02362" w:rsidP="00D02362">
            <w:pPr>
              <w:pStyle w:val="ListBullet"/>
            </w:pPr>
            <w:r w:rsidRPr="00D02362">
              <w:t>electric locomotives</w:t>
            </w:r>
          </w:p>
          <w:p w:rsidR="00000000" w:rsidRPr="00D02362" w:rsidP="00D02362">
            <w:pPr>
              <w:pStyle w:val="ListBullet"/>
            </w:pPr>
            <w:r w:rsidRPr="00D02362">
              <w:t>railcars</w:t>
            </w:r>
          </w:p>
          <w:p w:rsidR="00000000" w:rsidP="00D02362">
            <w:pPr>
              <w:pStyle w:val="ListBullet"/>
              <w:rPr>
                <w:lang w:val="en-NZ"/>
              </w:rPr>
            </w:pPr>
            <w:r w:rsidRPr="00D02362">
              <w:t>multiple units (including electric multiple units)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Rolling stock may include:</w:t>
            </w:r>
          </w:p>
        </w:tc>
        <w:tc>
          <w:tcPr>
            <w:tcW w:w="6154" w:type="dxa"/>
            <w:tcBorders>
              <w:top w:val="nil"/>
              <w:left w:val="nil"/>
              <w:bottom w:val="nil"/>
              <w:right w:val="nil"/>
            </w:tcBorders>
            <w:tcMar>
              <w:top w:w="0" w:type="dxa"/>
              <w:left w:w="62" w:type="dxa"/>
              <w:bottom w:w="0" w:type="dxa"/>
              <w:right w:w="62" w:type="dxa"/>
            </w:tcMar>
          </w:tcPr>
          <w:p w:rsidR="00000000" w:rsidP="00D02362">
            <w:pPr>
              <w:pStyle w:val="ListBullet"/>
              <w:rPr>
                <w:lang w:val="en-NZ"/>
              </w:rPr>
            </w:pPr>
            <w:r w:rsidRPr="00D02362">
              <w:t>all rolling s</w:t>
            </w:r>
            <w:r w:rsidRPr="00D02362">
              <w:t>tock in service within Australian rail systems including both passenger cars and freight rolling stock</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Train consists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correct coupling and sequencing of train requires that couplings are locked in place and flexible connections between rolli</w:t>
            </w:r>
            <w:r w:rsidRPr="00D02362">
              <w:t>ng stock are made</w:t>
            </w:r>
          </w:p>
          <w:p w:rsidR="00000000" w:rsidRPr="00D02362" w:rsidP="00D02362">
            <w:pPr>
              <w:pStyle w:val="ListBullet"/>
            </w:pPr>
            <w:r w:rsidRPr="00D02362">
              <w:t>positioning and set-up of remote control equipment is correct</w:t>
            </w:r>
          </w:p>
          <w:p w:rsidR="00000000" w:rsidP="00D02362">
            <w:pPr>
              <w:pStyle w:val="ListBullet"/>
              <w:rPr>
                <w:lang w:val="en-NZ"/>
              </w:rPr>
            </w:pPr>
            <w:r w:rsidRPr="00D02362">
              <w:t>the separation of dangerous goods complies with ADG Code and regulatory requirements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Visual inspections to identify obvious faults/defects may include checking:</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wheels and braking equipment for signs of wear or damage</w:t>
            </w:r>
          </w:p>
          <w:p w:rsidR="00000000" w:rsidRPr="00D02362" w:rsidP="00D02362">
            <w:pPr>
              <w:pStyle w:val="ListBullet"/>
            </w:pPr>
            <w:r w:rsidRPr="00D02362">
              <w:t>flexible connections and fittings for signs of wear or damage</w:t>
            </w:r>
          </w:p>
          <w:p w:rsidR="00000000" w:rsidRPr="00D02362" w:rsidP="00D02362">
            <w:pPr>
              <w:pStyle w:val="ListBullet"/>
            </w:pPr>
            <w:r w:rsidRPr="00D02362">
              <w:t>couplings for signs of wear or damage</w:t>
            </w:r>
          </w:p>
          <w:p w:rsidR="00000000" w:rsidRPr="00D02362" w:rsidP="00D02362">
            <w:pPr>
              <w:pStyle w:val="ListBullet"/>
            </w:pPr>
            <w:r w:rsidRPr="00D02362">
              <w:t>fuel, oil, water and coolant levels</w:t>
            </w:r>
          </w:p>
          <w:p w:rsidR="00000000" w:rsidRPr="00D02362" w:rsidP="00D02362">
            <w:pPr>
              <w:pStyle w:val="ListBullet"/>
            </w:pPr>
            <w:r w:rsidRPr="00D02362">
              <w:t>air system for leaks</w:t>
            </w:r>
          </w:p>
          <w:p w:rsidR="00000000" w:rsidRPr="00D02362" w:rsidP="00D02362">
            <w:pPr>
              <w:pStyle w:val="ListBullet"/>
            </w:pPr>
            <w:r w:rsidRPr="00D02362">
              <w:t>electrical equipment</w:t>
            </w:r>
          </w:p>
          <w:p w:rsidR="00000000" w:rsidRPr="00D02362" w:rsidP="00D02362">
            <w:pPr>
              <w:pStyle w:val="ListBullet"/>
            </w:pPr>
            <w:r w:rsidRPr="00D02362">
              <w:t>pantographs</w:t>
            </w:r>
          </w:p>
          <w:p w:rsidR="00000000" w:rsidP="00D02362">
            <w:pPr>
              <w:pStyle w:val="ListBullet"/>
              <w:rPr>
                <w:lang w:val="en-NZ"/>
              </w:rPr>
            </w:pPr>
            <w:r w:rsidRPr="00D02362">
              <w:t>emergency</w:t>
            </w:r>
            <w:r w:rsidRPr="00D02362">
              <w:t xml:space="preserve"> and safety equipment such as vigilance control and deadman relays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maintenance personnel</w:t>
            </w:r>
          </w:p>
          <w:p w:rsidR="00000000" w:rsidRPr="00D02362" w:rsidP="00D02362">
            <w:pPr>
              <w:pStyle w:val="ListBullet"/>
            </w:pPr>
            <w:r w:rsidRPr="00D02362">
              <w:t>yard, station and other operational personnel</w:t>
            </w:r>
          </w:p>
          <w:p w:rsidR="00000000" w:rsidRPr="00D02362" w:rsidP="00D02362">
            <w:pPr>
              <w:pStyle w:val="ListBullet"/>
            </w:pPr>
            <w:r w:rsidRPr="00D02362">
              <w:t>train controllers and signallers</w:t>
            </w:r>
          </w:p>
          <w:p w:rsidR="00000000" w:rsidRPr="00D02362" w:rsidP="00D02362">
            <w:pPr>
              <w:pStyle w:val="ListBullet"/>
            </w:pPr>
            <w:r w:rsidRPr="00D02362">
              <w:t>train crews</w:t>
            </w:r>
          </w:p>
          <w:p w:rsidR="00000000" w:rsidRPr="00D02362" w:rsidP="00D02362">
            <w:pPr>
              <w:pStyle w:val="ListBullet"/>
            </w:pPr>
            <w:r w:rsidRPr="00D02362">
              <w:t>depot coordinators</w:t>
            </w:r>
          </w:p>
          <w:p w:rsidR="00000000" w:rsidP="00D02362">
            <w:pPr>
              <w:pStyle w:val="ListBullet"/>
              <w:rPr>
                <w:lang w:val="en-NZ"/>
              </w:rPr>
            </w:pPr>
            <w:r w:rsidRPr="00D02362">
              <w:t>hand-over crew</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written, including signed communications, lists and forms</w:t>
            </w:r>
          </w:p>
          <w:p w:rsidR="00000000" w:rsidRPr="00D02362" w:rsidP="00D02362">
            <w:pPr>
              <w:pStyle w:val="ListBullet"/>
            </w:pPr>
            <w:r w:rsidRPr="00D02362">
              <w:t>verbal</w:t>
            </w:r>
          </w:p>
          <w:p w:rsidR="00000000" w:rsidRPr="00D02362" w:rsidP="00D02362">
            <w:pPr>
              <w:pStyle w:val="ListBullet"/>
            </w:pPr>
            <w:r w:rsidRPr="00D02362">
              <w:t>line-of-sight signals</w:t>
            </w:r>
          </w:p>
          <w:p w:rsidR="00000000" w:rsidRPr="00D02362" w:rsidP="00D02362">
            <w:pPr>
              <w:pStyle w:val="ListBullet"/>
            </w:pPr>
            <w:r w:rsidRPr="00D02362">
              <w:t>radio</w:t>
            </w:r>
          </w:p>
          <w:p w:rsidR="00000000" w:rsidP="00D02362">
            <w:pPr>
              <w:pStyle w:val="ListBullet"/>
              <w:rPr>
                <w:lang w:val="en-NZ"/>
              </w:rPr>
            </w:pPr>
            <w:r w:rsidRPr="00D02362">
              <w:t>fixed and mobile telephones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high visibility clothing</w:t>
            </w:r>
          </w:p>
          <w:p w:rsidR="00000000" w:rsidRPr="00D02362" w:rsidP="00D02362">
            <w:pPr>
              <w:pStyle w:val="ListBullet"/>
            </w:pPr>
            <w:r w:rsidRPr="00D02362">
              <w:t>gloves</w:t>
            </w:r>
          </w:p>
          <w:p w:rsidR="00000000" w:rsidRPr="00D02362" w:rsidP="00D02362">
            <w:pPr>
              <w:pStyle w:val="ListBullet"/>
            </w:pPr>
            <w:r w:rsidRPr="00D02362">
              <w:t>sunscreen and sungla</w:t>
            </w:r>
            <w:r w:rsidRPr="00D02362">
              <w:t>sses</w:t>
            </w:r>
          </w:p>
          <w:p w:rsidR="00000000" w:rsidRPr="00D02362" w:rsidP="00D02362">
            <w:pPr>
              <w:pStyle w:val="ListBullet"/>
            </w:pPr>
            <w:r w:rsidRPr="00D02362">
              <w:t>safety glasses</w:t>
            </w:r>
          </w:p>
          <w:p w:rsidR="00000000" w:rsidRPr="00D02362" w:rsidP="00D02362">
            <w:pPr>
              <w:pStyle w:val="ListBullet"/>
            </w:pPr>
            <w:r w:rsidRPr="00D02362">
              <w:t>insect repellent</w:t>
            </w:r>
          </w:p>
          <w:p w:rsidR="00000000" w:rsidRPr="00D02362" w:rsidP="00D02362">
            <w:pPr>
              <w:pStyle w:val="ListBullet"/>
            </w:pPr>
            <w:r w:rsidRPr="00D02362">
              <w:t>safety headwear and footwear</w:t>
            </w:r>
          </w:p>
          <w:p w:rsidR="00000000" w:rsidRPr="00D02362" w:rsidP="00D02362">
            <w:pPr>
              <w:pStyle w:val="ListBullet"/>
            </w:pPr>
            <w:r w:rsidRPr="00D02362">
              <w:t>portable radios</w:t>
            </w:r>
          </w:p>
          <w:p w:rsidR="00000000" w:rsidRPr="00D02362" w:rsidP="00D02362">
            <w:pPr>
              <w:pStyle w:val="ListBullet"/>
            </w:pPr>
            <w:r w:rsidRPr="00D02362">
              <w:t>mobile/satellite phones</w:t>
            </w:r>
          </w:p>
          <w:p w:rsidR="00000000" w:rsidRPr="00D02362" w:rsidP="00D02362">
            <w:pPr>
              <w:pStyle w:val="ListBullet"/>
            </w:pPr>
            <w:r w:rsidRPr="00D02362">
              <w:t>hand lamps</w:t>
            </w:r>
          </w:p>
          <w:p w:rsidR="00000000" w:rsidRPr="00D02362" w:rsidP="00D02362">
            <w:pPr>
              <w:pStyle w:val="ListBullet"/>
            </w:pPr>
            <w:r w:rsidRPr="00D02362">
              <w:t>flags</w:t>
            </w:r>
          </w:p>
          <w:p w:rsidR="00000000" w:rsidRPr="00D02362" w:rsidP="00D02362">
            <w:pPr>
              <w:pStyle w:val="ListBullet"/>
            </w:pPr>
            <w:r w:rsidRPr="00D02362">
              <w:t>safety devices</w:t>
            </w:r>
          </w:p>
          <w:p w:rsidR="00000000" w:rsidP="00D02362">
            <w:pPr>
              <w:pStyle w:val="ListBullet"/>
              <w:rPr>
                <w:lang w:val="en-NZ"/>
              </w:rPr>
            </w:pPr>
            <w:r w:rsidRPr="00D02362">
              <w:t>hearing protection</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company procedures</w:t>
            </w:r>
          </w:p>
          <w:p w:rsidR="00000000" w:rsidRPr="00D02362" w:rsidP="00D02362">
            <w:pPr>
              <w:pStyle w:val="ListBullet"/>
            </w:pPr>
            <w:r w:rsidRPr="00D02362">
              <w:t>enterprise procedures</w:t>
            </w:r>
          </w:p>
          <w:p w:rsidR="00000000" w:rsidRPr="00D02362" w:rsidP="00D02362">
            <w:pPr>
              <w:pStyle w:val="ListBullet"/>
            </w:pPr>
            <w:r w:rsidRPr="00D02362">
              <w:t>organisational procedures</w:t>
            </w:r>
          </w:p>
          <w:p w:rsidR="00000000" w:rsidP="00D02362">
            <w:pPr>
              <w:pStyle w:val="ListBullet"/>
              <w:rPr>
                <w:lang w:val="en-NZ"/>
              </w:rPr>
            </w:pPr>
            <w:r w:rsidRPr="00D02362">
              <w:t>established procedures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the Code of Practice for the Defined Interstate Rail Network in situations where operations are carried out on that network</w:t>
            </w:r>
          </w:p>
          <w:p w:rsidR="00000000" w:rsidRPr="00D02362" w:rsidP="00D02362">
            <w:pPr>
              <w:pStyle w:val="ListBullet"/>
            </w:pPr>
            <w:r w:rsidRPr="00D02362">
              <w:t>workplace procedures and instructions and job specification</w:t>
            </w:r>
          </w:p>
          <w:p w:rsidR="00000000" w:rsidRPr="00D02362" w:rsidP="00D02362">
            <w:pPr>
              <w:pStyle w:val="ListBullet"/>
            </w:pPr>
            <w:r w:rsidRPr="00D02362">
              <w:t>induction and training materials</w:t>
            </w:r>
          </w:p>
          <w:p w:rsidR="00000000" w:rsidRPr="00D02362" w:rsidP="00D02362">
            <w:pPr>
              <w:pStyle w:val="ListBullet"/>
            </w:pPr>
            <w:r w:rsidRPr="00D02362">
              <w:t>train consists</w:t>
            </w:r>
          </w:p>
          <w:p w:rsidR="00000000" w:rsidRPr="00D02362" w:rsidP="00D02362">
            <w:pPr>
              <w:pStyle w:val="ListBullet"/>
            </w:pPr>
            <w:r w:rsidRPr="00D02362">
              <w:t>train notices</w:t>
            </w:r>
          </w:p>
          <w:p w:rsidR="00000000" w:rsidRPr="00D02362" w:rsidP="00D02362">
            <w:pPr>
              <w:pStyle w:val="ListBullet"/>
            </w:pPr>
            <w:r w:rsidRPr="00D02362">
              <w:t>out-of-gau</w:t>
            </w:r>
            <w:r w:rsidRPr="00D02362">
              <w:t>ge notices</w:t>
            </w:r>
          </w:p>
          <w:p w:rsidR="00000000" w:rsidRPr="00D02362" w:rsidP="00D02362">
            <w:pPr>
              <w:pStyle w:val="ListBullet"/>
            </w:pPr>
            <w:r w:rsidRPr="00D02362">
              <w:t>dangerous goods manifests</w:t>
            </w:r>
          </w:p>
          <w:p w:rsidR="00000000" w:rsidRPr="00D02362" w:rsidP="00D02362">
            <w:pPr>
              <w:pStyle w:val="ListBullet"/>
            </w:pPr>
            <w:r w:rsidRPr="00D02362">
              <w:t>brake certification</w:t>
            </w:r>
          </w:p>
          <w:p w:rsidR="00000000" w:rsidRPr="00D02362" w:rsidP="00D02362">
            <w:pPr>
              <w:pStyle w:val="ListBullet"/>
            </w:pPr>
            <w:r w:rsidRPr="00D02362">
              <w:t>load/passenger manifests</w:t>
            </w:r>
          </w:p>
          <w:p w:rsidR="00000000" w:rsidRPr="00D02362" w:rsidP="00D02362">
            <w:pPr>
              <w:pStyle w:val="ListBullet"/>
            </w:pPr>
            <w:r w:rsidRPr="00D02362">
              <w:t>OH&amp;S and environmental protection legislation, codes of practice, policies and procedures</w:t>
            </w:r>
          </w:p>
          <w:p w:rsidR="00000000" w:rsidRPr="00D02362" w:rsidP="00D02362">
            <w:pPr>
              <w:pStyle w:val="ListBullet"/>
            </w:pPr>
            <w:r w:rsidRPr="00D02362">
              <w:t>maintenance specifications</w:t>
            </w:r>
          </w:p>
          <w:p w:rsidR="00000000" w:rsidRPr="00D02362" w:rsidP="00D02362">
            <w:pPr>
              <w:pStyle w:val="ListBullet"/>
            </w:pPr>
            <w:r w:rsidRPr="00D02362">
              <w:t>local instructions</w:t>
            </w:r>
          </w:p>
          <w:p w:rsidR="00000000" w:rsidRPr="00D02362" w:rsidP="00D02362">
            <w:pPr>
              <w:pStyle w:val="ListBullet"/>
            </w:pPr>
            <w:r w:rsidRPr="00D02362">
              <w:t>two-way radio operation procedures</w:t>
            </w:r>
          </w:p>
          <w:p w:rsidR="00000000" w:rsidRPr="00D02362" w:rsidP="00D02362">
            <w:pPr>
              <w:pStyle w:val="ListBullet"/>
            </w:pPr>
            <w:r w:rsidRPr="00D02362">
              <w:t>emergency procedure manuals</w:t>
            </w:r>
          </w:p>
          <w:p w:rsidR="00000000" w:rsidRPr="00D02362" w:rsidP="00D02362">
            <w:pPr>
              <w:pStyle w:val="ListBullet"/>
            </w:pPr>
            <w:r w:rsidRPr="00D02362">
              <w:t>manufacturers specifications</w:t>
            </w:r>
          </w:p>
          <w:p w:rsidR="00000000" w:rsidRPr="00D02362" w:rsidP="00D02362">
            <w:pPr>
              <w:pStyle w:val="ListBullet"/>
            </w:pPr>
            <w:r w:rsidRPr="00D02362">
              <w:t>equipment operations manuals</w:t>
            </w:r>
          </w:p>
          <w:p w:rsidR="00000000" w:rsidP="00D02362">
            <w:pPr>
              <w:pStyle w:val="ListBullet"/>
              <w:rPr>
                <w:lang w:val="en-NZ"/>
              </w:rPr>
            </w:pPr>
            <w:r w:rsidRPr="00D02362">
              <w:t>conditions of service, legislation and industrial agreements including workplace agreements and awards</w:t>
            </w:r>
          </w:p>
        </w:tc>
      </w:tr>
      <w:tr w:rsidTr="00F20D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02362" w:rsidP="00D02362">
            <w:pPr>
              <w:pStyle w:val="ListBullet"/>
            </w:pPr>
            <w:r w:rsidRPr="00D02362">
              <w:t>legislated ra</w:t>
            </w:r>
            <w:r w:rsidRPr="00D02362">
              <w:t>il safety requirements including acts and regulations from each applicable state and territory together with any nationally approved compliance codes and/or guidelines</w:t>
            </w:r>
          </w:p>
          <w:p w:rsidR="00000000" w:rsidRPr="00D02362" w:rsidP="00D02362">
            <w:pPr>
              <w:pStyle w:val="ListBullet"/>
            </w:pPr>
            <w:r w:rsidRPr="00D02362">
              <w:t>relevant Australian standards including AS 4292</w:t>
            </w:r>
          </w:p>
          <w:p w:rsidR="00000000" w:rsidRPr="00D02362" w:rsidP="00D02362">
            <w:pPr>
              <w:pStyle w:val="ListBullet"/>
            </w:pPr>
            <w:r w:rsidRPr="00D02362">
              <w:t>relevant state/territory OH&amp;S legislatio</w:t>
            </w:r>
            <w:r w:rsidRPr="00D02362">
              <w:t>n</w:t>
            </w:r>
          </w:p>
          <w:p w:rsidR="00000000" w:rsidRPr="00D02362" w:rsidP="00D02362">
            <w:pPr>
              <w:pStyle w:val="ListBullet"/>
            </w:pPr>
            <w:r w:rsidRPr="00D02362">
              <w:t>relevant state/territory environmental protection legislation</w:t>
            </w:r>
          </w:p>
        </w:tc>
      </w:tr>
    </w:tbl>
    <w:p w:rsidR="00F20D76" w:rsidP="00D02362">
      <w:pPr>
        <w:pStyle w:val="BodyText"/>
      </w:pPr>
    </w:p>
    <w:p w:rsidR="00F20D76" w:rsidP="00D02362">
      <w:pPr>
        <w:pStyle w:val="BodyText"/>
      </w:pPr>
    </w:p>
    <w:p w:rsidR="00000000" w:rsidRPr="00D02362" w:rsidP="00D02362">
      <w:pPr>
        <w:pStyle w:val="Heading1"/>
      </w:pPr>
      <w:bookmarkStart w:id="12" w:name="O_295659"/>
      <w:bookmarkEnd w:id="12"/>
      <w:r w:rsidRPr="00D02362">
        <w:t>Unit Sector(s)</w:t>
      </w:r>
    </w:p>
    <w:p w:rsidR="00000000" w:rsidRPr="00D02362" w:rsidP="00D02362">
      <w:pPr>
        <w:pStyle w:val="BodyText"/>
      </w:pPr>
      <w:r w:rsidRPr="00D02362">
        <w:t>Not Applicable</w:t>
      </w:r>
    </w:p>
    <w:p w:rsidR="00000000" w:rsidRPr="00D02362" w:rsidP="00D02362">
      <w:pPr>
        <w:pStyle w:val="AllowPageBreak"/>
      </w:pPr>
    </w:p>
    <w:p w:rsidR="00000000" w:rsidRPr="00D02362" w:rsidP="00D02362">
      <w:pPr>
        <w:pStyle w:val="Heading1"/>
      </w:pPr>
      <w:bookmarkStart w:id="13" w:name="O_222937"/>
      <w:bookmarkEnd w:id="13"/>
      <w:r w:rsidRPr="00D02362">
        <w:t>Competency Field</w:t>
      </w:r>
    </w:p>
    <w:tbl>
      <w:tblPr>
        <w:tblW w:w="9640" w:type="dxa"/>
        <w:tblLayout w:type="fixed"/>
        <w:tblCellMar>
          <w:left w:w="62" w:type="dxa"/>
          <w:right w:w="62" w:type="dxa"/>
        </w:tblCellMar>
        <w:tblLook w:val="0000"/>
      </w:tblPr>
      <w:tblGrid>
        <w:gridCol w:w="2978"/>
        <w:gridCol w:w="6662"/>
      </w:tblGrid>
      <w:tr w:rsidTr="00F20D7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02362">
            <w:pPr>
              <w:pStyle w:val="BodyText"/>
              <w:rPr>
                <w:lang w:val="en-NZ"/>
              </w:rPr>
            </w:pPr>
            <w:r w:rsidRPr="00D02362">
              <w:rPr>
                <w:rStyle w:val="SpecialBold"/>
              </w:rPr>
              <w:t>Competency Field</w:t>
            </w:r>
            <w:r w:rsidRPr="00D02362">
              <w:t xml:space="preserve"> </w:t>
            </w:r>
          </w:p>
        </w:tc>
        <w:tc>
          <w:tcPr>
            <w:tcW w:w="6662" w:type="dxa"/>
            <w:tcBorders>
              <w:top w:val="nil"/>
              <w:left w:val="nil"/>
              <w:bottom w:val="nil"/>
              <w:right w:val="nil"/>
            </w:tcBorders>
            <w:tcMar>
              <w:top w:w="0" w:type="dxa"/>
              <w:left w:w="62" w:type="dxa"/>
              <w:bottom w:w="0" w:type="dxa"/>
              <w:right w:w="62" w:type="dxa"/>
            </w:tcMar>
          </w:tcPr>
          <w:p w:rsidR="00000000" w:rsidRPr="00D02362" w:rsidP="00D02362">
            <w:pPr>
              <w:pStyle w:val="BodyText"/>
            </w:pPr>
            <w:r w:rsidRPr="00D02362">
              <w:t>B - Equipment Checking and Maintenance</w:t>
            </w:r>
          </w:p>
        </w:tc>
      </w:tr>
    </w:tbl>
    <w:p w:rsidR="00F20D76" w:rsidP="00D02362">
      <w:pPr>
        <w:pStyle w:val="BodyText"/>
      </w:pPr>
    </w:p>
    <w:p w:rsidR="00F20D76" w:rsidP="00D02362">
      <w:pPr>
        <w:pStyle w:val="BodyText"/>
      </w:pPr>
    </w:p>
    <w:p w:rsidR="00000000" w:rsidRPr="00D02362" w:rsidP="00D02362"/>
    <w:sectPr w:rsidSect="00D02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D76" w:rsidP="00F20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76" w:rsidP="00D0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0D76" w:rsidP="00D023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20D76" w:rsidP="00D023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D76" w:rsidP="00F20D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76" w:rsidP="00D02362">
    <w:pPr>
      <w:pStyle w:val="Header"/>
      <w:framePr w:wrap="around"/>
    </w:pPr>
    <w:r>
      <w:fldChar w:fldCharType="begin"/>
    </w:r>
    <w:r>
      <w:instrText xml:space="preserve"> TITLE   \* MERGEFORMAT </w:instrText>
    </w:r>
    <w:r>
      <w:fldChar w:fldCharType="separate"/>
    </w:r>
    <w:r>
      <w:t>TLIB3026A Prepare for train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0D76" w:rsidP="00D023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F4C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24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F45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3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2362"/>
    <w:pPr>
      <w:spacing w:before="360" w:after="60"/>
      <w:outlineLvl w:val="0"/>
    </w:pPr>
    <w:rPr>
      <w:sz w:val="32"/>
    </w:rPr>
  </w:style>
  <w:style w:type="paragraph" w:styleId="Heading2">
    <w:name w:val="heading 2"/>
    <w:basedOn w:val="HeadingBase"/>
    <w:next w:val="BodyText"/>
    <w:link w:val="Heading2Char"/>
    <w:qFormat/>
    <w:rsid w:val="00D02362"/>
    <w:pPr>
      <w:keepLines/>
      <w:spacing w:before="240" w:after="120"/>
      <w:outlineLvl w:val="1"/>
    </w:pPr>
    <w:rPr>
      <w:sz w:val="28"/>
      <w:szCs w:val="40"/>
    </w:rPr>
  </w:style>
  <w:style w:type="paragraph" w:styleId="Heading3">
    <w:name w:val="heading 3"/>
    <w:basedOn w:val="HeadingBase"/>
    <w:next w:val="BodyText"/>
    <w:link w:val="Heading3Char"/>
    <w:qFormat/>
    <w:rsid w:val="00D02362"/>
    <w:pPr>
      <w:spacing w:before="180" w:after="120"/>
      <w:outlineLvl w:val="2"/>
    </w:pPr>
    <w:rPr>
      <w:spacing w:val="-10"/>
      <w:kern w:val="32"/>
    </w:rPr>
  </w:style>
  <w:style w:type="paragraph" w:styleId="Heading4">
    <w:name w:val="heading 4"/>
    <w:basedOn w:val="HeadingBase"/>
    <w:next w:val="BodyText"/>
    <w:link w:val="Heading4Char"/>
    <w:qFormat/>
    <w:rsid w:val="00D02362"/>
    <w:pPr>
      <w:spacing w:before="160" w:after="120"/>
      <w:outlineLvl w:val="3"/>
    </w:pPr>
    <w:rPr>
      <w:sz w:val="22"/>
    </w:rPr>
  </w:style>
  <w:style w:type="paragraph" w:styleId="Heading5">
    <w:name w:val="heading 5"/>
    <w:basedOn w:val="HeadingBase"/>
    <w:next w:val="Normal"/>
    <w:link w:val="Heading5Char"/>
    <w:qFormat/>
    <w:rsid w:val="00D02362"/>
    <w:pPr>
      <w:spacing w:before="80"/>
      <w:outlineLvl w:val="4"/>
    </w:pPr>
    <w:rPr>
      <w:color w:val="918585"/>
      <w:sz w:val="20"/>
    </w:rPr>
  </w:style>
  <w:style w:type="paragraph" w:styleId="Heading6">
    <w:name w:val="heading 6"/>
    <w:basedOn w:val="HeadingBase"/>
    <w:next w:val="Normal"/>
    <w:link w:val="Heading6Char"/>
    <w:qFormat/>
    <w:rsid w:val="00D02362"/>
    <w:pPr>
      <w:spacing w:before="60"/>
      <w:outlineLvl w:val="5"/>
    </w:pPr>
    <w:rPr>
      <w:color w:val="918585"/>
      <w:sz w:val="20"/>
    </w:rPr>
  </w:style>
  <w:style w:type="paragraph" w:styleId="Heading7">
    <w:name w:val="heading 7"/>
    <w:basedOn w:val="Normal"/>
    <w:next w:val="Normal"/>
    <w:link w:val="Heading7Char"/>
    <w:qFormat/>
    <w:rsid w:val="00D02362"/>
    <w:pPr>
      <w:ind w:left="720"/>
      <w:outlineLvl w:val="6"/>
    </w:pPr>
    <w:rPr>
      <w:i/>
    </w:rPr>
  </w:style>
  <w:style w:type="paragraph" w:styleId="Heading8">
    <w:name w:val="heading 8"/>
    <w:basedOn w:val="Normal"/>
    <w:next w:val="Normal"/>
    <w:link w:val="Heading8Char"/>
    <w:qFormat/>
    <w:rsid w:val="00D02362"/>
    <w:pPr>
      <w:ind w:left="720"/>
      <w:outlineLvl w:val="7"/>
    </w:pPr>
    <w:rPr>
      <w:i/>
    </w:rPr>
  </w:style>
  <w:style w:type="paragraph" w:styleId="Heading9">
    <w:name w:val="heading 9"/>
    <w:basedOn w:val="Normal"/>
    <w:next w:val="Normal"/>
    <w:link w:val="Heading9Char"/>
    <w:qFormat/>
    <w:rsid w:val="00D02362"/>
    <w:pPr>
      <w:ind w:left="720"/>
      <w:outlineLvl w:val="8"/>
    </w:pPr>
    <w:rPr>
      <w:i/>
    </w:rPr>
  </w:style>
  <w:style w:type="character" w:default="1" w:styleId="DefaultParagraphFont">
    <w:name w:val="Default Paragraph Font"/>
    <w:uiPriority w:val="1"/>
    <w:unhideWhenUsed/>
    <w:rsid w:val="00D0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362"/>
  </w:style>
  <w:style w:type="character" w:customStyle="1" w:styleId="Heading1Char">
    <w:name w:val="Heading 1 Char"/>
    <w:link w:val="Heading1"/>
    <w:rsid w:val="00D02362"/>
    <w:rPr>
      <w:rFonts w:ascii="Times New Roman" w:eastAsia="Times New Roman" w:hAnsi="Times New Roman" w:cs="Times New Roman"/>
      <w:b/>
      <w:sz w:val="32"/>
      <w:szCs w:val="20"/>
      <w:lang w:eastAsia="en-US"/>
    </w:rPr>
  </w:style>
  <w:style w:type="paragraph" w:styleId="BodyText">
    <w:name w:val="Body Text"/>
    <w:basedOn w:val="Normal"/>
    <w:link w:val="BodyTextChar"/>
    <w:rsid w:val="00D02362"/>
    <w:pPr>
      <w:spacing w:before="120" w:after="120"/>
      <w:contextualSpacing/>
    </w:pPr>
    <w:rPr>
      <w:rFonts w:ascii="Times New Roman" w:hAnsi="Times New Roman"/>
      <w:sz w:val="24"/>
      <w:szCs w:val="22"/>
    </w:rPr>
  </w:style>
  <w:style w:type="character" w:customStyle="1" w:styleId="BodyTextChar">
    <w:name w:val="Body Text Char"/>
    <w:link w:val="BodyText"/>
    <w:rsid w:val="00D02362"/>
    <w:rPr>
      <w:rFonts w:ascii="Times New Roman" w:eastAsia="Times New Roman" w:hAnsi="Times New Roman" w:cs="Times New Roman"/>
      <w:sz w:val="24"/>
      <w:lang w:val="en-US" w:eastAsia="en-US"/>
    </w:rPr>
  </w:style>
  <w:style w:type="paragraph" w:styleId="Footer">
    <w:name w:val="footer"/>
    <w:basedOn w:val="Normal"/>
    <w:link w:val="FooterChar"/>
    <w:rsid w:val="00D0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2362"/>
    <w:rPr>
      <w:rFonts w:ascii="Times New Roman" w:eastAsia="Times New Roman" w:hAnsi="Times New Roman" w:cs="Times New Roman"/>
      <w:sz w:val="16"/>
      <w:lang w:val="en-US" w:eastAsia="en-US"/>
    </w:rPr>
  </w:style>
  <w:style w:type="paragraph" w:styleId="List">
    <w:name w:val="List"/>
    <w:basedOn w:val="BodyText"/>
    <w:next w:val="BodyText"/>
    <w:rsid w:val="00D02362"/>
    <w:pPr>
      <w:tabs>
        <w:tab w:val="left" w:pos="340"/>
      </w:tabs>
      <w:spacing w:before="60" w:after="60"/>
      <w:ind w:left="340" w:hanging="340"/>
    </w:pPr>
  </w:style>
  <w:style w:type="paragraph" w:styleId="ListBullet">
    <w:name w:val="List Bullet"/>
    <w:basedOn w:val="List"/>
    <w:rsid w:val="00D02362"/>
    <w:pPr>
      <w:numPr>
        <w:numId w:val="13"/>
      </w:numPr>
      <w:tabs>
        <w:tab w:val="clear" w:pos="340"/>
      </w:tabs>
      <w:spacing w:before="40" w:after="40"/>
    </w:pPr>
  </w:style>
  <w:style w:type="character" w:customStyle="1" w:styleId="SpecialBold">
    <w:name w:val="Special Bold"/>
    <w:rsid w:val="00D02362"/>
    <w:rPr>
      <w:b/>
      <w:spacing w:val="0"/>
    </w:rPr>
  </w:style>
  <w:style w:type="paragraph" w:styleId="ListBullet2">
    <w:name w:val="List Bullet 2"/>
    <w:basedOn w:val="List2"/>
    <w:rsid w:val="00D02362"/>
    <w:pPr>
      <w:numPr>
        <w:numId w:val="14"/>
      </w:numPr>
      <w:tabs>
        <w:tab w:val="clear" w:pos="680"/>
      </w:tabs>
    </w:pPr>
  </w:style>
  <w:style w:type="paragraph" w:styleId="Header">
    <w:name w:val="header"/>
    <w:basedOn w:val="Normal"/>
    <w:link w:val="HeaderChar"/>
    <w:rsid w:val="00D0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23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2362"/>
    <w:pPr>
      <w:spacing w:before="240" w:after="120"/>
      <w:outlineLvl w:val="0"/>
    </w:pPr>
    <w:rPr>
      <w:rFonts w:ascii="Times New Roman" w:hAnsi="Times New Roman"/>
      <w:b/>
      <w:sz w:val="28"/>
    </w:rPr>
  </w:style>
  <w:style w:type="paragraph" w:customStyle="1" w:styleId="AllowPageBreak">
    <w:name w:val="AllowPageBreak"/>
    <w:rsid w:val="00D02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02362"/>
    <w:rPr>
      <w:rFonts w:ascii="Times New Roman" w:eastAsia="Times New Roman" w:hAnsi="Times New Roman" w:cs="Times New Roman"/>
      <w:b/>
      <w:sz w:val="28"/>
      <w:szCs w:val="40"/>
      <w:lang w:eastAsia="en-US"/>
    </w:rPr>
  </w:style>
  <w:style w:type="character" w:customStyle="1" w:styleId="Heading3Char">
    <w:name w:val="Heading 3 Char"/>
    <w:link w:val="Heading3"/>
    <w:rsid w:val="00D023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2362"/>
    <w:rPr>
      <w:rFonts w:ascii="Times New Roman" w:eastAsia="Times New Roman" w:hAnsi="Times New Roman" w:cs="Times New Roman"/>
      <w:b/>
      <w:szCs w:val="20"/>
      <w:lang w:eastAsia="en-US"/>
    </w:rPr>
  </w:style>
  <w:style w:type="character" w:customStyle="1" w:styleId="Heading5Char">
    <w:name w:val="Heading 5 Char"/>
    <w:link w:val="Heading5"/>
    <w:rsid w:val="00D023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3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23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2362"/>
    <w:rPr>
      <w:rFonts w:ascii="Courier New" w:eastAsia="Times New Roman" w:hAnsi="Courier New" w:cs="Times New Roman"/>
      <w:i/>
      <w:szCs w:val="20"/>
      <w:lang w:val="en-US" w:eastAsia="en-US"/>
    </w:rPr>
  </w:style>
  <w:style w:type="paragraph" w:customStyle="1" w:styleId="HeadingBase">
    <w:name w:val="Heading Base"/>
    <w:rsid w:val="00D0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362"/>
    <w:pPr>
      <w:tabs>
        <w:tab w:val="right" w:leader="dot" w:pos="9072"/>
      </w:tabs>
      <w:ind w:left="567"/>
    </w:pPr>
    <w:rPr>
      <w:szCs w:val="22"/>
    </w:rPr>
  </w:style>
  <w:style w:type="paragraph" w:customStyle="1" w:styleId="TOCBase">
    <w:name w:val="TOC Base"/>
    <w:rsid w:val="00D0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362"/>
    <w:pPr>
      <w:tabs>
        <w:tab w:val="right" w:leader="dot" w:pos="9072"/>
      </w:tabs>
      <w:spacing w:before="40" w:after="40"/>
      <w:ind w:left="284"/>
    </w:pPr>
    <w:rPr>
      <w:rFonts w:ascii="Times New Roman" w:hAnsi="Times New Roman"/>
    </w:rPr>
  </w:style>
  <w:style w:type="paragraph" w:styleId="TOC1">
    <w:name w:val="toc 1"/>
    <w:basedOn w:val="TOCBase"/>
    <w:next w:val="Normal"/>
    <w:rsid w:val="00D023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2362"/>
    <w:pPr>
      <w:spacing w:before="5040"/>
      <w:jc w:val="center"/>
    </w:pPr>
    <w:rPr>
      <w:sz w:val="48"/>
      <w:szCs w:val="72"/>
      <w:lang w:val="en-US"/>
    </w:rPr>
  </w:style>
  <w:style w:type="character" w:customStyle="1" w:styleId="TitleChar">
    <w:name w:val="Title Char"/>
    <w:link w:val="Title"/>
    <w:rsid w:val="00D0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362"/>
    <w:pPr>
      <w:tabs>
        <w:tab w:val="left" w:pos="3600"/>
        <w:tab w:val="left" w:pos="3958"/>
      </w:tabs>
    </w:pPr>
  </w:style>
  <w:style w:type="paragraph" w:customStyle="1" w:styleId="Note">
    <w:name w:val="Note"/>
    <w:basedOn w:val="BodyText"/>
    <w:rsid w:val="00D02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362"/>
    <w:pPr>
      <w:framePr w:wrap="auto" w:hAnchor="text" w:y="6049"/>
    </w:pPr>
    <w:rPr>
      <w:color w:val="000000"/>
      <w:sz w:val="40"/>
    </w:rPr>
  </w:style>
  <w:style w:type="paragraph" w:customStyle="1" w:styleId="TOCTitle">
    <w:name w:val="TOCTitle"/>
    <w:basedOn w:val="Heading1"/>
    <w:rsid w:val="00D02362"/>
    <w:pPr>
      <w:spacing w:after="240"/>
      <w:jc w:val="center"/>
      <w:outlineLvl w:val="9"/>
    </w:pPr>
    <w:rPr>
      <w:caps/>
    </w:rPr>
  </w:style>
  <w:style w:type="paragraph" w:customStyle="1" w:styleId="Version">
    <w:name w:val="Version"/>
    <w:rsid w:val="00D02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362"/>
    <w:pPr>
      <w:keepNext w:val="0"/>
      <w:tabs>
        <w:tab w:val="right" w:pos="4176"/>
      </w:tabs>
      <w:ind w:left="198" w:hanging="198"/>
    </w:pPr>
    <w:rPr>
      <w:rFonts w:ascii="Garamond" w:hAnsi="Garamond"/>
    </w:rPr>
  </w:style>
  <w:style w:type="paragraph" w:styleId="IndexHeading">
    <w:name w:val="index heading"/>
    <w:basedOn w:val="Normal"/>
    <w:next w:val="Index1"/>
    <w:semiHidden/>
    <w:rsid w:val="00D02362"/>
    <w:pPr>
      <w:spacing w:before="120" w:after="120"/>
    </w:pPr>
    <w:rPr>
      <w:rFonts w:ascii="Arial" w:hAnsi="Arial"/>
      <w:b/>
      <w:color w:val="918585"/>
      <w:sz w:val="24"/>
    </w:rPr>
  </w:style>
  <w:style w:type="paragraph" w:customStyle="1" w:styleId="Chapter">
    <w:name w:val="Chapter"/>
    <w:basedOn w:val="Normal"/>
    <w:rsid w:val="00D02362"/>
    <w:pPr>
      <w:spacing w:before="240"/>
    </w:pPr>
    <w:rPr>
      <w:rFonts w:ascii="Times New Roman" w:hAnsi="Times New Roman"/>
      <w:smallCaps/>
      <w:spacing w:val="80"/>
      <w:sz w:val="28"/>
    </w:rPr>
  </w:style>
  <w:style w:type="paragraph" w:customStyle="1" w:styleId="InChapter">
    <w:name w:val="InChapter"/>
    <w:basedOn w:val="Heading3"/>
    <w:rsid w:val="00D02362"/>
    <w:pPr>
      <w:spacing w:after="240"/>
      <w:outlineLvl w:val="9"/>
    </w:pPr>
    <w:rPr>
      <w:noProof/>
    </w:rPr>
  </w:style>
  <w:style w:type="paragraph" w:styleId="Index2">
    <w:name w:val="index 2"/>
    <w:basedOn w:val="Normal"/>
    <w:next w:val="Normal"/>
    <w:semiHidden/>
    <w:rsid w:val="00D02362"/>
    <w:pPr>
      <w:tabs>
        <w:tab w:val="right" w:pos="4176"/>
      </w:tabs>
      <w:ind w:left="568" w:hanging="284"/>
    </w:pPr>
    <w:rPr>
      <w:rFonts w:ascii="Garamond" w:hAnsi="Garamond"/>
    </w:rPr>
  </w:style>
  <w:style w:type="paragraph" w:customStyle="1" w:styleId="Byline">
    <w:name w:val="Byline"/>
    <w:rsid w:val="00D0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362"/>
    <w:pPr>
      <w:tabs>
        <w:tab w:val="clear" w:pos="3600"/>
        <w:tab w:val="clear" w:pos="3958"/>
      </w:tabs>
      <w:jc w:val="right"/>
    </w:pPr>
  </w:style>
  <w:style w:type="character" w:styleId="Emphasis">
    <w:name w:val="Emphasis"/>
    <w:qFormat/>
    <w:rsid w:val="00D02362"/>
    <w:rPr>
      <w:i/>
    </w:rPr>
  </w:style>
  <w:style w:type="paragraph" w:styleId="Caption">
    <w:name w:val="caption"/>
    <w:basedOn w:val="BodyText"/>
    <w:next w:val="Normal"/>
    <w:qFormat/>
    <w:rsid w:val="00D02362"/>
    <w:pPr>
      <w:framePr w:w="2268" w:hSpace="181" w:vSpace="181" w:wrap="around" w:vAnchor="text" w:hAnchor="page" w:x="1135" w:y="285" w:anchorLock="1"/>
    </w:pPr>
    <w:rPr>
      <w:i/>
    </w:rPr>
  </w:style>
  <w:style w:type="paragraph" w:customStyle="1" w:styleId="MiniTOCTitle">
    <w:name w:val="MiniTOCTitle"/>
    <w:basedOn w:val="Heading4"/>
    <w:rsid w:val="00D02362"/>
    <w:pPr>
      <w:spacing w:before="240"/>
      <w:outlineLvl w:val="9"/>
    </w:pPr>
    <w:rPr>
      <w:noProof/>
      <w:sz w:val="24"/>
    </w:rPr>
  </w:style>
  <w:style w:type="paragraph" w:customStyle="1" w:styleId="MiniTOCItem">
    <w:name w:val="MiniTOCItem"/>
    <w:basedOn w:val="ListBullet"/>
    <w:rsid w:val="00D02362"/>
    <w:pPr>
      <w:numPr>
        <w:numId w:val="0"/>
      </w:numPr>
      <w:tabs>
        <w:tab w:val="right" w:leader="dot" w:pos="6521"/>
      </w:tabs>
      <w:spacing w:before="0" w:after="0"/>
    </w:pPr>
  </w:style>
  <w:style w:type="paragraph" w:customStyle="1" w:styleId="TOFTitle">
    <w:name w:val="TOFTitle"/>
    <w:basedOn w:val="TOCTitle"/>
    <w:rsid w:val="00D02362"/>
  </w:style>
  <w:style w:type="paragraph" w:styleId="TableofFigures">
    <w:name w:val="table of figures"/>
    <w:basedOn w:val="Normal"/>
    <w:next w:val="Normal"/>
    <w:semiHidden/>
    <w:rsid w:val="00D02362"/>
    <w:pPr>
      <w:tabs>
        <w:tab w:val="right" w:leader="dot" w:pos="9072"/>
      </w:tabs>
      <w:ind w:left="970" w:hanging="403"/>
    </w:pPr>
    <w:rPr>
      <w:rFonts w:ascii="Times New Roman" w:hAnsi="Times New Roman"/>
      <w:b/>
    </w:rPr>
  </w:style>
  <w:style w:type="paragraph" w:styleId="ListNumber">
    <w:name w:val="List Number"/>
    <w:basedOn w:val="List"/>
    <w:rsid w:val="00D02362"/>
    <w:pPr>
      <w:numPr>
        <w:numId w:val="11"/>
      </w:numPr>
    </w:pPr>
  </w:style>
  <w:style w:type="character" w:customStyle="1" w:styleId="WingdingSymbols">
    <w:name w:val="Wingding Symbols"/>
    <w:rsid w:val="00D02362"/>
    <w:rPr>
      <w:rFonts w:ascii="Wingdings" w:hAnsi="Wingdings"/>
    </w:rPr>
  </w:style>
  <w:style w:type="paragraph" w:customStyle="1" w:styleId="TableHeading">
    <w:name w:val="Table Heading"/>
    <w:basedOn w:val="HeadingBase"/>
    <w:rsid w:val="00D02362"/>
    <w:pPr>
      <w:keepLines/>
      <w:pBdr>
        <w:bottom w:val="single" w:sz="6" w:space="1" w:color="918585"/>
      </w:pBdr>
      <w:spacing w:before="240"/>
    </w:pPr>
  </w:style>
  <w:style w:type="character" w:customStyle="1" w:styleId="HotSpot">
    <w:name w:val="HotSpot"/>
    <w:rsid w:val="00D02362"/>
    <w:rPr>
      <w:color w:val="0033CC"/>
      <w:u w:val="none"/>
    </w:rPr>
  </w:style>
  <w:style w:type="paragraph" w:customStyle="1" w:styleId="BodyTextRight">
    <w:name w:val="Body Text Right"/>
    <w:basedOn w:val="BodyText"/>
    <w:rsid w:val="00D02362"/>
    <w:pPr>
      <w:spacing w:before="0" w:after="0"/>
      <w:jc w:val="right"/>
    </w:pPr>
  </w:style>
  <w:style w:type="paragraph" w:styleId="Index3">
    <w:name w:val="index 3"/>
    <w:basedOn w:val="ListNumber2"/>
    <w:next w:val="Normal"/>
    <w:semiHidden/>
    <w:rsid w:val="00D02362"/>
    <w:pPr>
      <w:numPr>
        <w:numId w:val="0"/>
      </w:numPr>
      <w:tabs>
        <w:tab w:val="right" w:leader="dot" w:pos="4176"/>
      </w:tabs>
    </w:pPr>
  </w:style>
  <w:style w:type="paragraph" w:styleId="ListNumber2">
    <w:name w:val="List Number 2"/>
    <w:basedOn w:val="List2"/>
    <w:rsid w:val="00D02362"/>
    <w:pPr>
      <w:numPr>
        <w:numId w:val="10"/>
      </w:numPr>
      <w:tabs>
        <w:tab w:val="clear" w:pos="1060"/>
      </w:tabs>
    </w:pPr>
  </w:style>
  <w:style w:type="paragraph" w:customStyle="1" w:styleId="MarginNote">
    <w:name w:val="Margin Note"/>
    <w:basedOn w:val="BodyText"/>
    <w:rsid w:val="00D0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23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2362"/>
    <w:rPr>
      <w:sz w:val="32"/>
    </w:rPr>
  </w:style>
  <w:style w:type="paragraph" w:customStyle="1" w:styleId="HeadingProcedure">
    <w:name w:val="Heading Procedure"/>
    <w:basedOn w:val="HeadingBase"/>
    <w:next w:val="Normal"/>
    <w:rsid w:val="00D02362"/>
    <w:pPr>
      <w:tabs>
        <w:tab w:val="left" w:pos="0"/>
      </w:tabs>
      <w:spacing w:before="120" w:after="60"/>
    </w:pPr>
    <w:rPr>
      <w:i/>
      <w:color w:val="918585"/>
      <w:sz w:val="22"/>
    </w:rPr>
  </w:style>
  <w:style w:type="paragraph" w:customStyle="1" w:styleId="TableBodyText">
    <w:name w:val="Table Body Text"/>
    <w:basedOn w:val="BodyText"/>
    <w:rsid w:val="00D02362"/>
    <w:pPr>
      <w:spacing w:before="60" w:after="60"/>
    </w:pPr>
  </w:style>
  <w:style w:type="paragraph" w:styleId="ListContinue">
    <w:name w:val="List Continue"/>
    <w:basedOn w:val="List"/>
    <w:rsid w:val="00D02362"/>
    <w:pPr>
      <w:ind w:firstLine="0"/>
    </w:pPr>
  </w:style>
  <w:style w:type="paragraph" w:customStyle="1" w:styleId="ListNote">
    <w:name w:val="List Note"/>
    <w:basedOn w:val="List"/>
    <w:rsid w:val="00D02362"/>
    <w:pPr>
      <w:pBdr>
        <w:top w:val="single" w:sz="6" w:space="2" w:color="918585"/>
        <w:bottom w:val="single" w:sz="6" w:space="2" w:color="918585"/>
      </w:pBdr>
      <w:tabs>
        <w:tab w:val="left" w:pos="1021"/>
      </w:tabs>
      <w:ind w:firstLine="0"/>
    </w:pPr>
  </w:style>
  <w:style w:type="paragraph" w:customStyle="1" w:styleId="Warning">
    <w:name w:val="Warning"/>
    <w:basedOn w:val="BodyText"/>
    <w:rsid w:val="00D02362"/>
    <w:pPr>
      <w:shd w:val="clear" w:color="auto" w:fill="D9D9D9"/>
      <w:tabs>
        <w:tab w:val="left" w:pos="992"/>
      </w:tabs>
      <w:ind w:left="119" w:right="119"/>
    </w:pPr>
    <w:rPr>
      <w:sz w:val="20"/>
    </w:rPr>
  </w:style>
  <w:style w:type="paragraph" w:customStyle="1" w:styleId="MarginIcons">
    <w:name w:val="Margin Icons"/>
    <w:basedOn w:val="BodyText"/>
    <w:rsid w:val="00D023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2362"/>
    <w:rPr>
      <w:rFonts w:ascii="Courier New" w:hAnsi="Courier New"/>
    </w:rPr>
  </w:style>
  <w:style w:type="paragraph" w:customStyle="1" w:styleId="NoteBullet">
    <w:name w:val="Note Bullet"/>
    <w:basedOn w:val="Note"/>
    <w:rsid w:val="00D02362"/>
    <w:pPr>
      <w:tabs>
        <w:tab w:val="clear" w:pos="680"/>
      </w:tabs>
      <w:spacing w:before="60" w:after="60"/>
    </w:pPr>
  </w:style>
  <w:style w:type="paragraph" w:customStyle="1" w:styleId="SubHeading2">
    <w:name w:val="SubHeading2"/>
    <w:basedOn w:val="HeadingBase"/>
    <w:rsid w:val="00D02362"/>
    <w:pPr>
      <w:spacing w:before="240" w:after="60"/>
    </w:pPr>
    <w:rPr>
      <w:sz w:val="20"/>
    </w:rPr>
  </w:style>
  <w:style w:type="paragraph" w:customStyle="1" w:styleId="SubHeading1">
    <w:name w:val="SubHeading1"/>
    <w:basedOn w:val="HeadingBase"/>
    <w:rsid w:val="00D02362"/>
    <w:pPr>
      <w:spacing w:before="240" w:after="60"/>
    </w:pPr>
    <w:rPr>
      <w:color w:val="918585"/>
      <w:sz w:val="22"/>
    </w:rPr>
  </w:style>
  <w:style w:type="paragraph" w:customStyle="1" w:styleId="SideHeading">
    <w:name w:val="Side Heading"/>
    <w:basedOn w:val="HeadingBase"/>
    <w:rsid w:val="00D0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362"/>
    <w:pPr>
      <w:numPr>
        <w:numId w:val="12"/>
      </w:numPr>
    </w:pPr>
  </w:style>
  <w:style w:type="paragraph" w:styleId="PlainText">
    <w:name w:val="Plain Text"/>
    <w:basedOn w:val="Normal"/>
    <w:link w:val="PlainTextChar"/>
    <w:rsid w:val="00D02362"/>
    <w:rPr>
      <w:sz w:val="20"/>
    </w:rPr>
  </w:style>
  <w:style w:type="character" w:customStyle="1" w:styleId="PlainTextChar">
    <w:name w:val="Plain Text Char"/>
    <w:basedOn w:val="DefaultParagraphFont"/>
    <w:link w:val="PlainText"/>
    <w:rsid w:val="00D02362"/>
    <w:rPr>
      <w:rFonts w:ascii="Courier New" w:eastAsia="Times New Roman" w:hAnsi="Courier New" w:cs="Times New Roman"/>
      <w:sz w:val="20"/>
      <w:szCs w:val="20"/>
      <w:lang w:val="en-US" w:eastAsia="en-US"/>
    </w:rPr>
  </w:style>
  <w:style w:type="character" w:customStyle="1" w:styleId="MenuOption">
    <w:name w:val="Menu Option"/>
    <w:rsid w:val="00D02362"/>
    <w:rPr>
      <w:b/>
      <w:smallCaps/>
    </w:rPr>
  </w:style>
  <w:style w:type="paragraph" w:customStyle="1" w:styleId="TableListNumber">
    <w:name w:val="Table List Number"/>
    <w:basedOn w:val="ListNumber"/>
    <w:rsid w:val="00D02362"/>
    <w:pPr>
      <w:numPr>
        <w:numId w:val="0"/>
      </w:numPr>
    </w:pPr>
  </w:style>
  <w:style w:type="paragraph" w:styleId="TOC4">
    <w:name w:val="toc 4"/>
    <w:basedOn w:val="TOCBase"/>
    <w:next w:val="Normal"/>
    <w:semiHidden/>
    <w:rsid w:val="00D02362"/>
    <w:pPr>
      <w:tabs>
        <w:tab w:val="right" w:leader="dot" w:pos="9071"/>
      </w:tabs>
      <w:ind w:left="1701"/>
    </w:pPr>
  </w:style>
  <w:style w:type="paragraph" w:customStyle="1" w:styleId="ListAlpha">
    <w:name w:val="List Alpha"/>
    <w:basedOn w:val="List"/>
    <w:rsid w:val="00D02362"/>
    <w:pPr>
      <w:numPr>
        <w:numId w:val="9"/>
      </w:numPr>
    </w:pPr>
  </w:style>
  <w:style w:type="paragraph" w:customStyle="1" w:styleId="ListAlpha2">
    <w:name w:val="List Alpha 2"/>
    <w:basedOn w:val="List2"/>
    <w:rsid w:val="00D02362"/>
    <w:pPr>
      <w:numPr>
        <w:numId w:val="8"/>
      </w:numPr>
    </w:pPr>
  </w:style>
  <w:style w:type="paragraph" w:styleId="List2">
    <w:name w:val="List 2"/>
    <w:basedOn w:val="BodyText"/>
    <w:rsid w:val="00D02362"/>
    <w:pPr>
      <w:tabs>
        <w:tab w:val="left" w:pos="680"/>
      </w:tabs>
      <w:spacing w:before="60" w:after="60"/>
      <w:ind w:left="680" w:hanging="340"/>
    </w:pPr>
  </w:style>
  <w:style w:type="paragraph" w:styleId="List3">
    <w:name w:val="List 3"/>
    <w:basedOn w:val="BodyText"/>
    <w:rsid w:val="00D02362"/>
    <w:pPr>
      <w:tabs>
        <w:tab w:val="left" w:pos="1021"/>
      </w:tabs>
      <w:spacing w:before="60" w:after="60"/>
      <w:ind w:left="1020" w:hanging="340"/>
    </w:pPr>
  </w:style>
  <w:style w:type="paragraph" w:styleId="List4">
    <w:name w:val="List 4"/>
    <w:basedOn w:val="BodyText"/>
    <w:rsid w:val="00D02362"/>
    <w:pPr>
      <w:tabs>
        <w:tab w:val="left" w:pos="1361"/>
      </w:tabs>
      <w:spacing w:before="60" w:after="60"/>
      <w:ind w:left="1361" w:hanging="340"/>
    </w:pPr>
  </w:style>
  <w:style w:type="paragraph" w:styleId="List5">
    <w:name w:val="List 5"/>
    <w:basedOn w:val="BodyText"/>
    <w:rsid w:val="00D02362"/>
    <w:pPr>
      <w:tabs>
        <w:tab w:val="left" w:pos="1701"/>
      </w:tabs>
      <w:spacing w:before="60" w:after="60"/>
      <w:ind w:left="1701" w:hanging="340"/>
    </w:pPr>
  </w:style>
  <w:style w:type="paragraph" w:styleId="ListBullet3">
    <w:name w:val="List Bullet 3"/>
    <w:basedOn w:val="List3"/>
    <w:rsid w:val="00D02362"/>
    <w:pPr>
      <w:numPr>
        <w:numId w:val="15"/>
      </w:numPr>
      <w:tabs>
        <w:tab w:val="clear" w:pos="1021"/>
      </w:tabs>
      <w:ind w:left="1037" w:hanging="357"/>
    </w:pPr>
  </w:style>
  <w:style w:type="paragraph" w:styleId="ListBullet4">
    <w:name w:val="List Bullet 4"/>
    <w:basedOn w:val="List4"/>
    <w:rsid w:val="00D02362"/>
    <w:pPr>
      <w:numPr>
        <w:numId w:val="3"/>
      </w:numPr>
    </w:pPr>
  </w:style>
  <w:style w:type="paragraph" w:styleId="ListBullet5">
    <w:name w:val="List Bullet 5"/>
    <w:basedOn w:val="List5"/>
    <w:rsid w:val="00D02362"/>
    <w:pPr>
      <w:numPr>
        <w:numId w:val="4"/>
      </w:numPr>
    </w:pPr>
  </w:style>
  <w:style w:type="paragraph" w:styleId="ListContinue2">
    <w:name w:val="List Continue 2"/>
    <w:basedOn w:val="List2"/>
    <w:rsid w:val="00D02362"/>
    <w:pPr>
      <w:ind w:firstLine="0"/>
    </w:pPr>
  </w:style>
  <w:style w:type="paragraph" w:styleId="ListContinue3">
    <w:name w:val="List Continue 3"/>
    <w:basedOn w:val="List3"/>
    <w:rsid w:val="00D02362"/>
    <w:pPr>
      <w:ind w:left="1021" w:firstLine="0"/>
    </w:pPr>
  </w:style>
  <w:style w:type="paragraph" w:styleId="ListContinue4">
    <w:name w:val="List Continue 4"/>
    <w:basedOn w:val="List4"/>
    <w:rsid w:val="00D02362"/>
    <w:pPr>
      <w:ind w:firstLine="0"/>
    </w:pPr>
  </w:style>
  <w:style w:type="paragraph" w:styleId="ListContinue5">
    <w:name w:val="List Continue 5"/>
    <w:basedOn w:val="List5"/>
    <w:rsid w:val="00D02362"/>
    <w:pPr>
      <w:ind w:firstLine="0"/>
    </w:pPr>
  </w:style>
  <w:style w:type="paragraph" w:styleId="ListNumber3">
    <w:name w:val="List Number 3"/>
    <w:basedOn w:val="List3"/>
    <w:rsid w:val="00D02362"/>
    <w:pPr>
      <w:numPr>
        <w:numId w:val="5"/>
      </w:numPr>
    </w:pPr>
  </w:style>
  <w:style w:type="paragraph" w:styleId="ListNumber4">
    <w:name w:val="List Number 4"/>
    <w:basedOn w:val="List4"/>
    <w:rsid w:val="00D02362"/>
    <w:pPr>
      <w:numPr>
        <w:numId w:val="6"/>
      </w:numPr>
    </w:pPr>
  </w:style>
  <w:style w:type="paragraph" w:styleId="ListNumber5">
    <w:name w:val="List Number 5"/>
    <w:basedOn w:val="List5"/>
    <w:rsid w:val="00D02362"/>
    <w:pPr>
      <w:numPr>
        <w:numId w:val="7"/>
      </w:numPr>
    </w:pPr>
  </w:style>
  <w:style w:type="paragraph" w:styleId="BlockText">
    <w:name w:val="Block Text"/>
    <w:basedOn w:val="Normal"/>
    <w:rsid w:val="00D02362"/>
    <w:pPr>
      <w:spacing w:after="120"/>
      <w:ind w:left="1440" w:right="1440"/>
    </w:pPr>
  </w:style>
  <w:style w:type="character" w:customStyle="1" w:styleId="Subscript">
    <w:name w:val="Subscript"/>
    <w:rsid w:val="00D02362"/>
    <w:rPr>
      <w:sz w:val="16"/>
      <w:vertAlign w:val="subscript"/>
    </w:rPr>
  </w:style>
  <w:style w:type="character" w:customStyle="1" w:styleId="Superscript">
    <w:name w:val="Superscript"/>
    <w:rsid w:val="00D02362"/>
    <w:rPr>
      <w:sz w:val="16"/>
      <w:vertAlign w:val="superscript"/>
    </w:rPr>
  </w:style>
  <w:style w:type="character" w:customStyle="1" w:styleId="Symbols">
    <w:name w:val="Symbols"/>
    <w:rsid w:val="00D02362"/>
    <w:rPr>
      <w:rFonts w:ascii="Symbol" w:hAnsi="Symbol"/>
    </w:rPr>
  </w:style>
  <w:style w:type="character" w:customStyle="1" w:styleId="MenuOptions">
    <w:name w:val="Menu Options"/>
    <w:rsid w:val="00D02362"/>
    <w:rPr>
      <w:rFonts w:ascii="Arial Narrow" w:hAnsi="Arial Narrow"/>
      <w:smallCaps/>
    </w:rPr>
  </w:style>
  <w:style w:type="character" w:customStyle="1" w:styleId="Buttons">
    <w:name w:val="Buttons"/>
    <w:rsid w:val="00D02362"/>
    <w:rPr>
      <w:b/>
    </w:rPr>
  </w:style>
  <w:style w:type="character" w:customStyle="1" w:styleId="Underlined">
    <w:name w:val="Underlined"/>
    <w:rsid w:val="00D02362"/>
    <w:rPr>
      <w:u w:val="single"/>
    </w:rPr>
  </w:style>
  <w:style w:type="paragraph" w:customStyle="1" w:styleId="TableBodyTextRight">
    <w:name w:val="Table Body Text Right"/>
    <w:basedOn w:val="TableBodyText"/>
    <w:rsid w:val="00D02362"/>
    <w:pPr>
      <w:widowControl w:val="0"/>
      <w:autoSpaceDE w:val="0"/>
      <w:autoSpaceDN w:val="0"/>
      <w:adjustRightInd w:val="0"/>
      <w:jc w:val="right"/>
    </w:pPr>
    <w:rPr>
      <w:rFonts w:cs="Arial"/>
      <w:szCs w:val="18"/>
    </w:rPr>
  </w:style>
  <w:style w:type="paragraph" w:customStyle="1" w:styleId="CopyrightText">
    <w:name w:val="Copyright Text"/>
    <w:basedOn w:val="BodyText"/>
    <w:rsid w:val="00D02362"/>
    <w:rPr>
      <w:sz w:val="18"/>
    </w:rPr>
  </w:style>
  <w:style w:type="paragraph" w:customStyle="1" w:styleId="BodySmallRight">
    <w:name w:val="Body Small Right"/>
    <w:basedOn w:val="BodyTextRight"/>
    <w:rsid w:val="00D02362"/>
    <w:rPr>
      <w:sz w:val="18"/>
      <w:szCs w:val="18"/>
    </w:rPr>
  </w:style>
  <w:style w:type="paragraph" w:customStyle="1" w:styleId="MarginEdition">
    <w:name w:val="Margin Edition"/>
    <w:basedOn w:val="MarginNote"/>
    <w:rsid w:val="00D02362"/>
    <w:pPr>
      <w:spacing w:before="0" w:after="0"/>
    </w:pPr>
    <w:rPr>
      <w:rFonts w:ascii="Times New Roman" w:hAnsi="Times New Roman"/>
      <w:color w:val="999999"/>
    </w:rPr>
  </w:style>
  <w:style w:type="paragraph" w:customStyle="1" w:styleId="Spacer">
    <w:name w:val="Spacer"/>
    <w:basedOn w:val="Normal"/>
    <w:rsid w:val="00D02362"/>
    <w:rPr>
      <w:sz w:val="2"/>
      <w:szCs w:val="2"/>
    </w:rPr>
  </w:style>
  <w:style w:type="character" w:customStyle="1" w:styleId="Small">
    <w:name w:val="Small"/>
    <w:rsid w:val="00D02362"/>
    <w:rPr>
      <w:sz w:val="16"/>
    </w:rPr>
  </w:style>
  <w:style w:type="paragraph" w:customStyle="1" w:styleId="WideTable">
    <w:name w:val="Wide Table"/>
    <w:basedOn w:val="Normal"/>
    <w:rsid w:val="00D02362"/>
    <w:pPr>
      <w:ind w:left="-1418"/>
    </w:pPr>
    <w:rPr>
      <w:sz w:val="2"/>
      <w:szCs w:val="2"/>
    </w:rPr>
  </w:style>
  <w:style w:type="character" w:styleId="PageNumber">
    <w:name w:val="page number"/>
    <w:rsid w:val="00D02362"/>
  </w:style>
  <w:style w:type="paragraph" w:styleId="Quote">
    <w:name w:val="Quote"/>
    <w:basedOn w:val="Heading1"/>
    <w:link w:val="QuoteChar"/>
    <w:qFormat/>
    <w:rsid w:val="00D02362"/>
    <w:rPr>
      <w:b w:val="0"/>
      <w:sz w:val="72"/>
      <w:szCs w:val="72"/>
      <w:lang w:val="en-NZ"/>
    </w:rPr>
  </w:style>
  <w:style w:type="character" w:customStyle="1" w:styleId="QuoteChar">
    <w:name w:val="Quote Char"/>
    <w:link w:val="Quote"/>
    <w:rsid w:val="00D0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362"/>
    <w:pPr>
      <w:pageBreakBefore/>
    </w:pPr>
  </w:style>
  <w:style w:type="paragraph" w:customStyle="1" w:styleId="Border">
    <w:name w:val="Border"/>
    <w:basedOn w:val="Normal"/>
    <w:qFormat/>
    <w:rsid w:val="00D02362"/>
    <w:pPr>
      <w:pBdr>
        <w:top w:val="single" w:sz="18" w:space="1" w:color="auto"/>
      </w:pBdr>
    </w:pPr>
    <w:rPr>
      <w:rFonts w:ascii="Times New Roman" w:hAnsi="Times New Roman"/>
      <w:color w:val="FFFFFF"/>
      <w:sz w:val="2"/>
    </w:rPr>
  </w:style>
  <w:style w:type="character" w:styleId="IntenseEmphasis">
    <w:name w:val="Intense Emphasis"/>
    <w:uiPriority w:val="21"/>
    <w:qFormat/>
    <w:rsid w:val="00D02362"/>
    <w:rPr>
      <w:b/>
      <w:bCs/>
      <w:i/>
      <w:iCs/>
      <w:color w:val="auto"/>
    </w:rPr>
  </w:style>
  <w:style w:type="paragraph" w:styleId="IntenseQuote">
    <w:name w:val="Intense Quote"/>
    <w:basedOn w:val="Normal"/>
    <w:next w:val="Normal"/>
    <w:link w:val="IntenseQuoteChar"/>
    <w:uiPriority w:val="30"/>
    <w:qFormat/>
    <w:rsid w:val="00D023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2362"/>
    <w:rPr>
      <w:rFonts w:ascii="Courier New" w:eastAsia="Times New Roman" w:hAnsi="Courier New" w:cs="Times New Roman"/>
      <w:b/>
      <w:bCs/>
      <w:i/>
      <w:iCs/>
      <w:szCs w:val="20"/>
      <w:lang w:val="en-US" w:eastAsia="en-US"/>
    </w:rPr>
  </w:style>
  <w:style w:type="character" w:styleId="SubtleReference">
    <w:name w:val="Subtle Reference"/>
    <w:uiPriority w:val="31"/>
    <w:qFormat/>
    <w:rsid w:val="00D02362"/>
    <w:rPr>
      <w:smallCaps/>
      <w:color w:val="auto"/>
      <w:u w:val="single"/>
    </w:rPr>
  </w:style>
  <w:style w:type="character" w:styleId="IntenseReference">
    <w:name w:val="Intense Reference"/>
    <w:uiPriority w:val="32"/>
    <w:qFormat/>
    <w:rsid w:val="00D02362"/>
    <w:rPr>
      <w:b/>
      <w:bCs/>
      <w:smallCaps/>
      <w:color w:val="auto"/>
      <w:spacing w:val="5"/>
      <w:u w:val="single"/>
    </w:rPr>
  </w:style>
  <w:style w:type="paragraph" w:customStyle="1" w:styleId="2ColumnHeading">
    <w:name w:val="2Column Heading"/>
    <w:basedOn w:val="BodyText"/>
    <w:qFormat/>
    <w:rsid w:val="00D02362"/>
    <w:pPr>
      <w:spacing w:after="60"/>
      <w:ind w:left="-2268"/>
    </w:pPr>
    <w:rPr>
      <w:b/>
    </w:rPr>
  </w:style>
  <w:style w:type="paragraph" w:customStyle="1" w:styleId="Heading1TOC">
    <w:name w:val="Heading1 TOC"/>
    <w:basedOn w:val="Normal"/>
    <w:qFormat/>
    <w:rsid w:val="00D02362"/>
    <w:pPr>
      <w:spacing w:before="240" w:after="120"/>
    </w:pPr>
    <w:rPr>
      <w:rFonts w:ascii="Times New Roman" w:hAnsi="Times New Roman"/>
      <w:b/>
      <w:sz w:val="32"/>
    </w:rPr>
  </w:style>
  <w:style w:type="paragraph" w:customStyle="1" w:styleId="Heading2TOC">
    <w:name w:val="Heading2 TOC"/>
    <w:basedOn w:val="Normal"/>
    <w:qFormat/>
    <w:rsid w:val="00D02362"/>
    <w:pPr>
      <w:spacing w:before="240" w:after="60"/>
    </w:pPr>
    <w:rPr>
      <w:rFonts w:ascii="Times New Roman" w:hAnsi="Times New Roman"/>
      <w:b/>
      <w:sz w:val="28"/>
    </w:rPr>
  </w:style>
  <w:style w:type="character" w:customStyle="1" w:styleId="Underline">
    <w:name w:val="Underline"/>
    <w:qFormat/>
    <w:rsid w:val="00D02362"/>
    <w:rPr>
      <w:u w:val="single"/>
    </w:rPr>
  </w:style>
  <w:style w:type="character" w:customStyle="1" w:styleId="BoldandItalics">
    <w:name w:val="Bold and Italics"/>
    <w:qFormat/>
    <w:rsid w:val="00D02362"/>
    <w:rPr>
      <w:b/>
      <w:i/>
      <w:u w:val="none"/>
    </w:rPr>
  </w:style>
  <w:style w:type="paragraph" w:styleId="BalloonText">
    <w:name w:val="Balloon Text"/>
    <w:basedOn w:val="Normal"/>
    <w:link w:val="BalloonTextChar"/>
    <w:rsid w:val="00D02362"/>
    <w:rPr>
      <w:rFonts w:ascii="Tahoma" w:hAnsi="Tahoma" w:cs="Tahoma"/>
      <w:sz w:val="16"/>
      <w:szCs w:val="16"/>
    </w:rPr>
  </w:style>
  <w:style w:type="character" w:customStyle="1" w:styleId="BalloonTextChar">
    <w:name w:val="Balloon Text Char"/>
    <w:link w:val="BalloonText"/>
    <w:rsid w:val="00D023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23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23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9489</Characters>
  <Application>Microsoft Office Word</Application>
  <DocSecurity>0</DocSecurity>
  <Lines>309</Lines>
  <Paragraphs>189</Paragraphs>
  <ScaleCrop>false</ScaleCrop>
  <Company>Author-it Software Corporation Ltd.</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TLIB3026A Prepare for train operation</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2012-05-27T03:30:00Z</dcterms:created>
  <dcterms:modified xsi:type="dcterms:W3CDTF">2012-05-27T03:30:00Z</dcterms:modified>
</cp:coreProperties>
</file>