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6933" w:rsidP="00386933">
      <w:pPr>
        <w:pStyle w:val="Title"/>
      </w:pPr>
      <w:bookmarkStart w:id="0" w:name="_GoBack"/>
      <w:bookmarkEnd w:id="0"/>
      <w:r>
        <w:fldChar w:fldCharType="begin"/>
      </w:r>
      <w:r>
        <w:instrText xml:space="preserve"> TITLE   \* MERGEFORMAT </w:instrText>
      </w:r>
      <w:r>
        <w:fldChar w:fldCharType="separate"/>
      </w:r>
      <w:r>
        <w:t>TLIA4055A Classify complex commodities for the import and export of goods through customs</w:t>
      </w:r>
      <w:r>
        <w:fldChar w:fldCharType="end"/>
      </w:r>
    </w:p>
    <w:p w:rsidR="00386933" w:rsidP="00386933">
      <w:pPr>
        <w:pStyle w:val="Version"/>
        <w:sectPr w:rsidSect="003C6B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6BDE" w:rsidP="003C6BDE">
      <w:pPr>
        <w:pStyle w:val="SuperHeading"/>
      </w:pPr>
      <w:r w:rsidRPr="003C6BDE">
        <w:t>TLIA4055A Classify complex commodities for the import and export of goods through customs</w:t>
      </w:r>
    </w:p>
    <w:p w:rsidR="00000000" w:rsidRPr="003C6BDE" w:rsidP="003C6BDE">
      <w:pPr>
        <w:pStyle w:val="Heading1"/>
      </w:pPr>
      <w:bookmarkStart w:id="1" w:name="O_273909"/>
      <w:bookmarkEnd w:id="1"/>
      <w:r w:rsidRPr="003C6BDE">
        <w:t>Modification History</w:t>
      </w:r>
    </w:p>
    <w:p w:rsidR="00000000" w:rsidRPr="003C6BDE" w:rsidP="003C6BDE">
      <w:pPr>
        <w:pStyle w:val="BodyText"/>
      </w:pPr>
      <w:r w:rsidRPr="003C6BDE">
        <w:t>Not Applicable</w:t>
      </w:r>
    </w:p>
    <w:p w:rsidR="00000000" w:rsidRPr="003C6BDE" w:rsidP="003C6BDE">
      <w:pPr>
        <w:pStyle w:val="AllowPageBreak"/>
      </w:pPr>
    </w:p>
    <w:p w:rsidR="00000000" w:rsidRPr="003C6BDE" w:rsidP="003C6BDE">
      <w:pPr>
        <w:pStyle w:val="Heading1"/>
      </w:pPr>
      <w:bookmarkStart w:id="2" w:name="O_222710"/>
      <w:bookmarkEnd w:id="2"/>
      <w:r w:rsidRPr="003C6BDE">
        <w:t>Unit De</w:t>
      </w:r>
      <w:r w:rsidRPr="003C6BDE">
        <w:t>scriptor</w:t>
      </w:r>
    </w:p>
    <w:tbl>
      <w:tblPr>
        <w:tblW w:w="9640" w:type="dxa"/>
        <w:tblLayout w:type="fixed"/>
        <w:tblCellMar>
          <w:left w:w="62" w:type="dxa"/>
          <w:right w:w="62" w:type="dxa"/>
        </w:tblCellMar>
        <w:tblLook w:val="0000"/>
      </w:tblPr>
      <w:tblGrid>
        <w:gridCol w:w="2978"/>
        <w:gridCol w:w="6662"/>
      </w:tblGrid>
      <w:tr w:rsidTr="0038693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C6BDE" w:rsidP="003C6BDE">
            <w:pPr>
              <w:pStyle w:val="BodyText"/>
            </w:pPr>
            <w:r w:rsidRPr="003C6BDE">
              <w:t>This unit involves the skills and knowledge required to classify complex commodities for the import and export of goods in accordance with Customs and related legislation and workplace requirements. Licensing, legislative, regulato</w:t>
            </w:r>
            <w:r w:rsidRPr="003C6BDE">
              <w:t>ry or certification requirements are applicable to this unit.</w:t>
            </w:r>
          </w:p>
        </w:tc>
      </w:tr>
    </w:tbl>
    <w:p w:rsidR="00386933" w:rsidP="003C6BDE">
      <w:pPr>
        <w:pStyle w:val="BodyText"/>
      </w:pPr>
    </w:p>
    <w:p w:rsidR="00386933" w:rsidP="003C6BDE">
      <w:pPr>
        <w:pStyle w:val="BodyText"/>
      </w:pPr>
    </w:p>
    <w:p w:rsidR="00000000" w:rsidRPr="003C6BDE" w:rsidP="003C6BDE">
      <w:pPr>
        <w:pStyle w:val="Heading1"/>
      </w:pPr>
      <w:bookmarkStart w:id="3" w:name="O_222712"/>
      <w:bookmarkEnd w:id="3"/>
      <w:r w:rsidRPr="003C6BDE">
        <w:t>Application of the Unit</w:t>
      </w:r>
    </w:p>
    <w:tbl>
      <w:tblPr>
        <w:tblW w:w="9640" w:type="dxa"/>
        <w:tblLayout w:type="fixed"/>
        <w:tblCellMar>
          <w:left w:w="62" w:type="dxa"/>
          <w:right w:w="62" w:type="dxa"/>
        </w:tblCellMar>
        <w:tblLook w:val="0000"/>
      </w:tblPr>
      <w:tblGrid>
        <w:gridCol w:w="2978"/>
        <w:gridCol w:w="6662"/>
      </w:tblGrid>
      <w:tr w:rsidTr="0038693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C6BDE" w:rsidP="003C6BDE">
            <w:pPr>
              <w:pStyle w:val="BodyText"/>
            </w:pPr>
            <w:r w:rsidRPr="003C6BDE">
              <w:t>This unit applies to individuals working as a customs broker. Work must be carried out in compliance with the relevant Customs Tariff Act 1995 and related legislation and workplace requirements concerning customs commodity classification functions. Work is</w:t>
            </w:r>
            <w:r w:rsidRPr="003C6BDE">
              <w:t xml:space="preserve"> undertaken in a range of environments including small to large worksites in the custom broking and international freight forwarding industries. Work at this level is performed by those who provide leadership of others individually or in teams.</w:t>
            </w:r>
          </w:p>
          <w:p w:rsidR="00000000" w:rsidRPr="003C6BDE" w:rsidP="003C6BDE">
            <w:pPr>
              <w:pStyle w:val="BodyText"/>
            </w:pPr>
            <w:r w:rsidRPr="003C6BDE">
              <w:t>This unit i</w:t>
            </w:r>
            <w:r w:rsidRPr="003C6BDE">
              <w:t>s normally packaged at AQF IV or above.</w:t>
            </w:r>
          </w:p>
        </w:tc>
      </w:tr>
    </w:tbl>
    <w:p w:rsidR="00386933" w:rsidP="003C6BDE">
      <w:pPr>
        <w:pStyle w:val="BodyText"/>
      </w:pPr>
    </w:p>
    <w:p w:rsidR="00386933" w:rsidP="003C6BDE">
      <w:pPr>
        <w:pStyle w:val="BodyText"/>
      </w:pPr>
    </w:p>
    <w:p w:rsidR="00000000" w:rsidRPr="003C6BDE" w:rsidP="003C6BDE">
      <w:pPr>
        <w:pStyle w:val="Heading1"/>
      </w:pPr>
      <w:bookmarkStart w:id="4" w:name="O_282169"/>
      <w:bookmarkEnd w:id="4"/>
      <w:r w:rsidRPr="003C6BDE">
        <w:t>Licensing/Regulatory Information</w:t>
      </w:r>
    </w:p>
    <w:p w:rsidR="00000000" w:rsidRPr="003C6BDE" w:rsidP="003C6BDE">
      <w:pPr>
        <w:pStyle w:val="BodyText"/>
      </w:pPr>
      <w:r w:rsidRPr="003C6BDE">
        <w:t>Refer to Unit Descriptor</w:t>
      </w:r>
    </w:p>
    <w:p w:rsidR="00000000" w:rsidRPr="003C6BDE" w:rsidP="003C6BDE">
      <w:pPr>
        <w:pStyle w:val="AllowPageBreak"/>
      </w:pPr>
    </w:p>
    <w:p w:rsidR="00000000" w:rsidRPr="003C6BDE" w:rsidP="003C6BDE">
      <w:pPr>
        <w:pStyle w:val="Heading1"/>
      </w:pPr>
      <w:bookmarkStart w:id="5" w:name="O_284619"/>
      <w:bookmarkEnd w:id="5"/>
      <w:r w:rsidRPr="003C6BDE">
        <w:t>Pre-Requisites</w:t>
      </w:r>
    </w:p>
    <w:p w:rsidR="00000000" w:rsidRPr="003C6BDE" w:rsidP="003C6BDE">
      <w:pPr>
        <w:pStyle w:val="BodyText"/>
      </w:pPr>
      <w:r w:rsidRPr="003C6BDE">
        <w:t>Not Applicable</w:t>
      </w:r>
    </w:p>
    <w:p w:rsidR="00000000" w:rsidRPr="003C6BDE" w:rsidP="003C6BDE">
      <w:pPr>
        <w:pStyle w:val="AllowPageBreak"/>
      </w:pPr>
    </w:p>
    <w:p w:rsidR="00000000" w:rsidRPr="003C6BDE" w:rsidP="003C6BDE">
      <w:pPr>
        <w:pStyle w:val="Heading1"/>
      </w:pPr>
      <w:bookmarkStart w:id="6" w:name="O_222711"/>
      <w:bookmarkEnd w:id="6"/>
      <w:r w:rsidRPr="003C6BDE">
        <w:t>Employability Skills Information</w:t>
      </w:r>
    </w:p>
    <w:tbl>
      <w:tblPr>
        <w:tblW w:w="9640" w:type="dxa"/>
        <w:tblLayout w:type="fixed"/>
        <w:tblCellMar>
          <w:left w:w="62" w:type="dxa"/>
          <w:right w:w="62" w:type="dxa"/>
        </w:tblCellMar>
        <w:tblLook w:val="0000"/>
      </w:tblPr>
      <w:tblGrid>
        <w:gridCol w:w="2978"/>
        <w:gridCol w:w="6662"/>
      </w:tblGrid>
      <w:tr w:rsidTr="0038693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C6BDE" w:rsidP="003C6BDE">
            <w:pPr>
              <w:pStyle w:val="BodyText"/>
            </w:pPr>
            <w:r w:rsidRPr="003C6BDE">
              <w:t>This unit contains employability skills.</w:t>
            </w:r>
          </w:p>
        </w:tc>
      </w:tr>
    </w:tbl>
    <w:p w:rsidR="00386933" w:rsidP="003C6BDE">
      <w:pPr>
        <w:pStyle w:val="BodyText"/>
      </w:pPr>
    </w:p>
    <w:p w:rsidR="00386933" w:rsidP="003C6BDE">
      <w:pPr>
        <w:pStyle w:val="BodyText"/>
      </w:pPr>
    </w:p>
    <w:p w:rsidR="00000000" w:rsidRPr="003C6BDE" w:rsidP="003C6BDE">
      <w:pPr>
        <w:pStyle w:val="Heading1"/>
      </w:pPr>
      <w:bookmarkStart w:id="7" w:name="O_291955"/>
      <w:bookmarkEnd w:id="7"/>
      <w:r w:rsidRPr="003C6BDE">
        <w:t>Elements and Performance Criteria Pre-Content</w:t>
      </w:r>
    </w:p>
    <w:tbl>
      <w:tblPr>
        <w:tblW w:w="9640" w:type="dxa"/>
        <w:tblLayout w:type="fixed"/>
        <w:tblCellMar>
          <w:left w:w="62" w:type="dxa"/>
          <w:right w:w="62" w:type="dxa"/>
        </w:tblCellMar>
        <w:tblLook w:val="0000"/>
      </w:tblPr>
      <w:tblGrid>
        <w:gridCol w:w="2978"/>
        <w:gridCol w:w="6662"/>
      </w:tblGrid>
      <w:tr w:rsidTr="0038693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C6BDE" w:rsidP="003C6BDE">
            <w:pPr>
              <w:pStyle w:val="BodyText"/>
            </w:pPr>
            <w:r w:rsidRPr="003C6BDE">
              <w:t>Performance criteria describe the required performance needed to demonstrate achiev</w:t>
            </w:r>
            <w:r w:rsidRPr="003C6BDE">
              <w:t>ement of the element. Assessment of performance is to be consistent with the evidence guide.</w:t>
            </w:r>
          </w:p>
        </w:tc>
      </w:tr>
    </w:tbl>
    <w:p w:rsidR="00000000" w:rsidRPr="003C6BDE" w:rsidP="003C6BDE">
      <w:pPr>
        <w:pStyle w:val="BodyText"/>
      </w:pPr>
    </w:p>
    <w:p w:rsidR="00000000" w:rsidRPr="003C6BDE" w:rsidP="003C6BDE">
      <w:pPr>
        <w:pStyle w:val="AllowPageBreak"/>
      </w:pPr>
    </w:p>
    <w:p w:rsidR="00000000" w:rsidRPr="003C6BDE" w:rsidP="003C6BDE">
      <w:pPr>
        <w:pStyle w:val="Heading1"/>
      </w:pPr>
      <w:bookmarkStart w:id="8" w:name="O_238623"/>
      <w:bookmarkEnd w:id="8"/>
      <w:r w:rsidRPr="003C6BDE">
        <w:t>Elements and Performance Criteria</w:t>
      </w:r>
    </w:p>
    <w:tbl>
      <w:tblPr>
        <w:tblW w:w="9640" w:type="dxa"/>
        <w:tblLayout w:type="fixed"/>
        <w:tblCellMar>
          <w:left w:w="62" w:type="dxa"/>
          <w:right w:w="62" w:type="dxa"/>
        </w:tblCellMar>
        <w:tblLook w:val="0000"/>
      </w:tblPr>
      <w:tblGrid>
        <w:gridCol w:w="2978"/>
        <w:gridCol w:w="6662"/>
      </w:tblGrid>
      <w:tr w:rsidTr="0038693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C6BDE" w:rsidP="003C6BDE">
            <w:pPr>
              <w:pStyle w:val="List"/>
            </w:pPr>
            <w:r w:rsidRPr="003C6BD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C6BDE">
            <w:pPr>
              <w:pStyle w:val="List"/>
              <w:rPr>
                <w:lang w:val="en-NZ"/>
              </w:rPr>
            </w:pPr>
            <w:r w:rsidRPr="003C6BDE">
              <w:rPr>
                <w:rStyle w:val="SpecialBold"/>
              </w:rPr>
              <w:t>PERFORMANCE CRITERIA</w:t>
            </w:r>
          </w:p>
        </w:tc>
      </w:tr>
      <w:tr w:rsidTr="0038693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C6BDE">
            <w:pPr>
              <w:pStyle w:val="List"/>
              <w:rPr>
                <w:lang w:val="en-NZ"/>
              </w:rPr>
            </w:pPr>
            <w:r w:rsidRPr="003C6BDE">
              <w:rPr>
                <w:rStyle w:val="SpecialBold"/>
              </w:rPr>
              <w:t>1</w:t>
            </w:r>
            <w:r w:rsidRPr="003C6BDE">
              <w:tab/>
            </w:r>
            <w:r w:rsidRPr="003C6BDE">
              <w:rPr>
                <w:rStyle w:val="SpecialBold"/>
              </w:rPr>
              <w:t>Apply identification principles to goods</w:t>
            </w:r>
          </w:p>
        </w:tc>
        <w:tc>
          <w:tcPr>
            <w:tcW w:w="6662" w:type="dxa"/>
            <w:tcBorders>
              <w:top w:val="nil"/>
              <w:left w:val="nil"/>
              <w:bottom w:val="nil"/>
              <w:right w:val="nil"/>
            </w:tcBorders>
            <w:tcMar>
              <w:top w:w="0" w:type="dxa"/>
              <w:left w:w="62" w:type="dxa"/>
              <w:bottom w:w="0" w:type="dxa"/>
              <w:right w:w="62" w:type="dxa"/>
            </w:tcMar>
          </w:tcPr>
          <w:p w:rsidR="00000000" w:rsidRPr="003C6BDE" w:rsidP="003C6BDE">
            <w:pPr>
              <w:pStyle w:val="List"/>
            </w:pPr>
            <w:r w:rsidRPr="003C6BDE">
              <w:t>1.1</w:t>
            </w:r>
            <w:r w:rsidRPr="003C6BDE">
              <w:tab/>
            </w:r>
            <w:r w:rsidRPr="003C6BDE">
              <w:t>Objective and analytical classification principles are applied</w:t>
            </w:r>
          </w:p>
          <w:p w:rsidR="00000000" w:rsidRPr="003C6BDE" w:rsidP="003C6BDE">
            <w:pPr>
              <w:pStyle w:val="List"/>
            </w:pPr>
            <w:r w:rsidRPr="003C6BDE">
              <w:t>1.2</w:t>
            </w:r>
            <w:r w:rsidRPr="003C6BDE">
              <w:tab/>
              <w:t>Research resources are accessed to classify goods</w:t>
            </w:r>
          </w:p>
          <w:p w:rsidR="00000000" w:rsidRPr="003C6BDE" w:rsidP="003C6BDE">
            <w:pPr>
              <w:pStyle w:val="List"/>
            </w:pPr>
            <w:r w:rsidRPr="003C6BDE">
              <w:t>1.3</w:t>
            </w:r>
            <w:r w:rsidRPr="003C6BDE">
              <w:tab/>
              <w:t>Precedents are considered</w:t>
            </w:r>
          </w:p>
          <w:p w:rsidR="00000000" w:rsidRPr="003C6BDE" w:rsidP="003C6BDE">
            <w:pPr>
              <w:pStyle w:val="List"/>
            </w:pPr>
            <w:r w:rsidRPr="003C6BDE">
              <w:t>1.4</w:t>
            </w:r>
            <w:r w:rsidRPr="003C6BDE">
              <w:tab/>
              <w:t>Assistance is sought as required</w:t>
            </w:r>
          </w:p>
          <w:p w:rsidR="00000000" w:rsidRPr="003C6BDE" w:rsidP="003C6BDE">
            <w:pPr>
              <w:pStyle w:val="List"/>
            </w:pPr>
            <w:r w:rsidRPr="003C6BDE">
              <w:t>1.5</w:t>
            </w:r>
            <w:r w:rsidRPr="003C6BDE">
              <w:tab/>
              <w:t xml:space="preserve">Administration Appeals Tribunal (AAT) decisions and court cases are </w:t>
            </w:r>
            <w:r w:rsidRPr="003C6BDE">
              <w:t>considered</w:t>
            </w:r>
          </w:p>
          <w:p w:rsidR="00000000" w:rsidP="003C6BDE">
            <w:pPr>
              <w:pStyle w:val="List"/>
              <w:rPr>
                <w:lang w:val="en-NZ"/>
              </w:rPr>
            </w:pPr>
            <w:r w:rsidRPr="003C6BDE">
              <w:t>1.6</w:t>
            </w:r>
            <w:r w:rsidRPr="003C6BDE">
              <w:tab/>
              <w:t>Product knowledge research is undertaken</w:t>
            </w:r>
          </w:p>
        </w:tc>
      </w:tr>
      <w:tr w:rsidTr="0038693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C6BDE">
            <w:pPr>
              <w:pStyle w:val="List"/>
              <w:rPr>
                <w:lang w:val="en-NZ"/>
              </w:rPr>
            </w:pPr>
            <w:r w:rsidRPr="003C6BDE">
              <w:rPr>
                <w:rStyle w:val="SpecialBold"/>
              </w:rPr>
              <w:t>2</w:t>
            </w:r>
            <w:r w:rsidRPr="003C6BDE">
              <w:tab/>
            </w:r>
            <w:r w:rsidRPr="003C6BDE">
              <w:rPr>
                <w:rStyle w:val="SpecialBold"/>
              </w:rPr>
              <w:t>Select tariff headings for consideration</w:t>
            </w:r>
            <w:r w:rsidRPr="003C6BDE">
              <w:t xml:space="preserve"> (</w:t>
            </w:r>
            <w:r w:rsidRPr="003C6BDE">
              <w:rPr>
                <w:rStyle w:val="SpecialBold"/>
              </w:rPr>
              <w:t>4 figure</w:t>
            </w:r>
            <w:r w:rsidRPr="003C6BDE">
              <w:t>)</w:t>
            </w:r>
          </w:p>
        </w:tc>
        <w:tc>
          <w:tcPr>
            <w:tcW w:w="6662" w:type="dxa"/>
            <w:tcBorders>
              <w:top w:val="nil"/>
              <w:left w:val="nil"/>
              <w:bottom w:val="nil"/>
              <w:right w:val="nil"/>
            </w:tcBorders>
            <w:tcMar>
              <w:top w:w="0" w:type="dxa"/>
              <w:left w:w="62" w:type="dxa"/>
              <w:bottom w:w="0" w:type="dxa"/>
              <w:right w:w="62" w:type="dxa"/>
            </w:tcMar>
          </w:tcPr>
          <w:p w:rsidR="00000000" w:rsidRPr="003C6BDE" w:rsidP="003C6BDE">
            <w:pPr>
              <w:pStyle w:val="List"/>
            </w:pPr>
            <w:r w:rsidRPr="003C6BDE">
              <w:t>2.1</w:t>
            </w:r>
            <w:r w:rsidRPr="003C6BDE">
              <w:tab/>
              <w:t>The principles of statutory construction in the context of particular tariff headings and words are applied</w:t>
            </w:r>
          </w:p>
          <w:p w:rsidR="00000000" w:rsidRPr="003C6BDE" w:rsidP="003C6BDE">
            <w:pPr>
              <w:pStyle w:val="List"/>
            </w:pPr>
            <w:r w:rsidRPr="003C6BDE">
              <w:t>2.2</w:t>
            </w:r>
            <w:r w:rsidRPr="003C6BDE">
              <w:tab/>
              <w:t>Relevant precedents are appli</w:t>
            </w:r>
            <w:r w:rsidRPr="003C6BDE">
              <w:t>ed when classifying commodities</w:t>
            </w:r>
          </w:p>
          <w:p w:rsidR="00000000" w:rsidRPr="003C6BDE" w:rsidP="003C6BDE">
            <w:pPr>
              <w:pStyle w:val="List"/>
            </w:pPr>
            <w:r w:rsidRPr="003C6BDE">
              <w:t>2.3</w:t>
            </w:r>
            <w:r w:rsidRPr="003C6BDE">
              <w:tab/>
              <w:t>Aids to interpretation of the tariff are used where applicable</w:t>
            </w:r>
          </w:p>
          <w:p w:rsidR="00000000" w:rsidRPr="003C6BDE" w:rsidP="003C6BDE">
            <w:pPr>
              <w:pStyle w:val="List"/>
            </w:pPr>
            <w:r w:rsidRPr="003C6BDE">
              <w:t>2.4</w:t>
            </w:r>
            <w:r w:rsidRPr="003C6BDE">
              <w:tab/>
              <w:t>Alternate headings are considered as appropriate</w:t>
            </w:r>
          </w:p>
          <w:p w:rsidR="00000000" w:rsidP="003C6BDE">
            <w:pPr>
              <w:pStyle w:val="List"/>
              <w:rPr>
                <w:lang w:val="en-NZ"/>
              </w:rPr>
            </w:pPr>
            <w:r w:rsidRPr="003C6BDE">
              <w:t>2.5</w:t>
            </w:r>
            <w:r w:rsidRPr="003C6BDE">
              <w:tab/>
              <w:t>Pre or post classification potential areas of dispute are identified</w:t>
            </w:r>
          </w:p>
        </w:tc>
      </w:tr>
      <w:tr w:rsidTr="0038693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C6BDE">
            <w:pPr>
              <w:pStyle w:val="List"/>
              <w:rPr>
                <w:lang w:val="en-NZ"/>
              </w:rPr>
            </w:pPr>
            <w:r w:rsidRPr="003C6BDE">
              <w:rPr>
                <w:rStyle w:val="SpecialBold"/>
              </w:rPr>
              <w:t>3</w:t>
            </w:r>
            <w:r w:rsidRPr="003C6BDE">
              <w:tab/>
            </w:r>
            <w:r w:rsidRPr="003C6BDE">
              <w:rPr>
                <w:rStyle w:val="SpecialBold"/>
              </w:rPr>
              <w:t>Select tariff sub-heading</w:t>
            </w:r>
            <w:r w:rsidRPr="003C6BDE">
              <w:t xml:space="preserve"> (</w:t>
            </w:r>
            <w:r w:rsidRPr="003C6BDE">
              <w:rPr>
                <w:rStyle w:val="SpecialBold"/>
              </w:rPr>
              <w:t>6 or 8 figure</w:t>
            </w:r>
            <w:r w:rsidRPr="003C6BDE">
              <w:t xml:space="preserve">) </w:t>
            </w:r>
            <w:r w:rsidRPr="003C6BDE">
              <w:rPr>
                <w:rStyle w:val="SpecialBold"/>
              </w:rPr>
              <w:t>for consideration</w:t>
            </w:r>
          </w:p>
        </w:tc>
        <w:tc>
          <w:tcPr>
            <w:tcW w:w="6662" w:type="dxa"/>
            <w:tcBorders>
              <w:top w:val="nil"/>
              <w:left w:val="nil"/>
              <w:bottom w:val="nil"/>
              <w:right w:val="nil"/>
            </w:tcBorders>
            <w:tcMar>
              <w:top w:w="0" w:type="dxa"/>
              <w:left w:w="62" w:type="dxa"/>
              <w:bottom w:w="0" w:type="dxa"/>
              <w:right w:w="62" w:type="dxa"/>
            </w:tcMar>
          </w:tcPr>
          <w:p w:rsidR="00000000" w:rsidRPr="003C6BDE" w:rsidP="003C6BDE">
            <w:pPr>
              <w:pStyle w:val="List"/>
            </w:pPr>
            <w:r w:rsidRPr="003C6BDE">
              <w:t>3.1</w:t>
            </w:r>
            <w:r w:rsidRPr="003C6BDE">
              <w:tab/>
              <w:t>AAT decisions, court cases and other precedents on tariff classification are interpreted and applied</w:t>
            </w:r>
          </w:p>
          <w:p w:rsidR="00000000" w:rsidRPr="003C6BDE" w:rsidP="003C6BDE">
            <w:pPr>
              <w:pStyle w:val="List"/>
            </w:pPr>
            <w:r w:rsidRPr="003C6BDE">
              <w:t>3.2</w:t>
            </w:r>
            <w:r w:rsidRPr="003C6BDE">
              <w:tab/>
              <w:t>Sub-heading notes are reviewed in hierarchical order</w:t>
            </w:r>
          </w:p>
          <w:p w:rsidR="00000000" w:rsidRPr="003C6BDE" w:rsidP="003C6BDE">
            <w:pPr>
              <w:pStyle w:val="List"/>
            </w:pPr>
            <w:r w:rsidRPr="003C6BDE">
              <w:t>3.3</w:t>
            </w:r>
            <w:r w:rsidRPr="003C6BDE">
              <w:tab/>
              <w:t>The dash system is applied to the classification</w:t>
            </w:r>
          </w:p>
          <w:p w:rsidR="00000000" w:rsidP="003C6BDE">
            <w:pPr>
              <w:pStyle w:val="List"/>
              <w:rPr>
                <w:lang w:val="en-NZ"/>
              </w:rPr>
            </w:pPr>
            <w:r w:rsidRPr="003C6BDE">
              <w:t>3.4</w:t>
            </w:r>
            <w:r w:rsidRPr="003C6BDE">
              <w:tab/>
              <w:t xml:space="preserve">The </w:t>
            </w:r>
            <w:r w:rsidRPr="003C6BDE">
              <w:t>correct statistical code is identified</w:t>
            </w:r>
          </w:p>
        </w:tc>
      </w:tr>
      <w:tr w:rsidTr="0038693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C6BDE">
            <w:pPr>
              <w:pStyle w:val="List"/>
              <w:rPr>
                <w:lang w:val="en-NZ"/>
              </w:rPr>
            </w:pPr>
            <w:r w:rsidRPr="003C6BDE">
              <w:rPr>
                <w:rStyle w:val="SpecialBold"/>
              </w:rPr>
              <w:t>4</w:t>
            </w:r>
            <w:r w:rsidRPr="003C6BDE">
              <w:tab/>
            </w:r>
            <w:r w:rsidRPr="003C6BDE">
              <w:rPr>
                <w:rStyle w:val="SpecialBold"/>
              </w:rPr>
              <w:t>Interpret and apply Section and Chapter Notes</w:t>
            </w:r>
          </w:p>
        </w:tc>
        <w:tc>
          <w:tcPr>
            <w:tcW w:w="6662" w:type="dxa"/>
            <w:tcBorders>
              <w:top w:val="nil"/>
              <w:left w:val="nil"/>
              <w:bottom w:val="nil"/>
              <w:right w:val="nil"/>
            </w:tcBorders>
            <w:tcMar>
              <w:top w:w="0" w:type="dxa"/>
              <w:left w:w="62" w:type="dxa"/>
              <w:bottom w:w="0" w:type="dxa"/>
              <w:right w:w="62" w:type="dxa"/>
            </w:tcMar>
          </w:tcPr>
          <w:p w:rsidR="00000000" w:rsidRPr="003C6BDE" w:rsidP="003C6BDE">
            <w:pPr>
              <w:pStyle w:val="List"/>
            </w:pPr>
            <w:r w:rsidRPr="003C6BDE">
              <w:t>4.1</w:t>
            </w:r>
            <w:r w:rsidRPr="003C6BDE">
              <w:tab/>
              <w:t>Tariff classification is determined</w:t>
            </w:r>
          </w:p>
          <w:p w:rsidR="00000000" w:rsidP="003C6BDE">
            <w:pPr>
              <w:pStyle w:val="List"/>
              <w:rPr>
                <w:lang w:val="en-NZ"/>
              </w:rPr>
            </w:pPr>
            <w:r w:rsidRPr="003C6BDE">
              <w:t>4.2</w:t>
            </w:r>
            <w:r w:rsidRPr="003C6BDE">
              <w:tab/>
              <w:t>Rejection of alternate headings are justified by reference to the Section and Chapter Notes</w:t>
            </w:r>
          </w:p>
        </w:tc>
      </w:tr>
      <w:tr w:rsidTr="0038693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C6BDE">
            <w:pPr>
              <w:pStyle w:val="List"/>
              <w:rPr>
                <w:lang w:val="en-NZ"/>
              </w:rPr>
            </w:pPr>
            <w:r w:rsidRPr="003C6BDE">
              <w:rPr>
                <w:rStyle w:val="SpecialBold"/>
              </w:rPr>
              <w:t>5</w:t>
            </w:r>
            <w:r w:rsidRPr="003C6BDE">
              <w:tab/>
            </w:r>
            <w:r w:rsidRPr="003C6BDE">
              <w:rPr>
                <w:rStyle w:val="SpecialBold"/>
              </w:rPr>
              <w:t>Interpret and apply rules for</w:t>
            </w:r>
            <w:r w:rsidRPr="003C6BDE">
              <w:rPr>
                <w:rStyle w:val="SpecialBold"/>
              </w:rPr>
              <w:t xml:space="preserve"> interpretation to goods</w:t>
            </w:r>
          </w:p>
        </w:tc>
        <w:tc>
          <w:tcPr>
            <w:tcW w:w="6662" w:type="dxa"/>
            <w:tcBorders>
              <w:top w:val="nil"/>
              <w:left w:val="nil"/>
              <w:bottom w:val="nil"/>
              <w:right w:val="nil"/>
            </w:tcBorders>
            <w:tcMar>
              <w:top w:w="0" w:type="dxa"/>
              <w:left w:w="62" w:type="dxa"/>
              <w:bottom w:w="0" w:type="dxa"/>
              <w:right w:w="62" w:type="dxa"/>
            </w:tcMar>
          </w:tcPr>
          <w:p w:rsidR="00000000" w:rsidRPr="003C6BDE" w:rsidP="003C6BDE">
            <w:pPr>
              <w:pStyle w:val="List"/>
            </w:pPr>
            <w:r w:rsidRPr="003C6BDE">
              <w:t>5.1</w:t>
            </w:r>
            <w:r w:rsidRPr="003C6BDE">
              <w:tab/>
              <w:t>Interpretative rules are applied to justify tariff classification of goods</w:t>
            </w:r>
          </w:p>
          <w:p w:rsidR="00000000" w:rsidRPr="003C6BDE" w:rsidP="003C6BDE">
            <w:pPr>
              <w:pStyle w:val="List"/>
            </w:pPr>
            <w:r w:rsidRPr="003C6BDE">
              <w:t>5.2</w:t>
            </w:r>
            <w:r w:rsidRPr="003C6BDE">
              <w:tab/>
              <w:t>Research resources are accessed when interpreting and applying rules for interpretation to goods</w:t>
            </w:r>
          </w:p>
          <w:p w:rsidR="00000000" w:rsidP="003C6BDE">
            <w:pPr>
              <w:pStyle w:val="List"/>
              <w:rPr>
                <w:lang w:val="en-NZ"/>
              </w:rPr>
            </w:pPr>
            <w:r w:rsidRPr="003C6BDE">
              <w:t>5.3</w:t>
            </w:r>
            <w:r w:rsidRPr="003C6BDE">
              <w:tab/>
              <w:t>Requirements for tariff classification advice a</w:t>
            </w:r>
            <w:r w:rsidRPr="003C6BDE">
              <w:t>re identified</w:t>
            </w:r>
          </w:p>
        </w:tc>
      </w:tr>
      <w:tr w:rsidTr="0038693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C6BDE">
            <w:pPr>
              <w:pStyle w:val="List"/>
              <w:rPr>
                <w:lang w:val="en-NZ"/>
              </w:rPr>
            </w:pPr>
            <w:r w:rsidRPr="003C6BDE">
              <w:rPr>
                <w:rStyle w:val="SpecialBold"/>
              </w:rPr>
              <w:t>6</w:t>
            </w:r>
            <w:r w:rsidRPr="003C6BDE">
              <w:tab/>
            </w:r>
            <w:r w:rsidRPr="003C6BDE">
              <w:rPr>
                <w:rStyle w:val="SpecialBold"/>
              </w:rPr>
              <w:t>Complete post classification requirements in accordance with legislative requirements</w:t>
            </w:r>
          </w:p>
        </w:tc>
        <w:tc>
          <w:tcPr>
            <w:tcW w:w="6662" w:type="dxa"/>
            <w:tcBorders>
              <w:top w:val="nil"/>
              <w:left w:val="nil"/>
              <w:bottom w:val="nil"/>
              <w:right w:val="nil"/>
            </w:tcBorders>
            <w:tcMar>
              <w:top w:w="0" w:type="dxa"/>
              <w:left w:w="62" w:type="dxa"/>
              <w:bottom w:w="0" w:type="dxa"/>
              <w:right w:w="62" w:type="dxa"/>
            </w:tcMar>
          </w:tcPr>
          <w:p w:rsidR="00000000" w:rsidRPr="003C6BDE" w:rsidP="003C6BDE">
            <w:pPr>
              <w:pStyle w:val="List"/>
            </w:pPr>
            <w:r w:rsidRPr="003C6BDE">
              <w:t>6.1</w:t>
            </w:r>
            <w:r w:rsidRPr="003C6BDE">
              <w:tab/>
              <w:t>Tariff Classification Advice Request is prepared in response to identified problems</w:t>
            </w:r>
          </w:p>
          <w:p w:rsidR="00000000" w:rsidRPr="003C6BDE" w:rsidP="003C6BDE">
            <w:pPr>
              <w:pStyle w:val="List"/>
            </w:pPr>
            <w:r w:rsidRPr="003C6BDE">
              <w:t>6.2</w:t>
            </w:r>
            <w:r w:rsidRPr="003C6BDE">
              <w:tab/>
              <w:t>Classification is entered correctly on the customs entry/decl</w:t>
            </w:r>
            <w:r w:rsidRPr="003C6BDE">
              <w:t>aration in accordance with the requirements of Customs and related legislation and workplace procedures</w:t>
            </w:r>
          </w:p>
          <w:p w:rsidR="00000000" w:rsidRPr="003C6BDE" w:rsidP="003C6BDE">
            <w:pPr>
              <w:pStyle w:val="List"/>
            </w:pPr>
            <w:r w:rsidRPr="003C6BDE">
              <w:t>6.3</w:t>
            </w:r>
            <w:r w:rsidRPr="003C6BDE">
              <w:tab/>
            </w:r>
            <w:r w:rsidRPr="003C6BDE">
              <w:t>Completed documentation is retained by relevant personnel in the enterprise in accordance with the requirements of Customs and related legislation and workplace procedures</w:t>
            </w:r>
          </w:p>
          <w:p w:rsidR="00000000" w:rsidRPr="003C6BDE" w:rsidP="003C6BDE">
            <w:pPr>
              <w:pStyle w:val="List"/>
            </w:pPr>
            <w:r w:rsidRPr="003C6BDE">
              <w:t>6.4</w:t>
            </w:r>
            <w:r w:rsidRPr="003C6BDE">
              <w:tab/>
              <w:t>Relevant documentation and other sources of information (e.g. from internet, ind</w:t>
            </w:r>
            <w:r w:rsidRPr="003C6BDE">
              <w:t>ustry experts, etc.) is retained and passed on to the client in accordance with the requirements of Customs and related legislation and workplace procedures</w:t>
            </w:r>
          </w:p>
          <w:p w:rsidR="00000000" w:rsidRPr="003C6BDE" w:rsidP="003C6BDE">
            <w:pPr>
              <w:pStyle w:val="List"/>
            </w:pPr>
            <w:r w:rsidRPr="003C6BDE">
              <w:t>6.5</w:t>
            </w:r>
            <w:r w:rsidRPr="003C6BDE">
              <w:tab/>
              <w:t>Post entry classification advice to the client is initiated where required</w:t>
            </w:r>
          </w:p>
        </w:tc>
      </w:tr>
    </w:tbl>
    <w:p w:rsidR="00386933" w:rsidP="003C6BDE">
      <w:pPr>
        <w:pStyle w:val="BodyText"/>
      </w:pPr>
    </w:p>
    <w:p w:rsidR="00386933" w:rsidP="003C6BDE">
      <w:pPr>
        <w:pStyle w:val="BodyText"/>
      </w:pPr>
    </w:p>
    <w:p w:rsidR="00000000" w:rsidRPr="003C6BDE" w:rsidP="003C6BDE">
      <w:pPr>
        <w:pStyle w:val="Heading1"/>
      </w:pPr>
      <w:bookmarkStart w:id="9" w:name="O_262414"/>
      <w:bookmarkEnd w:id="9"/>
      <w:r w:rsidRPr="003C6BDE">
        <w:t>Required Skills and Knowledge</w:t>
      </w:r>
    </w:p>
    <w:tbl>
      <w:tblPr>
        <w:tblW w:w="9640" w:type="dxa"/>
        <w:tblLayout w:type="fixed"/>
        <w:tblCellMar>
          <w:left w:w="62" w:type="dxa"/>
          <w:right w:w="62" w:type="dxa"/>
        </w:tblCellMar>
        <w:tblLook w:val="0000"/>
      </w:tblPr>
      <w:tblGrid>
        <w:gridCol w:w="9640"/>
      </w:tblGrid>
      <w:tr w:rsidTr="0038693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rPr>
                <w:rStyle w:val="SpecialBold"/>
              </w:rPr>
              <w:t>REQUIRED KNOWLEDGE AND SKILLS</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This describes the essential knowledge and skills and their level required for this unit.</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rPr>
                <w:rStyle w:val="SpecialBold"/>
              </w:rPr>
              <w:t>Required knowledge</w:t>
            </w:r>
            <w:r w:rsidRPr="003C6BDE">
              <w:t>:</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Customs and related legislation relevant to the classification of com</w:t>
            </w:r>
            <w:r w:rsidRPr="003C6BDE">
              <w:t>plex commodities for the import and export of goods through customs</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Relevant OH&amp;S and environmental protection procedures and guidelines</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Customs and workplace procedures and policies for the classification of complex commodities for the import and export</w:t>
            </w:r>
            <w:r w:rsidRPr="003C6BDE">
              <w:t xml:space="preserve"> of goods through customs</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Focus of operation of work systems, equipment, management and site operating systems for the classification of complex commodities for the import and export of goods through customs</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Problems that may occur when classifying compl</w:t>
            </w:r>
            <w:r w:rsidRPr="003C6BDE">
              <w:t>ex commodities for the import and export of goods through customs and appropriate action that can be taken to resolve the problems</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Information on relevant aspects of the classification of complex commodities for the import and export of goods through cust</w:t>
            </w:r>
            <w:r w:rsidRPr="003C6BDE">
              <w:t>oms</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Types of complex commodities and related classification and documentation requirements</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Sources of information on new developments in the classification of complex commodities for the import and export of goods through customs</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Ways of learning the sk</w:t>
            </w:r>
            <w:r w:rsidRPr="003C6BDE">
              <w:t>ills and knowledge required for new developments in the classification of complex commodities for the import and export of goods through customs</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Cultural differences amongst customers, internal and external fr</w:t>
            </w:r>
            <w:r w:rsidRPr="003C6BDE">
              <w:t>eight contacts and within the operational team and their implications when providing customs classification services</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Documentation and recording requirements for the classification of commodities for the import and export of goods through customs</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C6BDE" w:rsidP="003C6BDE">
            <w:pPr>
              <w:pStyle w:val="ListBullet"/>
            </w:pPr>
            <w:r w:rsidRPr="003C6BDE">
              <w:t>Steps i</w:t>
            </w:r>
            <w:r w:rsidRPr="003C6BDE">
              <w:t>nvolved in planning the work activities</w:t>
            </w:r>
          </w:p>
        </w:tc>
      </w:tr>
    </w:tbl>
    <w:p w:rsidR="00000000" w:rsidRPr="003C6BDE" w:rsidP="003C6BDE">
      <w:pPr>
        <w:pStyle w:val="BodyText"/>
      </w:pPr>
    </w:p>
    <w:tbl>
      <w:tblPr>
        <w:tblW w:w="9640" w:type="dxa"/>
        <w:tblLayout w:type="fixed"/>
        <w:tblCellMar>
          <w:left w:w="62" w:type="dxa"/>
          <w:right w:w="62" w:type="dxa"/>
        </w:tblCellMar>
        <w:tblLook w:val="0000"/>
      </w:tblPr>
      <w:tblGrid>
        <w:gridCol w:w="9640"/>
      </w:tblGrid>
      <w:tr w:rsidTr="0038693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rPr>
                <w:rStyle w:val="SpecialBold"/>
              </w:rPr>
              <w:t>Required skills</w:t>
            </w:r>
            <w:r w:rsidRPr="003C6BDE">
              <w:t>:</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Communicate effectively with others when classifying complex commodities for the import and export of goods through customs</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Locate, read and interpret instructions, procedures and information rel</w:t>
            </w:r>
            <w:r w:rsidRPr="003C6BDE">
              <w:t>evant to the classification of complex commodities for the import and export of goods through customs</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Plan and organise work activities when classifying complex commodities for the import and export of goods through customs</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Select and use relevant computer/communication/office equipment when classifying complex commodities for the import and export of goods through customs</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Enter information using appropriate technology</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Maintain workplace documentation and records</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Work coll</w:t>
            </w:r>
            <w:r w:rsidRPr="003C6BDE">
              <w:t>aboratively as part of an operational team</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Adapt appropriately to cultural differences in the workplace, including modes of behaviour and interactions with others</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Modify activities depending on differing workplace contexts, risk situations and environmen</w:t>
            </w:r>
            <w:r w:rsidRPr="003C6BDE">
              <w:t>ts, including taking appropriate initiatives within allowable limits</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Solve problems that may arise when classifying complex commodities for the import and export of goods through customs</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Identify, interpret and learn skills and knowledge required for rel</w:t>
            </w:r>
            <w:r w:rsidRPr="003C6BDE">
              <w:t>evant new developments in the classification of complex commodities for the import and export of goods through customs</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Work systematically with required attention to detail without injury to self or others, or damage to goods or equipment</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Learn skills an</w:t>
            </w:r>
            <w:r w:rsidRPr="003C6BDE">
              <w:t>d knowledge required for relevant new developments in the classification of complex commodities</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Select and use appropriate workplace colloquial and technical language and communication technologies in the workplace context</w:t>
            </w:r>
          </w:p>
        </w:tc>
      </w:tr>
      <w:tr w:rsidTr="0038693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C6BDE" w:rsidP="003C6BDE">
            <w:pPr>
              <w:pStyle w:val="ListBullet"/>
            </w:pPr>
            <w:r w:rsidRPr="003C6BDE">
              <w:t>Follow the designated plan for the work</w:t>
            </w:r>
          </w:p>
        </w:tc>
      </w:tr>
    </w:tbl>
    <w:p w:rsidR="00386933" w:rsidP="003C6BDE">
      <w:pPr>
        <w:pStyle w:val="BodyText"/>
      </w:pPr>
    </w:p>
    <w:p w:rsidR="00386933" w:rsidP="003C6BDE">
      <w:pPr>
        <w:pStyle w:val="BodyText"/>
      </w:pPr>
    </w:p>
    <w:p w:rsidR="00000000" w:rsidRPr="003C6BDE" w:rsidP="003C6BDE">
      <w:pPr>
        <w:pStyle w:val="Heading1"/>
      </w:pPr>
      <w:bookmarkStart w:id="10" w:name="O_246607"/>
      <w:bookmarkEnd w:id="10"/>
      <w:r w:rsidRPr="003C6BDE">
        <w:t>Evidence Guide</w:t>
      </w:r>
    </w:p>
    <w:tbl>
      <w:tblPr>
        <w:tblW w:w="9499" w:type="dxa"/>
        <w:tblLayout w:type="fixed"/>
        <w:tblCellMar>
          <w:left w:w="62" w:type="dxa"/>
          <w:right w:w="62" w:type="dxa"/>
        </w:tblCellMar>
        <w:tblLook w:val="0000"/>
      </w:tblPr>
      <w:tblGrid>
        <w:gridCol w:w="3524"/>
        <w:gridCol w:w="5975"/>
      </w:tblGrid>
      <w:tr w:rsidTr="0038693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rPr>
                <w:rStyle w:val="SpecialBold"/>
              </w:rPr>
              <w:t>EVIDENCE GUIDE</w:t>
            </w:r>
          </w:p>
        </w:tc>
      </w:tr>
      <w:tr w:rsidTr="0038693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 xml:space="preserve">The evidence guide provides advice on assessment and must be read in conjunction with the performance criteria, required knowledge and skills, </w:t>
            </w:r>
            <w:r w:rsidRPr="003C6BDE">
              <w:t>the range statement and the assessment guidelines for this Training Package.</w:t>
            </w:r>
          </w:p>
        </w:tc>
      </w:tr>
      <w:tr w:rsidTr="0038693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C6BDE" w:rsidP="003C6BDE">
            <w:pPr>
              <w:pStyle w:val="ListBullet"/>
            </w:pPr>
            <w:r w:rsidRPr="003C6BDE">
              <w:t>The evidence required to demonstrate competency in this unit must be relevant to and</w:t>
            </w:r>
            <w:r w:rsidRPr="003C6BDE">
              <w:t xml:space="preserve"> satisfy all of the requirements of the elements and performance criteria of this unit and include demonstration of:</w:t>
            </w:r>
          </w:p>
          <w:p w:rsidR="00000000" w:rsidRPr="003C6BDE" w:rsidP="003C6BDE">
            <w:pPr>
              <w:pStyle w:val="ListBullet2"/>
            </w:pPr>
            <w:r w:rsidRPr="003C6BDE">
              <w:t>interpreting and applying rules for interpretation to goods</w:t>
            </w:r>
          </w:p>
          <w:p w:rsidR="00000000" w:rsidRPr="003C6BDE" w:rsidP="003C6BDE">
            <w:pPr>
              <w:pStyle w:val="ListBullet2"/>
            </w:pPr>
            <w:r w:rsidRPr="003C6BDE">
              <w:t>selecting and justifying heading (4 figure)</w:t>
            </w:r>
          </w:p>
          <w:p w:rsidR="00000000" w:rsidRPr="003C6BDE" w:rsidP="003C6BDE">
            <w:pPr>
              <w:pStyle w:val="ListBullet2"/>
            </w:pPr>
            <w:r w:rsidRPr="003C6BDE">
              <w:t>locating and justifying a sub-heading (6 or 8 figure)</w:t>
            </w:r>
          </w:p>
          <w:p w:rsidR="00000000" w:rsidRPr="003C6BDE" w:rsidP="003C6BDE">
            <w:pPr>
              <w:pStyle w:val="ListBullet2"/>
            </w:pPr>
            <w:r w:rsidRPr="003C6BDE">
              <w:t>completing post classification requirements</w:t>
            </w:r>
          </w:p>
          <w:p w:rsidR="00000000" w:rsidP="003C6BDE">
            <w:pPr>
              <w:pStyle w:val="ListBullet2"/>
              <w:rPr>
                <w:lang w:val="en-NZ"/>
              </w:rPr>
            </w:pPr>
            <w:r w:rsidRPr="003C6BDE">
              <w:t>interpreting and applying Section and Chapter Notes</w:t>
            </w:r>
          </w:p>
        </w:tc>
      </w:tr>
      <w:tr w:rsidTr="0038693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C6BDE" w:rsidP="003C6BDE">
            <w:pPr>
              <w:pStyle w:val="ListBullet"/>
            </w:pPr>
            <w:r w:rsidRPr="003C6BDE">
              <w:t>Performance is demonstrated consistently over a period o</w:t>
            </w:r>
            <w:r w:rsidRPr="003C6BDE">
              <w:t>f time and in a suitable range of contexts</w:t>
            </w:r>
          </w:p>
          <w:p w:rsidR="00000000" w:rsidRPr="003C6BDE" w:rsidP="003C6BDE">
            <w:pPr>
              <w:pStyle w:val="ListBullet"/>
            </w:pPr>
            <w:r w:rsidRPr="003C6BDE">
              <w:t>Resources for assessment include:</w:t>
            </w:r>
          </w:p>
          <w:p w:rsidR="00000000" w:rsidRPr="003C6BDE" w:rsidP="003C6BDE">
            <w:pPr>
              <w:pStyle w:val="ListBullet2"/>
            </w:pPr>
            <w:r w:rsidRPr="003C6BDE">
              <w:t>a range of relevant exercises, case studies and/or other simulated practical and knowledge assessment, and/or</w:t>
            </w:r>
          </w:p>
          <w:p w:rsidR="00000000" w:rsidRPr="003C6BDE" w:rsidP="003C6BDE">
            <w:pPr>
              <w:pStyle w:val="ListBullet2"/>
            </w:pPr>
            <w:r w:rsidRPr="003C6BDE">
              <w:t>access to an appropriate range of relevant operational situations in</w:t>
            </w:r>
            <w:r w:rsidRPr="003C6BDE">
              <w:t xml:space="preserve"> the workplace</w:t>
            </w:r>
          </w:p>
          <w:p w:rsidR="00000000" w:rsidRPr="003C6BDE" w:rsidP="003C6BDE">
            <w:pPr>
              <w:pStyle w:val="ListBullet"/>
            </w:pPr>
            <w:r w:rsidRPr="003C6BDE">
              <w:t>In both real and simulated environments, access is required to:</w:t>
            </w:r>
          </w:p>
          <w:p w:rsidR="00000000" w:rsidRPr="003C6BDE" w:rsidP="003C6BDE">
            <w:pPr>
              <w:pStyle w:val="ListBullet2"/>
            </w:pPr>
            <w:r w:rsidRPr="003C6BDE">
              <w:t>relevant and appropriate materials and equipment, and</w:t>
            </w:r>
          </w:p>
          <w:p w:rsidR="00000000" w:rsidP="003C6BDE">
            <w:pPr>
              <w:pStyle w:val="ListBullet2"/>
              <w:rPr>
                <w:lang w:val="en-NZ"/>
              </w:rPr>
            </w:pPr>
            <w:r w:rsidRPr="003C6BDE">
              <w:t>applicable documentation including workplace procedures, regulations, codes of practice and operation manuals</w:t>
            </w:r>
          </w:p>
        </w:tc>
      </w:tr>
      <w:tr w:rsidTr="0038693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C6BDE" w:rsidP="003C6BDE">
            <w:pPr>
              <w:pStyle w:val="ListBullet"/>
            </w:pPr>
            <w:r w:rsidRPr="003C6BDE">
              <w:t>Assessment of this unit must be undertaken by a registered training organisation</w:t>
            </w:r>
          </w:p>
          <w:p w:rsidR="00000000" w:rsidRPr="003C6BDE" w:rsidP="003C6BDE">
            <w:pPr>
              <w:pStyle w:val="ListBullet"/>
            </w:pPr>
            <w:r w:rsidRPr="003C6BDE">
              <w:t>As a minimum, assessment of knowledge must be conducted through appropriate written/oral tests</w:t>
            </w:r>
          </w:p>
          <w:p w:rsidR="00000000" w:rsidRPr="003C6BDE" w:rsidP="003C6BDE">
            <w:pPr>
              <w:pStyle w:val="ListBullet"/>
            </w:pPr>
            <w:r w:rsidRPr="003C6BDE">
              <w:t>Practical assessment must occur:</w:t>
            </w:r>
          </w:p>
          <w:p w:rsidR="00000000" w:rsidRPr="003C6BDE" w:rsidP="003C6BDE">
            <w:pPr>
              <w:pStyle w:val="ListBullet2"/>
            </w:pPr>
            <w:r w:rsidRPr="003C6BDE">
              <w:t xml:space="preserve">through activities in an </w:t>
            </w:r>
            <w:r w:rsidRPr="003C6BDE">
              <w:t>appropriately simulated environment at the registered training organisation, and/or</w:t>
            </w:r>
          </w:p>
          <w:p w:rsidR="00000000" w:rsidRPr="003C6BDE" w:rsidP="003C6BDE">
            <w:pPr>
              <w:pStyle w:val="ListBullet2"/>
            </w:pPr>
            <w:r w:rsidRPr="003C6BDE">
              <w:t>in an appropriate range of situations in the workplace</w:t>
            </w:r>
          </w:p>
        </w:tc>
      </w:tr>
    </w:tbl>
    <w:p w:rsidR="00386933" w:rsidP="003C6BDE">
      <w:pPr>
        <w:pStyle w:val="BodyText"/>
      </w:pPr>
    </w:p>
    <w:p w:rsidR="00386933" w:rsidP="003C6BDE">
      <w:pPr>
        <w:pStyle w:val="BodyText"/>
      </w:pPr>
    </w:p>
    <w:p w:rsidR="00000000" w:rsidRPr="003C6BDE" w:rsidP="003C6BDE">
      <w:pPr>
        <w:pStyle w:val="Heading1"/>
      </w:pPr>
      <w:bookmarkStart w:id="11" w:name="O_254590"/>
      <w:bookmarkEnd w:id="11"/>
      <w:r w:rsidRPr="003C6BDE">
        <w:t>Range Statement</w:t>
      </w:r>
    </w:p>
    <w:tbl>
      <w:tblPr>
        <w:tblW w:w="9640" w:type="dxa"/>
        <w:tblLayout w:type="fixed"/>
        <w:tblCellMar>
          <w:left w:w="62" w:type="dxa"/>
          <w:right w:w="62" w:type="dxa"/>
        </w:tblCellMar>
        <w:tblLook w:val="0000"/>
      </w:tblPr>
      <w:tblGrid>
        <w:gridCol w:w="3486"/>
        <w:gridCol w:w="6154"/>
      </w:tblGrid>
      <w:tr w:rsidTr="0038693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rPr>
                <w:rStyle w:val="SpecialBold"/>
              </w:rPr>
              <w:t>RANGE STATEMENT</w:t>
            </w:r>
            <w:r w:rsidRPr="003C6BDE">
              <w:t xml:space="preserve"> </w:t>
            </w:r>
          </w:p>
        </w:tc>
      </w:tr>
      <w:tr w:rsidTr="0038693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The range statement relates to the unit of competency as a whole. It allows for different work environments and situations that may affect performance.</w:t>
            </w:r>
          </w:p>
        </w:tc>
      </w:tr>
      <w:tr w:rsidTr="0038693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Information on relevant aspects for the classification of commodities for the import and export of goo</w:t>
            </w:r>
            <w:r w:rsidRPr="003C6BDE">
              <w:t>ds may include:</w:t>
            </w:r>
          </w:p>
        </w:tc>
        <w:tc>
          <w:tcPr>
            <w:tcW w:w="6154" w:type="dxa"/>
            <w:tcBorders>
              <w:top w:val="nil"/>
              <w:left w:val="nil"/>
              <w:bottom w:val="nil"/>
              <w:right w:val="nil"/>
            </w:tcBorders>
            <w:tcMar>
              <w:top w:w="0" w:type="dxa"/>
              <w:left w:w="62" w:type="dxa"/>
              <w:bottom w:w="0" w:type="dxa"/>
              <w:right w:w="62" w:type="dxa"/>
            </w:tcMar>
          </w:tcPr>
          <w:p w:rsidR="00000000" w:rsidRPr="003C6BDE" w:rsidP="003C6BDE">
            <w:pPr>
              <w:pStyle w:val="ListBullet"/>
            </w:pPr>
            <w:r w:rsidRPr="003C6BDE">
              <w:t>processes and practices for classifying various types of complex commodities</w:t>
            </w:r>
          </w:p>
          <w:p w:rsidR="00000000" w:rsidP="003C6BDE">
            <w:pPr>
              <w:pStyle w:val="ListBullet"/>
              <w:rPr>
                <w:lang w:val="en-NZ"/>
              </w:rPr>
            </w:pPr>
            <w:r w:rsidRPr="003C6BDE">
              <w:t>the contents and purpose of Customs Tariff Act 1995, Schedule 2, 3 and 4</w:t>
            </w:r>
          </w:p>
        </w:tc>
      </w:tr>
      <w:tr w:rsidTr="0038693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Objective classification may include:</w:t>
            </w:r>
          </w:p>
        </w:tc>
        <w:tc>
          <w:tcPr>
            <w:tcW w:w="6154"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the classifier finding out as much as possible about the goods in the condition they are imported or exported</w:t>
            </w:r>
          </w:p>
        </w:tc>
      </w:tr>
      <w:tr w:rsidTr="0038693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Analytical classification may include:</w:t>
            </w:r>
          </w:p>
        </w:tc>
        <w:tc>
          <w:tcPr>
            <w:tcW w:w="6154" w:type="dxa"/>
            <w:tcBorders>
              <w:top w:val="nil"/>
              <w:left w:val="nil"/>
              <w:bottom w:val="nil"/>
              <w:right w:val="nil"/>
            </w:tcBorders>
            <w:tcMar>
              <w:top w:w="0" w:type="dxa"/>
              <w:left w:w="62" w:type="dxa"/>
              <w:bottom w:w="0" w:type="dxa"/>
              <w:right w:w="62" w:type="dxa"/>
            </w:tcMar>
          </w:tcPr>
          <w:p w:rsidR="00000000" w:rsidRPr="003C6BDE" w:rsidP="003C6BDE">
            <w:pPr>
              <w:pStyle w:val="ListBullet"/>
            </w:pPr>
            <w:r w:rsidRPr="003C6BDE">
              <w:t>technology</w:t>
            </w:r>
          </w:p>
          <w:p w:rsidR="00000000" w:rsidP="003C6BDE">
            <w:pPr>
              <w:pStyle w:val="ListBullet"/>
              <w:rPr>
                <w:lang w:val="en-NZ"/>
              </w:rPr>
            </w:pPr>
            <w:r w:rsidRPr="003C6BDE">
              <w:t>the avoidance of generalised terms such as souvenirs, printed matter and clothing as these term</w:t>
            </w:r>
            <w:r w:rsidRPr="003C6BDE">
              <w:t>s do not demonstrate analytical classification as required to correctly identify the goods</w:t>
            </w:r>
          </w:p>
        </w:tc>
      </w:tr>
      <w:tr w:rsidTr="0038693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Harmonized system terminology may include:</w:t>
            </w:r>
          </w:p>
        </w:tc>
        <w:tc>
          <w:tcPr>
            <w:tcW w:w="6154"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sufficient identification to be capable of being transferred into tariff terminology. For example, a tool holder could be</w:t>
            </w:r>
            <w:r w:rsidRPr="003C6BDE">
              <w:t xml:space="preserve"> included in the identification if the holder worked solely or principally with machines described specifically in the harmonized system</w:t>
            </w:r>
          </w:p>
        </w:tc>
      </w:tr>
      <w:tr w:rsidTr="0038693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Assistance may include:</w:t>
            </w:r>
          </w:p>
        </w:tc>
        <w:tc>
          <w:tcPr>
            <w:tcW w:w="6154" w:type="dxa"/>
            <w:tcBorders>
              <w:top w:val="nil"/>
              <w:left w:val="nil"/>
              <w:bottom w:val="nil"/>
              <w:right w:val="nil"/>
            </w:tcBorders>
            <w:tcMar>
              <w:top w:w="0" w:type="dxa"/>
              <w:left w:w="62" w:type="dxa"/>
              <w:bottom w:w="0" w:type="dxa"/>
              <w:right w:w="62" w:type="dxa"/>
            </w:tcMar>
          </w:tcPr>
          <w:p w:rsidR="00000000" w:rsidRPr="003C6BDE" w:rsidP="003C6BDE">
            <w:pPr>
              <w:pStyle w:val="ListBullet"/>
            </w:pPr>
            <w:r w:rsidRPr="003C6BDE">
              <w:t>advice from more experienced colleagues, customs brokers, experienced classifiers, technical e</w:t>
            </w:r>
            <w:r w:rsidRPr="003C6BDE">
              <w:t>xperts</w:t>
            </w:r>
          </w:p>
          <w:p w:rsidR="00000000" w:rsidRPr="003C6BDE" w:rsidP="003C6BDE">
            <w:pPr>
              <w:pStyle w:val="ListBullet"/>
            </w:pPr>
            <w:r w:rsidRPr="003C6BDE">
              <w:t>seeking further details about the goods from the client</w:t>
            </w:r>
          </w:p>
          <w:p w:rsidR="00000000" w:rsidRPr="003C6BDE" w:rsidP="003C6BDE">
            <w:pPr>
              <w:pStyle w:val="ListBullet"/>
            </w:pPr>
            <w:r w:rsidRPr="003C6BDE">
              <w:t>consulting technical experts in the industry that the goods belong to</w:t>
            </w:r>
          </w:p>
          <w:p w:rsidR="00000000" w:rsidRPr="003C6BDE" w:rsidP="003C6BDE">
            <w:pPr>
              <w:pStyle w:val="ListBullet"/>
            </w:pPr>
            <w:r w:rsidRPr="003C6BDE">
              <w:t>classification software</w:t>
            </w:r>
          </w:p>
          <w:p w:rsidR="00000000" w:rsidRPr="003C6BDE" w:rsidP="003C6BDE">
            <w:pPr>
              <w:pStyle w:val="ListBullet"/>
            </w:pPr>
            <w:r w:rsidRPr="003C6BDE">
              <w:t>from customers</w:t>
            </w:r>
          </w:p>
          <w:p w:rsidR="00000000" w:rsidRPr="003C6BDE" w:rsidP="003C6BDE">
            <w:pPr>
              <w:pStyle w:val="ListBullet"/>
            </w:pPr>
            <w:r w:rsidRPr="003C6BDE">
              <w:t>commercially available</w:t>
            </w:r>
          </w:p>
          <w:p w:rsidR="00000000" w:rsidP="003C6BDE">
            <w:pPr>
              <w:pStyle w:val="ListBullet"/>
              <w:rPr>
                <w:lang w:val="en-NZ"/>
              </w:rPr>
            </w:pPr>
            <w:r w:rsidRPr="003C6BDE">
              <w:t>additional resources</w:t>
            </w:r>
          </w:p>
        </w:tc>
      </w:tr>
      <w:tr w:rsidTr="0038693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Tools may include:</w:t>
            </w:r>
          </w:p>
        </w:tc>
        <w:tc>
          <w:tcPr>
            <w:tcW w:w="6154" w:type="dxa"/>
            <w:tcBorders>
              <w:top w:val="nil"/>
              <w:left w:val="nil"/>
              <w:bottom w:val="nil"/>
              <w:right w:val="nil"/>
            </w:tcBorders>
            <w:tcMar>
              <w:top w:w="0" w:type="dxa"/>
              <w:left w:w="62" w:type="dxa"/>
              <w:bottom w:w="0" w:type="dxa"/>
              <w:right w:w="62" w:type="dxa"/>
            </w:tcMar>
          </w:tcPr>
          <w:p w:rsidR="00000000" w:rsidRPr="003C6BDE" w:rsidP="003C6BDE">
            <w:pPr>
              <w:pStyle w:val="ListBullet"/>
            </w:pPr>
            <w:r w:rsidRPr="003C6BDE">
              <w:t>Harmonised System Explanatory Notes and Commodities</w:t>
            </w:r>
          </w:p>
          <w:p w:rsidR="00000000" w:rsidP="003C6BDE">
            <w:pPr>
              <w:pStyle w:val="ListBullet"/>
              <w:rPr>
                <w:lang w:val="en-NZ"/>
              </w:rPr>
            </w:pPr>
            <w:r w:rsidRPr="003C6BDE">
              <w:t>dictionaries, trade journals, technical publications</w:t>
            </w:r>
          </w:p>
        </w:tc>
      </w:tr>
      <w:tr w:rsidTr="0038693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Menu may include:</w:t>
            </w:r>
          </w:p>
        </w:tc>
        <w:tc>
          <w:tcPr>
            <w:tcW w:w="6154"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the list of chapters at the start of the Customs Tariff Act 1995 for imports and the summary of classification in the front of the A</w:t>
            </w:r>
            <w:r w:rsidRPr="003C6BDE">
              <w:t>HECC</w:t>
            </w:r>
          </w:p>
        </w:tc>
      </w:tr>
      <w:tr w:rsidTr="0038693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Type may include:</w:t>
            </w:r>
          </w:p>
        </w:tc>
        <w:tc>
          <w:tcPr>
            <w:tcW w:w="6154"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Type Chapters (refer to Chapters 64-66, 84-95 and 97 in the Harmonized System)</w:t>
            </w:r>
          </w:p>
        </w:tc>
      </w:tr>
      <w:tr w:rsidTr="0038693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Materials may include:</w:t>
            </w:r>
          </w:p>
        </w:tc>
        <w:tc>
          <w:tcPr>
            <w:tcW w:w="6154"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Material Chapters (refer to Chapters 1-63 and 67-83 in the Harmonized System)</w:t>
            </w:r>
          </w:p>
        </w:tc>
      </w:tr>
      <w:tr w:rsidTr="0038693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Merchandise trade may include:</w:t>
            </w:r>
          </w:p>
        </w:tc>
        <w:tc>
          <w:tcPr>
            <w:tcW w:w="6154"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goods that are cove</w:t>
            </w:r>
            <w:r w:rsidRPr="003C6BDE">
              <w:t>red by a reference number in Schedule 4 of the Customs Tariff Act 1995 or a export statistical item in Chapters 98 and 99 in AHECC</w:t>
            </w:r>
          </w:p>
        </w:tc>
      </w:tr>
      <w:tr w:rsidTr="0038693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Section and Chapters Notes may include:</w:t>
            </w:r>
          </w:p>
        </w:tc>
        <w:tc>
          <w:tcPr>
            <w:tcW w:w="6154"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 xml:space="preserve">Legal Notes contained within Schedule 3 Customs Tariff Act 1995 and include directional notes (inclusion, restriction, extension) and definitional notes and notes having application across the complete Schedule. All relevant Legal Notes are expected to be </w:t>
            </w:r>
            <w:r w:rsidRPr="003C6BDE">
              <w:t>considered and applied. Notes that have specific industry application such as paper, chemicals, base metals and some textile notes may require clarification/assistance from other parties</w:t>
            </w:r>
          </w:p>
        </w:tc>
      </w:tr>
      <w:tr w:rsidTr="0038693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Interpretation rules may include:</w:t>
            </w:r>
          </w:p>
        </w:tc>
        <w:tc>
          <w:tcPr>
            <w:tcW w:w="6154"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General Rules for the Interpretati</w:t>
            </w:r>
            <w:r w:rsidRPr="003C6BDE">
              <w:t>on of the Harmonized System. They are the rules that are to be followed for every classification</w:t>
            </w:r>
          </w:p>
        </w:tc>
      </w:tr>
      <w:tr w:rsidTr="0038693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Clarification may include:</w:t>
            </w:r>
          </w:p>
        </w:tc>
        <w:tc>
          <w:tcPr>
            <w:tcW w:w="6154" w:type="dxa"/>
            <w:tcBorders>
              <w:top w:val="nil"/>
              <w:left w:val="nil"/>
              <w:bottom w:val="nil"/>
              <w:right w:val="nil"/>
            </w:tcBorders>
            <w:tcMar>
              <w:top w:w="0" w:type="dxa"/>
              <w:left w:w="62" w:type="dxa"/>
              <w:bottom w:w="0" w:type="dxa"/>
              <w:right w:w="62" w:type="dxa"/>
            </w:tcMar>
          </w:tcPr>
          <w:p w:rsidR="00000000" w:rsidRPr="003C6BDE" w:rsidP="003C6BDE">
            <w:pPr>
              <w:pStyle w:val="ListBullet"/>
            </w:pPr>
            <w:r w:rsidRPr="003C6BDE">
              <w:t>seeking assistance from colleagues, customs broker, more experienced classifier, or technical expert</w:t>
            </w:r>
          </w:p>
          <w:p w:rsidR="00000000" w:rsidP="003C6BDE">
            <w:pPr>
              <w:pStyle w:val="ListBullet"/>
              <w:rPr>
                <w:lang w:val="en-NZ"/>
              </w:rPr>
            </w:pPr>
            <w:r w:rsidRPr="003C6BDE">
              <w:t>obtaining additional informati</w:t>
            </w:r>
            <w:r w:rsidRPr="003C6BDE">
              <w:t>on from client</w:t>
            </w:r>
          </w:p>
        </w:tc>
      </w:tr>
      <w:tr w:rsidTr="0038693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Sub-heading notes may include:</w:t>
            </w:r>
          </w:p>
        </w:tc>
        <w:tc>
          <w:tcPr>
            <w:tcW w:w="6154"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Legal Notes contained within Schedule 3 Custom Tariff Act 1995 and include directional notes (inclusion, restriction, extension) and definitional Notes and Notes having application across the complete Schedule</w:t>
            </w:r>
            <w:r w:rsidRPr="003C6BDE">
              <w:t>. All relevant Legal Notes are expected to be considered and applied. Notes that have specific industry application such as paper, chemicals, base metals and some textile Notes may require clarification/assistance from other parties</w:t>
            </w:r>
          </w:p>
        </w:tc>
      </w:tr>
      <w:tr w:rsidTr="0038693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Dash system is:</w:t>
            </w:r>
          </w:p>
        </w:tc>
        <w:tc>
          <w:tcPr>
            <w:tcW w:w="6154" w:type="dxa"/>
            <w:tcBorders>
              <w:top w:val="nil"/>
              <w:left w:val="nil"/>
              <w:bottom w:val="nil"/>
              <w:right w:val="nil"/>
            </w:tcBorders>
            <w:tcMar>
              <w:top w:w="0" w:type="dxa"/>
              <w:left w:w="62" w:type="dxa"/>
              <w:bottom w:w="0" w:type="dxa"/>
              <w:right w:w="62" w:type="dxa"/>
            </w:tcMar>
          </w:tcPr>
          <w:p w:rsidR="00000000" w:rsidP="003C6BDE">
            <w:pPr>
              <w:pStyle w:val="ListBullet"/>
              <w:rPr>
                <w:lang w:val="en-NZ"/>
              </w:rPr>
            </w:pPr>
            <w:r w:rsidRPr="003C6BDE">
              <w:t>a desi</w:t>
            </w:r>
            <w:r w:rsidRPr="003C6BDE">
              <w:t>gn feature of the Harmonized System which assists with the selection of the appropriate 8 figure classification</w:t>
            </w:r>
          </w:p>
        </w:tc>
      </w:tr>
      <w:tr w:rsidTr="0038693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New developments in the classification of complex commodities may relate to changes in:</w:t>
            </w:r>
          </w:p>
        </w:tc>
        <w:tc>
          <w:tcPr>
            <w:tcW w:w="6154" w:type="dxa"/>
            <w:tcBorders>
              <w:top w:val="nil"/>
              <w:left w:val="nil"/>
              <w:bottom w:val="nil"/>
              <w:right w:val="nil"/>
            </w:tcBorders>
            <w:tcMar>
              <w:top w:w="0" w:type="dxa"/>
              <w:left w:w="62" w:type="dxa"/>
              <w:bottom w:w="0" w:type="dxa"/>
              <w:right w:w="62" w:type="dxa"/>
            </w:tcMar>
          </w:tcPr>
          <w:p w:rsidR="00000000" w:rsidRPr="003C6BDE" w:rsidP="003C6BDE">
            <w:pPr>
              <w:pStyle w:val="ListBullet"/>
            </w:pPr>
            <w:r w:rsidRPr="003C6BDE">
              <w:t>technology</w:t>
            </w:r>
          </w:p>
          <w:p w:rsidR="00000000" w:rsidRPr="003C6BDE" w:rsidP="003C6BDE">
            <w:pPr>
              <w:pStyle w:val="ListBullet"/>
            </w:pPr>
            <w:r w:rsidRPr="003C6BDE">
              <w:t>legislation</w:t>
            </w:r>
          </w:p>
          <w:p w:rsidR="00000000" w:rsidRPr="003C6BDE" w:rsidP="003C6BDE">
            <w:pPr>
              <w:pStyle w:val="ListBullet"/>
            </w:pPr>
            <w:r w:rsidRPr="003C6BDE">
              <w:t>regulations</w:t>
            </w:r>
          </w:p>
          <w:p w:rsidR="00000000" w:rsidRPr="003C6BDE" w:rsidP="003C6BDE">
            <w:pPr>
              <w:pStyle w:val="ListBullet"/>
            </w:pPr>
            <w:r w:rsidRPr="003C6BDE">
              <w:t>case law</w:t>
            </w:r>
          </w:p>
          <w:p w:rsidR="00000000" w:rsidRPr="003C6BDE" w:rsidP="003C6BDE">
            <w:pPr>
              <w:pStyle w:val="ListBullet"/>
            </w:pPr>
            <w:r w:rsidRPr="003C6BDE">
              <w:t>WCO Classification</w:t>
            </w:r>
          </w:p>
          <w:p w:rsidR="00000000" w:rsidRPr="003C6BDE" w:rsidP="003C6BDE">
            <w:pPr>
              <w:pStyle w:val="ListBullet"/>
            </w:pPr>
            <w:r w:rsidRPr="003C6BDE">
              <w:t>processes</w:t>
            </w:r>
          </w:p>
          <w:p w:rsidR="00000000" w:rsidP="003C6BDE">
            <w:pPr>
              <w:pStyle w:val="ListBullet"/>
              <w:rPr>
                <w:lang w:val="en-NZ"/>
              </w:rPr>
            </w:pPr>
            <w:r w:rsidRPr="003C6BDE">
              <w:t>systems</w:t>
            </w:r>
          </w:p>
        </w:tc>
      </w:tr>
      <w:tr w:rsidTr="0038693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Information on new developments in the classification of complex commodities may be obtained from:</w:t>
            </w:r>
          </w:p>
        </w:tc>
        <w:tc>
          <w:tcPr>
            <w:tcW w:w="6154" w:type="dxa"/>
            <w:tcBorders>
              <w:top w:val="nil"/>
              <w:left w:val="nil"/>
              <w:bottom w:val="nil"/>
              <w:right w:val="nil"/>
            </w:tcBorders>
            <w:tcMar>
              <w:top w:w="0" w:type="dxa"/>
              <w:left w:w="62" w:type="dxa"/>
              <w:bottom w:w="0" w:type="dxa"/>
              <w:right w:w="62" w:type="dxa"/>
            </w:tcMar>
          </w:tcPr>
          <w:p w:rsidR="00000000" w:rsidRPr="003C6BDE" w:rsidP="003C6BDE">
            <w:pPr>
              <w:pStyle w:val="ListBullet"/>
            </w:pPr>
            <w:r w:rsidRPr="003C6BDE">
              <w:t>internal networks such as: own work team, staff in other departments, support staff, managers, training staff, etc.</w:t>
            </w:r>
          </w:p>
          <w:p w:rsidR="00000000" w:rsidRPr="003C6BDE" w:rsidP="003C6BDE">
            <w:pPr>
              <w:pStyle w:val="ListBullet"/>
            </w:pPr>
            <w:r w:rsidRPr="003C6BDE">
              <w:t>ext</w:t>
            </w:r>
            <w:r w:rsidRPr="003C6BDE">
              <w:t>ernal networks such as: staff in various regulatory authorities</w:t>
            </w:r>
          </w:p>
          <w:p w:rsidR="00000000" w:rsidRPr="003C6BDE" w:rsidP="003C6BDE">
            <w:pPr>
              <w:pStyle w:val="ListBullet"/>
            </w:pPr>
            <w:r w:rsidRPr="003C6BDE">
              <w:t>bulletins, journals, magazines, books, etc.</w:t>
            </w:r>
          </w:p>
          <w:p w:rsidR="00000000" w:rsidRPr="003C6BDE" w:rsidP="003C6BDE">
            <w:pPr>
              <w:pStyle w:val="ListBullet"/>
            </w:pPr>
            <w:r w:rsidRPr="003C6BDE">
              <w:t>internet websites</w:t>
            </w:r>
          </w:p>
          <w:p w:rsidR="00000000" w:rsidP="003C6BDE">
            <w:pPr>
              <w:pStyle w:val="ListBullet"/>
              <w:rPr>
                <w:lang w:val="en-NZ"/>
              </w:rPr>
            </w:pPr>
            <w:r w:rsidRPr="003C6BDE">
              <w:t>internal and external training programs</w:t>
            </w:r>
          </w:p>
        </w:tc>
      </w:tr>
      <w:tr w:rsidTr="0038693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Ways of learning skills and knowledge required for new developments in customs classifica</w:t>
            </w:r>
            <w:r w:rsidRPr="003C6BDE">
              <w:t>tion may include:</w:t>
            </w:r>
          </w:p>
        </w:tc>
        <w:tc>
          <w:tcPr>
            <w:tcW w:w="6154" w:type="dxa"/>
            <w:tcBorders>
              <w:top w:val="nil"/>
              <w:left w:val="nil"/>
              <w:bottom w:val="nil"/>
              <w:right w:val="nil"/>
            </w:tcBorders>
            <w:tcMar>
              <w:top w:w="0" w:type="dxa"/>
              <w:left w:w="62" w:type="dxa"/>
              <w:bottom w:w="0" w:type="dxa"/>
              <w:right w:w="62" w:type="dxa"/>
            </w:tcMar>
          </w:tcPr>
          <w:p w:rsidR="00000000" w:rsidRPr="003C6BDE" w:rsidP="003C6BDE">
            <w:pPr>
              <w:pStyle w:val="ListBullet"/>
            </w:pPr>
            <w:r w:rsidRPr="003C6BDE">
              <w:t>external training programs</w:t>
            </w:r>
          </w:p>
          <w:p w:rsidR="00000000" w:rsidRPr="003C6BDE" w:rsidP="003C6BDE">
            <w:pPr>
              <w:pStyle w:val="ListBullet"/>
            </w:pPr>
            <w:r w:rsidRPr="003C6BDE">
              <w:t>internal training programs</w:t>
            </w:r>
          </w:p>
          <w:p w:rsidR="00000000" w:rsidRPr="003C6BDE" w:rsidP="003C6BDE">
            <w:pPr>
              <w:pStyle w:val="ListBullet"/>
            </w:pPr>
            <w:r w:rsidRPr="003C6BDE">
              <w:t>reading independently</w:t>
            </w:r>
          </w:p>
          <w:p w:rsidR="00000000" w:rsidRPr="003C6BDE" w:rsidP="003C6BDE">
            <w:pPr>
              <w:pStyle w:val="ListBullet"/>
            </w:pPr>
            <w:r w:rsidRPr="003C6BDE">
              <w:t>coaching in the workplace</w:t>
            </w:r>
          </w:p>
          <w:p w:rsidR="00000000" w:rsidRPr="003C6BDE" w:rsidP="003C6BDE">
            <w:pPr>
              <w:pStyle w:val="ListBullet"/>
            </w:pPr>
            <w:r w:rsidRPr="003C6BDE">
              <w:t>online learning on a computer</w:t>
            </w:r>
          </w:p>
          <w:p w:rsidR="00000000" w:rsidP="003C6BDE">
            <w:pPr>
              <w:pStyle w:val="ListBullet"/>
              <w:rPr>
                <w:lang w:val="en-NZ"/>
              </w:rPr>
            </w:pPr>
            <w:r w:rsidRPr="003C6BDE">
              <w:t>networking with relevant internal and external contacts</w:t>
            </w:r>
          </w:p>
        </w:tc>
      </w:tr>
      <w:tr w:rsidTr="0038693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3C6BDE" w:rsidP="003C6BDE">
            <w:pPr>
              <w:pStyle w:val="ListBullet"/>
            </w:pPr>
            <w:r w:rsidRPr="003C6BDE">
              <w:t>standard operating procedures (SOPs)</w:t>
            </w:r>
          </w:p>
          <w:p w:rsidR="00000000" w:rsidRPr="003C6BDE" w:rsidP="003C6BDE">
            <w:pPr>
              <w:pStyle w:val="ListBullet"/>
            </w:pPr>
            <w:r w:rsidRPr="003C6BDE">
              <w:t>company procedures</w:t>
            </w:r>
          </w:p>
          <w:p w:rsidR="00000000" w:rsidRPr="003C6BDE" w:rsidP="003C6BDE">
            <w:pPr>
              <w:pStyle w:val="ListBullet"/>
            </w:pPr>
            <w:r w:rsidRPr="003C6BDE">
              <w:t>enterprise procedures</w:t>
            </w:r>
          </w:p>
          <w:p w:rsidR="00000000" w:rsidRPr="003C6BDE" w:rsidP="003C6BDE">
            <w:pPr>
              <w:pStyle w:val="ListBullet"/>
            </w:pPr>
            <w:r w:rsidRPr="003C6BDE">
              <w:t>organisational procedures</w:t>
            </w:r>
          </w:p>
          <w:p w:rsidR="00000000" w:rsidP="003C6BDE">
            <w:pPr>
              <w:pStyle w:val="ListBullet"/>
              <w:rPr>
                <w:lang w:val="en-NZ"/>
              </w:rPr>
            </w:pPr>
            <w:r w:rsidRPr="003C6BDE">
              <w:t>established procedures</w:t>
            </w:r>
          </w:p>
        </w:tc>
      </w:tr>
      <w:tr w:rsidTr="0038693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3C6BDE" w:rsidP="003C6BDE">
            <w:pPr>
              <w:pStyle w:val="ListBullet"/>
            </w:pPr>
            <w:r w:rsidRPr="003C6BDE">
              <w:t>phone</w:t>
            </w:r>
          </w:p>
          <w:p w:rsidR="00000000" w:rsidRPr="003C6BDE" w:rsidP="003C6BDE">
            <w:pPr>
              <w:pStyle w:val="ListBullet"/>
            </w:pPr>
            <w:r w:rsidRPr="003C6BDE">
              <w:t>e</w:t>
            </w:r>
            <w:r w:rsidRPr="003C6BDE">
              <w:t>lectronic data interchange (EDI)</w:t>
            </w:r>
          </w:p>
          <w:p w:rsidR="00000000" w:rsidRPr="003C6BDE" w:rsidP="003C6BDE">
            <w:pPr>
              <w:pStyle w:val="ListBullet"/>
            </w:pPr>
            <w:r w:rsidRPr="003C6BDE">
              <w:t>fax</w:t>
            </w:r>
          </w:p>
          <w:p w:rsidR="00000000" w:rsidRPr="003C6BDE" w:rsidP="003C6BDE">
            <w:pPr>
              <w:pStyle w:val="ListBullet"/>
            </w:pPr>
            <w:r w:rsidRPr="003C6BDE">
              <w:t>email</w:t>
            </w:r>
          </w:p>
          <w:p w:rsidR="00000000" w:rsidRPr="003C6BDE" w:rsidP="003C6BDE">
            <w:pPr>
              <w:pStyle w:val="ListBullet"/>
            </w:pPr>
            <w:r w:rsidRPr="003C6BDE">
              <w:t>internet</w:t>
            </w:r>
          </w:p>
          <w:p w:rsidR="00000000" w:rsidRPr="003C6BDE" w:rsidP="003C6BDE">
            <w:pPr>
              <w:pStyle w:val="ListBullet"/>
            </w:pPr>
            <w:r w:rsidRPr="003C6BDE">
              <w:t>RF systems</w:t>
            </w:r>
          </w:p>
          <w:p w:rsidR="00000000" w:rsidP="003C6BDE">
            <w:pPr>
              <w:pStyle w:val="ListBullet"/>
              <w:rPr>
                <w:lang w:val="en-NZ"/>
              </w:rPr>
            </w:pPr>
            <w:r w:rsidRPr="003C6BDE">
              <w:t>oral, aural or signed communications</w:t>
            </w:r>
          </w:p>
        </w:tc>
      </w:tr>
      <w:tr w:rsidTr="0038693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3C6BDE" w:rsidP="003C6BDE">
            <w:pPr>
              <w:pStyle w:val="ListBullet"/>
            </w:pPr>
            <w:r w:rsidRPr="003C6BDE">
              <w:t>other employees and supervisors</w:t>
            </w:r>
          </w:p>
          <w:p w:rsidR="00000000" w:rsidRPr="003C6BDE" w:rsidP="003C6BDE">
            <w:pPr>
              <w:pStyle w:val="ListBullet"/>
            </w:pPr>
            <w:r w:rsidRPr="003C6BDE">
              <w:t>clients</w:t>
            </w:r>
          </w:p>
          <w:p w:rsidR="00000000" w:rsidRPr="003C6BDE" w:rsidP="003C6BDE">
            <w:pPr>
              <w:pStyle w:val="ListBullet"/>
            </w:pPr>
            <w:r w:rsidRPr="003C6BDE">
              <w:t>agents</w:t>
            </w:r>
          </w:p>
          <w:p w:rsidR="00000000" w:rsidRPr="003C6BDE" w:rsidP="003C6BDE">
            <w:pPr>
              <w:pStyle w:val="ListBullet"/>
            </w:pPr>
            <w:r w:rsidRPr="003C6BDE">
              <w:t>personnel in relevant authorities and institutions</w:t>
            </w:r>
          </w:p>
          <w:p w:rsidR="00000000" w:rsidRPr="003C6BDE" w:rsidP="003C6BDE">
            <w:pPr>
              <w:pStyle w:val="ListBullet"/>
            </w:pPr>
            <w:r w:rsidRPr="003C6BDE">
              <w:t>management and union representatives</w:t>
            </w:r>
          </w:p>
          <w:p w:rsidR="00000000" w:rsidP="003C6BDE">
            <w:pPr>
              <w:pStyle w:val="ListBullet"/>
              <w:rPr>
                <w:lang w:val="en-NZ"/>
              </w:rPr>
            </w:pPr>
            <w:r w:rsidRPr="003C6BDE">
              <w:t>industrial relations and OH&amp;S specialists</w:t>
            </w:r>
          </w:p>
        </w:tc>
      </w:tr>
      <w:tr w:rsidTr="0038693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Documentation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3C6BDE" w:rsidP="003C6BDE">
            <w:pPr>
              <w:pStyle w:val="ListBullet"/>
            </w:pPr>
            <w:r w:rsidRPr="003C6BDE">
              <w:t>Customs and related legislation</w:t>
            </w:r>
          </w:p>
          <w:p w:rsidR="00000000" w:rsidRPr="003C6BDE" w:rsidP="003C6BDE">
            <w:pPr>
              <w:pStyle w:val="ListBullet"/>
            </w:pPr>
            <w:r w:rsidRPr="003C6BDE">
              <w:t>Australian Harmonized Export Classification Book</w:t>
            </w:r>
          </w:p>
          <w:p w:rsidR="00000000" w:rsidRPr="003C6BDE" w:rsidP="003C6BDE">
            <w:pPr>
              <w:pStyle w:val="ListBullet"/>
            </w:pPr>
            <w:r w:rsidRPr="003C6BDE">
              <w:t>Customs Tariff Act 1995 and Schedules</w:t>
            </w:r>
          </w:p>
          <w:p w:rsidR="00000000" w:rsidRPr="003C6BDE" w:rsidP="003C6BDE">
            <w:pPr>
              <w:pStyle w:val="ListBullet"/>
            </w:pPr>
            <w:r w:rsidRPr="003C6BDE">
              <w:t>precedents databas</w:t>
            </w:r>
            <w:r w:rsidRPr="003C6BDE">
              <w:t>e</w:t>
            </w:r>
          </w:p>
          <w:p w:rsidR="00000000" w:rsidRPr="003C6BDE" w:rsidP="003C6BDE">
            <w:pPr>
              <w:pStyle w:val="ListBullet"/>
            </w:pPr>
            <w:r w:rsidRPr="003C6BDE">
              <w:t>dictionaries</w:t>
            </w:r>
          </w:p>
          <w:p w:rsidR="00000000" w:rsidRPr="003C6BDE" w:rsidP="003C6BDE">
            <w:pPr>
              <w:pStyle w:val="ListBullet"/>
            </w:pPr>
            <w:r w:rsidRPr="003C6BDE">
              <w:t>trade or technical publications</w:t>
            </w:r>
          </w:p>
          <w:p w:rsidR="00000000" w:rsidRPr="003C6BDE" w:rsidP="003C6BDE">
            <w:pPr>
              <w:pStyle w:val="ListBullet"/>
            </w:pPr>
            <w:r w:rsidRPr="003C6BDE">
              <w:t>Harmonized System Explanatory Notes (HSEN)</w:t>
            </w:r>
          </w:p>
          <w:p w:rsidR="00000000" w:rsidRPr="003C6BDE" w:rsidP="003C6BDE">
            <w:pPr>
              <w:pStyle w:val="ListBullet"/>
            </w:pPr>
            <w:r w:rsidRPr="003C6BDE">
              <w:t>manifests, cartnotes, delivery notes, special clearances, consignment notes, authorised weighbridge certificates, and special clearances</w:t>
            </w:r>
          </w:p>
          <w:p w:rsidR="00000000" w:rsidRPr="003C6BDE" w:rsidP="003C6BDE">
            <w:pPr>
              <w:pStyle w:val="ListBullet"/>
            </w:pPr>
            <w:r w:rsidRPr="003C6BDE">
              <w:t>internal documentation</w:t>
            </w:r>
          </w:p>
          <w:p w:rsidR="00000000" w:rsidRPr="003C6BDE" w:rsidP="003C6BDE">
            <w:pPr>
              <w:pStyle w:val="ListBullet"/>
            </w:pPr>
            <w:r w:rsidRPr="003C6BDE">
              <w:t>operat</w:t>
            </w:r>
            <w:r w:rsidRPr="003C6BDE">
              <w:t>ions manuals, job specifications and induction documentation</w:t>
            </w:r>
          </w:p>
          <w:p w:rsidR="00000000" w:rsidRPr="003C6BDE" w:rsidP="003C6BDE">
            <w:pPr>
              <w:pStyle w:val="ListBullet"/>
            </w:pPr>
            <w:r w:rsidRPr="003C6BDE">
              <w:t>manufacturers specifications for relevant equipment</w:t>
            </w:r>
          </w:p>
          <w:p w:rsidR="00000000" w:rsidRPr="003C6BDE" w:rsidP="003C6BDE">
            <w:pPr>
              <w:pStyle w:val="ListBullet"/>
            </w:pPr>
            <w:r w:rsidRPr="003C6BDE">
              <w:t>workplace procedures and policies</w:t>
            </w:r>
          </w:p>
          <w:p w:rsidR="00000000" w:rsidRPr="003C6BDE" w:rsidP="003C6BDE">
            <w:pPr>
              <w:pStyle w:val="ListBullet"/>
            </w:pPr>
            <w:r w:rsidRPr="003C6BDE">
              <w:t>supplier and/or client instructions</w:t>
            </w:r>
          </w:p>
          <w:p w:rsidR="00000000" w:rsidRPr="003C6BDE" w:rsidP="003C6BDE">
            <w:pPr>
              <w:pStyle w:val="ListBullet"/>
            </w:pPr>
            <w:r w:rsidRPr="003C6BDE">
              <w:t>quality assurance procedures</w:t>
            </w:r>
          </w:p>
          <w:p w:rsidR="00000000" w:rsidP="003C6BDE">
            <w:pPr>
              <w:pStyle w:val="ListBullet"/>
              <w:rPr>
                <w:lang w:val="en-NZ"/>
              </w:rPr>
            </w:pPr>
            <w:r w:rsidRPr="003C6BDE">
              <w:t>extrinsic material (as</w:t>
            </w:r>
            <w:r w:rsidRPr="003C6BDE">
              <w:t xml:space="preserve"> defined in the Acts Interpretation Act)</w:t>
            </w:r>
          </w:p>
        </w:tc>
      </w:tr>
      <w:tr w:rsidTr="0038693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3C6BDE" w:rsidP="003C6BDE">
            <w:pPr>
              <w:pStyle w:val="ListBullet"/>
            </w:pPr>
            <w:r w:rsidRPr="003C6BDE">
              <w:t>Customs and related legislation</w:t>
            </w:r>
          </w:p>
          <w:p w:rsidR="00000000" w:rsidRPr="003C6BDE" w:rsidP="003C6BDE">
            <w:pPr>
              <w:pStyle w:val="ListBullet"/>
            </w:pPr>
            <w:r w:rsidRPr="003C6BDE">
              <w:t>Australian Harmonized Export Classification Book</w:t>
            </w:r>
          </w:p>
          <w:p w:rsidR="00000000" w:rsidRPr="003C6BDE" w:rsidP="003C6BDE">
            <w:pPr>
              <w:pStyle w:val="ListBullet"/>
            </w:pPr>
            <w:r w:rsidRPr="003C6BDE">
              <w:t>Customs Tariff Act 1995 and Schedules</w:t>
            </w:r>
          </w:p>
          <w:p w:rsidR="00000000" w:rsidRPr="003C6BDE" w:rsidP="003C6BDE">
            <w:pPr>
              <w:pStyle w:val="ListBullet"/>
            </w:pPr>
            <w:r w:rsidRPr="003C6BDE">
              <w:t xml:space="preserve">other legislation related to importing and </w:t>
            </w:r>
            <w:r w:rsidRPr="003C6BDE">
              <w:t>exporting of goods</w:t>
            </w:r>
          </w:p>
          <w:p w:rsidR="00000000" w:rsidRPr="003C6BDE" w:rsidP="003C6BDE">
            <w:pPr>
              <w:pStyle w:val="ListBullet"/>
            </w:pPr>
            <w:r w:rsidRPr="003C6BDE">
              <w:t>export/import/quarantine/bond requirements</w:t>
            </w:r>
          </w:p>
          <w:p w:rsidR="00000000" w:rsidRPr="003C6BDE" w:rsidP="003C6BDE">
            <w:pPr>
              <w:pStyle w:val="ListBullet"/>
            </w:pPr>
            <w:r w:rsidRPr="003C6BDE">
              <w:t>equal employment opportunity and affirmative action legislation</w:t>
            </w:r>
          </w:p>
          <w:p w:rsidR="00000000" w:rsidRPr="003C6BDE" w:rsidP="003C6BDE">
            <w:pPr>
              <w:pStyle w:val="ListBullet"/>
            </w:pPr>
            <w:r w:rsidRPr="003C6BDE">
              <w:t>equal opportunity legislation</w:t>
            </w:r>
          </w:p>
          <w:p w:rsidR="00000000" w:rsidRPr="003C6BDE" w:rsidP="003C6BDE">
            <w:pPr>
              <w:pStyle w:val="ListBullet"/>
            </w:pPr>
            <w:r w:rsidRPr="003C6BDE">
              <w:t>workplace relations regulations</w:t>
            </w:r>
          </w:p>
          <w:p w:rsidR="00000000" w:rsidRPr="003C6BDE" w:rsidP="003C6BDE">
            <w:pPr>
              <w:pStyle w:val="ListBullet"/>
            </w:pPr>
            <w:r w:rsidRPr="003C6BDE">
              <w:t>relevant state/territory OH&amp;S and environmental protection legislati</w:t>
            </w:r>
            <w:r w:rsidRPr="003C6BDE">
              <w:t>on</w:t>
            </w:r>
          </w:p>
        </w:tc>
      </w:tr>
    </w:tbl>
    <w:p w:rsidR="00386933" w:rsidP="003C6BDE">
      <w:pPr>
        <w:pStyle w:val="BodyText"/>
      </w:pPr>
    </w:p>
    <w:p w:rsidR="00386933" w:rsidP="003C6BDE">
      <w:pPr>
        <w:pStyle w:val="BodyText"/>
      </w:pPr>
    </w:p>
    <w:p w:rsidR="00000000" w:rsidRPr="003C6BDE" w:rsidP="003C6BDE">
      <w:pPr>
        <w:pStyle w:val="Heading1"/>
      </w:pPr>
      <w:bookmarkStart w:id="12" w:name="O_295603"/>
      <w:bookmarkEnd w:id="12"/>
      <w:r w:rsidRPr="003C6BDE">
        <w:t>Unit Sector(s)</w:t>
      </w:r>
    </w:p>
    <w:p w:rsidR="00000000" w:rsidRPr="003C6BDE" w:rsidP="003C6BDE">
      <w:pPr>
        <w:pStyle w:val="BodyText"/>
      </w:pPr>
      <w:r w:rsidRPr="003C6BDE">
        <w:t>Not Applicable</w:t>
      </w:r>
    </w:p>
    <w:p w:rsidR="00000000" w:rsidRPr="003C6BDE" w:rsidP="003C6BDE">
      <w:pPr>
        <w:pStyle w:val="AllowPageBreak"/>
      </w:pPr>
    </w:p>
    <w:p w:rsidR="00000000" w:rsidRPr="003C6BDE" w:rsidP="003C6BDE">
      <w:pPr>
        <w:pStyle w:val="Heading1"/>
      </w:pPr>
      <w:bookmarkStart w:id="13" w:name="O_222713"/>
      <w:bookmarkEnd w:id="13"/>
      <w:r w:rsidRPr="003C6BDE">
        <w:t>Competency Field</w:t>
      </w:r>
    </w:p>
    <w:tbl>
      <w:tblPr>
        <w:tblW w:w="9640" w:type="dxa"/>
        <w:tblLayout w:type="fixed"/>
        <w:tblCellMar>
          <w:left w:w="62" w:type="dxa"/>
          <w:right w:w="62" w:type="dxa"/>
        </w:tblCellMar>
        <w:tblLook w:val="0000"/>
      </w:tblPr>
      <w:tblGrid>
        <w:gridCol w:w="2978"/>
        <w:gridCol w:w="6662"/>
      </w:tblGrid>
      <w:tr w:rsidTr="0038693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C6BDE">
            <w:pPr>
              <w:pStyle w:val="BodyText"/>
              <w:rPr>
                <w:lang w:val="en-NZ"/>
              </w:rPr>
            </w:pPr>
            <w:r w:rsidRPr="003C6BDE">
              <w:rPr>
                <w:rStyle w:val="SpecialBold"/>
              </w:rPr>
              <w:t>Competency Field</w:t>
            </w:r>
            <w:r w:rsidRPr="003C6BDE">
              <w:t xml:space="preserve"> </w:t>
            </w:r>
          </w:p>
        </w:tc>
        <w:tc>
          <w:tcPr>
            <w:tcW w:w="6662" w:type="dxa"/>
            <w:tcBorders>
              <w:top w:val="nil"/>
              <w:left w:val="nil"/>
              <w:bottom w:val="nil"/>
              <w:right w:val="nil"/>
            </w:tcBorders>
            <w:tcMar>
              <w:top w:w="0" w:type="dxa"/>
              <w:left w:w="62" w:type="dxa"/>
              <w:bottom w:w="0" w:type="dxa"/>
              <w:right w:w="62" w:type="dxa"/>
            </w:tcMar>
          </w:tcPr>
          <w:p w:rsidR="00000000" w:rsidRPr="003C6BDE" w:rsidP="003C6BDE">
            <w:pPr>
              <w:pStyle w:val="BodyText"/>
            </w:pPr>
            <w:r w:rsidRPr="003C6BDE">
              <w:t>A - Handling Cargo/Stock</w:t>
            </w:r>
          </w:p>
        </w:tc>
      </w:tr>
    </w:tbl>
    <w:p w:rsidR="00386933" w:rsidP="003C6BDE">
      <w:pPr>
        <w:pStyle w:val="BodyText"/>
      </w:pPr>
    </w:p>
    <w:p w:rsidR="00386933" w:rsidP="003C6BDE">
      <w:pPr>
        <w:pStyle w:val="BodyText"/>
      </w:pPr>
    </w:p>
    <w:p w:rsidR="00000000" w:rsidRPr="003C6BDE" w:rsidP="003C6BDE"/>
    <w:sectPr w:rsidSect="003C6B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B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6933" w:rsidP="0038693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B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33" w:rsidP="003C6B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86933" w:rsidP="003C6B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86933" w:rsidP="003C6B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B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BDE" w:rsidRPr="00386933" w:rsidP="003869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B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33" w:rsidRPr="002D2AF8" w:rsidP="003C6BDE">
    <w:pPr>
      <w:pStyle w:val="Header"/>
      <w:framePr w:wrap="around"/>
    </w:pPr>
    <w:r>
      <w:fldChar w:fldCharType="begin"/>
    </w:r>
    <w:r>
      <w:instrText xml:space="preserve"> TITLE   \* MERGEFORMAT </w:instrText>
    </w:r>
    <w:r>
      <w:fldChar w:fldCharType="separate"/>
    </w:r>
    <w:r>
      <w:t>TLIA4055A Classify complex commodities for the import and export of goods through customs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86933" w:rsidP="003C6B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1A5C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DA28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F69C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B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6BDE"/>
    <w:pPr>
      <w:spacing w:before="360" w:after="60"/>
      <w:outlineLvl w:val="0"/>
    </w:pPr>
    <w:rPr>
      <w:sz w:val="32"/>
    </w:rPr>
  </w:style>
  <w:style w:type="paragraph" w:styleId="Heading2">
    <w:name w:val="heading 2"/>
    <w:basedOn w:val="HeadingBase"/>
    <w:next w:val="BodyText"/>
    <w:link w:val="Heading2Char"/>
    <w:qFormat/>
    <w:rsid w:val="003C6BDE"/>
    <w:pPr>
      <w:keepLines/>
      <w:spacing w:before="240" w:after="120"/>
      <w:outlineLvl w:val="1"/>
    </w:pPr>
    <w:rPr>
      <w:sz w:val="28"/>
      <w:szCs w:val="40"/>
    </w:rPr>
  </w:style>
  <w:style w:type="paragraph" w:styleId="Heading3">
    <w:name w:val="heading 3"/>
    <w:basedOn w:val="HeadingBase"/>
    <w:next w:val="BodyText"/>
    <w:link w:val="Heading3Char"/>
    <w:qFormat/>
    <w:rsid w:val="003C6BDE"/>
    <w:pPr>
      <w:spacing w:before="180" w:after="120"/>
      <w:outlineLvl w:val="2"/>
    </w:pPr>
    <w:rPr>
      <w:spacing w:val="-10"/>
      <w:kern w:val="32"/>
    </w:rPr>
  </w:style>
  <w:style w:type="paragraph" w:styleId="Heading4">
    <w:name w:val="heading 4"/>
    <w:basedOn w:val="HeadingBase"/>
    <w:next w:val="BodyText"/>
    <w:link w:val="Heading4Char"/>
    <w:qFormat/>
    <w:rsid w:val="003C6BDE"/>
    <w:pPr>
      <w:spacing w:before="160" w:after="120"/>
      <w:outlineLvl w:val="3"/>
    </w:pPr>
    <w:rPr>
      <w:sz w:val="22"/>
    </w:rPr>
  </w:style>
  <w:style w:type="paragraph" w:styleId="Heading5">
    <w:name w:val="heading 5"/>
    <w:basedOn w:val="HeadingBase"/>
    <w:next w:val="Normal"/>
    <w:link w:val="Heading5Char"/>
    <w:qFormat/>
    <w:rsid w:val="003C6BDE"/>
    <w:pPr>
      <w:spacing w:before="80"/>
      <w:outlineLvl w:val="4"/>
    </w:pPr>
    <w:rPr>
      <w:color w:val="918585"/>
      <w:sz w:val="20"/>
    </w:rPr>
  </w:style>
  <w:style w:type="paragraph" w:styleId="Heading6">
    <w:name w:val="heading 6"/>
    <w:basedOn w:val="HeadingBase"/>
    <w:next w:val="Normal"/>
    <w:link w:val="Heading6Char"/>
    <w:qFormat/>
    <w:rsid w:val="003C6BDE"/>
    <w:pPr>
      <w:spacing w:before="60"/>
      <w:outlineLvl w:val="5"/>
    </w:pPr>
    <w:rPr>
      <w:color w:val="918585"/>
      <w:sz w:val="20"/>
    </w:rPr>
  </w:style>
  <w:style w:type="paragraph" w:styleId="Heading7">
    <w:name w:val="heading 7"/>
    <w:basedOn w:val="Normal"/>
    <w:next w:val="Normal"/>
    <w:link w:val="Heading7Char"/>
    <w:qFormat/>
    <w:rsid w:val="003C6BDE"/>
    <w:pPr>
      <w:ind w:left="720"/>
      <w:outlineLvl w:val="6"/>
    </w:pPr>
    <w:rPr>
      <w:i/>
    </w:rPr>
  </w:style>
  <w:style w:type="paragraph" w:styleId="Heading8">
    <w:name w:val="heading 8"/>
    <w:basedOn w:val="Normal"/>
    <w:next w:val="Normal"/>
    <w:link w:val="Heading8Char"/>
    <w:qFormat/>
    <w:rsid w:val="003C6BDE"/>
    <w:pPr>
      <w:ind w:left="720"/>
      <w:outlineLvl w:val="7"/>
    </w:pPr>
    <w:rPr>
      <w:i/>
    </w:rPr>
  </w:style>
  <w:style w:type="paragraph" w:styleId="Heading9">
    <w:name w:val="heading 9"/>
    <w:basedOn w:val="Normal"/>
    <w:next w:val="Normal"/>
    <w:link w:val="Heading9Char"/>
    <w:qFormat/>
    <w:rsid w:val="003C6BDE"/>
    <w:pPr>
      <w:ind w:left="720"/>
      <w:outlineLvl w:val="8"/>
    </w:pPr>
    <w:rPr>
      <w:i/>
    </w:rPr>
  </w:style>
  <w:style w:type="character" w:default="1" w:styleId="DefaultParagraphFont">
    <w:name w:val="Default Paragraph Font"/>
    <w:uiPriority w:val="1"/>
    <w:unhideWhenUsed/>
    <w:rsid w:val="003C6B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BDE"/>
  </w:style>
  <w:style w:type="character" w:customStyle="1" w:styleId="Heading1Char">
    <w:name w:val="Heading 1 Char"/>
    <w:basedOn w:val="DefaultParagraphFont"/>
    <w:link w:val="Heading1"/>
    <w:rsid w:val="003C6BDE"/>
    <w:rPr>
      <w:rFonts w:ascii="Times New Roman" w:eastAsia="Times New Roman" w:hAnsi="Times New Roman" w:cs="Times New Roman"/>
      <w:b/>
      <w:sz w:val="32"/>
      <w:szCs w:val="20"/>
      <w:lang w:eastAsia="en-US"/>
    </w:rPr>
  </w:style>
  <w:style w:type="paragraph" w:styleId="BodyText">
    <w:name w:val="Body Text"/>
    <w:basedOn w:val="Normal"/>
    <w:link w:val="BodyTextChar"/>
    <w:rsid w:val="003C6B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6BDE"/>
    <w:rPr>
      <w:rFonts w:ascii="Times New Roman" w:eastAsia="Times New Roman" w:hAnsi="Times New Roman" w:cs="Times New Roman"/>
      <w:sz w:val="24"/>
      <w:lang w:eastAsia="en-US"/>
    </w:rPr>
  </w:style>
  <w:style w:type="paragraph" w:styleId="Footer">
    <w:name w:val="footer"/>
    <w:basedOn w:val="Normal"/>
    <w:link w:val="FooterChar"/>
    <w:rsid w:val="003C6B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6BDE"/>
    <w:rPr>
      <w:rFonts w:ascii="Times New Roman" w:eastAsia="Times New Roman" w:hAnsi="Times New Roman" w:cs="Times New Roman"/>
      <w:sz w:val="16"/>
      <w:lang w:eastAsia="en-US"/>
    </w:rPr>
  </w:style>
  <w:style w:type="paragraph" w:styleId="List">
    <w:name w:val="List"/>
    <w:basedOn w:val="BodyText"/>
    <w:next w:val="BodyText"/>
    <w:rsid w:val="003C6BDE"/>
    <w:pPr>
      <w:tabs>
        <w:tab w:val="left" w:pos="340"/>
      </w:tabs>
      <w:spacing w:before="60" w:after="60"/>
      <w:ind w:left="340" w:hanging="340"/>
    </w:pPr>
  </w:style>
  <w:style w:type="paragraph" w:styleId="ListBullet">
    <w:name w:val="List Bullet"/>
    <w:basedOn w:val="List"/>
    <w:rsid w:val="003C6BDE"/>
    <w:pPr>
      <w:numPr>
        <w:numId w:val="13"/>
      </w:numPr>
      <w:tabs>
        <w:tab w:val="clear" w:pos="340"/>
      </w:tabs>
      <w:spacing w:before="40" w:after="40"/>
    </w:pPr>
  </w:style>
  <w:style w:type="character" w:customStyle="1" w:styleId="SpecialBold">
    <w:name w:val="Special Bold"/>
    <w:basedOn w:val="DefaultParagraphFont"/>
    <w:rsid w:val="003C6BDE"/>
    <w:rPr>
      <w:b/>
      <w:spacing w:val="0"/>
    </w:rPr>
  </w:style>
  <w:style w:type="paragraph" w:styleId="ListBullet2">
    <w:name w:val="List Bullet 2"/>
    <w:basedOn w:val="List2"/>
    <w:rsid w:val="003C6BDE"/>
    <w:pPr>
      <w:numPr>
        <w:numId w:val="14"/>
      </w:numPr>
      <w:tabs>
        <w:tab w:val="clear" w:pos="680"/>
      </w:tabs>
    </w:pPr>
  </w:style>
  <w:style w:type="paragraph" w:customStyle="1" w:styleId="SuperHeading">
    <w:name w:val="SuperHeading"/>
    <w:basedOn w:val="Normal"/>
    <w:rsid w:val="003C6BDE"/>
    <w:pPr>
      <w:spacing w:before="240" w:after="120"/>
      <w:outlineLvl w:val="0"/>
    </w:pPr>
    <w:rPr>
      <w:rFonts w:ascii="Times New Roman" w:hAnsi="Times New Roman"/>
      <w:b/>
      <w:sz w:val="28"/>
    </w:rPr>
  </w:style>
  <w:style w:type="paragraph" w:customStyle="1" w:styleId="AllowPageBreak">
    <w:name w:val="AllowPageBreak"/>
    <w:rsid w:val="003C6B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6B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6B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6B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6B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6B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B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6B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6BDE"/>
    <w:rPr>
      <w:rFonts w:ascii="Courier New" w:eastAsia="Times New Roman" w:hAnsi="Courier New" w:cs="Times New Roman"/>
      <w:i/>
      <w:szCs w:val="20"/>
      <w:lang w:eastAsia="en-US"/>
    </w:rPr>
  </w:style>
  <w:style w:type="paragraph" w:customStyle="1" w:styleId="HeadingBase">
    <w:name w:val="Heading Base"/>
    <w:rsid w:val="003C6B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BDE"/>
    <w:pPr>
      <w:tabs>
        <w:tab w:val="right" w:leader="dot" w:pos="9072"/>
      </w:tabs>
      <w:ind w:left="567"/>
    </w:pPr>
    <w:rPr>
      <w:szCs w:val="22"/>
    </w:rPr>
  </w:style>
  <w:style w:type="paragraph" w:customStyle="1" w:styleId="TOCBase">
    <w:name w:val="TOC Base"/>
    <w:rsid w:val="003C6B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BDE"/>
    <w:pPr>
      <w:tabs>
        <w:tab w:val="right" w:leader="dot" w:pos="9072"/>
      </w:tabs>
      <w:spacing w:before="40" w:after="40"/>
      <w:ind w:left="284"/>
    </w:pPr>
    <w:rPr>
      <w:rFonts w:ascii="Times New Roman" w:hAnsi="Times New Roman"/>
    </w:rPr>
  </w:style>
  <w:style w:type="paragraph" w:styleId="TOC1">
    <w:name w:val="toc 1"/>
    <w:basedOn w:val="TOCBase"/>
    <w:next w:val="Normal"/>
    <w:rsid w:val="003C6B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6BDE"/>
    <w:pPr>
      <w:spacing w:before="5040"/>
      <w:jc w:val="center"/>
    </w:pPr>
    <w:rPr>
      <w:sz w:val="48"/>
      <w:szCs w:val="72"/>
      <w:lang w:val="en-US"/>
    </w:rPr>
  </w:style>
  <w:style w:type="character" w:customStyle="1" w:styleId="TitleChar">
    <w:name w:val="Title Char"/>
    <w:basedOn w:val="DefaultParagraphFont"/>
    <w:link w:val="Title"/>
    <w:rsid w:val="003C6B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BDE"/>
    <w:pPr>
      <w:tabs>
        <w:tab w:val="left" w:pos="3600"/>
        <w:tab w:val="left" w:pos="3958"/>
      </w:tabs>
    </w:pPr>
  </w:style>
  <w:style w:type="paragraph" w:customStyle="1" w:styleId="Note">
    <w:name w:val="Note"/>
    <w:basedOn w:val="BodyText"/>
    <w:rsid w:val="003C6B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6BDE"/>
    <w:pPr>
      <w:framePr w:wrap="auto" w:hAnchor="text" w:y="6049"/>
    </w:pPr>
    <w:rPr>
      <w:color w:val="000000"/>
      <w:sz w:val="40"/>
    </w:rPr>
  </w:style>
  <w:style w:type="paragraph" w:customStyle="1" w:styleId="TOCTitle">
    <w:name w:val="TOCTitle"/>
    <w:basedOn w:val="Heading1"/>
    <w:rsid w:val="003C6BDE"/>
    <w:pPr>
      <w:spacing w:after="240"/>
      <w:jc w:val="center"/>
      <w:outlineLvl w:val="9"/>
    </w:pPr>
    <w:rPr>
      <w:caps/>
    </w:rPr>
  </w:style>
  <w:style w:type="paragraph" w:customStyle="1" w:styleId="Version">
    <w:name w:val="Version"/>
    <w:rsid w:val="003C6B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6BDE"/>
    <w:pPr>
      <w:keepNext w:val="0"/>
      <w:tabs>
        <w:tab w:val="right" w:pos="4176"/>
      </w:tabs>
      <w:ind w:left="198" w:hanging="198"/>
    </w:pPr>
    <w:rPr>
      <w:rFonts w:ascii="Garamond" w:hAnsi="Garamond"/>
    </w:rPr>
  </w:style>
  <w:style w:type="paragraph" w:styleId="IndexHeading">
    <w:name w:val="index heading"/>
    <w:basedOn w:val="Normal"/>
    <w:next w:val="Index1"/>
    <w:semiHidden/>
    <w:rsid w:val="003C6BDE"/>
    <w:pPr>
      <w:spacing w:before="120" w:after="120"/>
    </w:pPr>
    <w:rPr>
      <w:rFonts w:ascii="Arial" w:hAnsi="Arial"/>
      <w:b/>
      <w:color w:val="918585"/>
      <w:sz w:val="24"/>
    </w:rPr>
  </w:style>
  <w:style w:type="paragraph" w:styleId="Header">
    <w:name w:val="header"/>
    <w:basedOn w:val="Normal"/>
    <w:link w:val="HeaderChar"/>
    <w:rsid w:val="003C6B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6BDE"/>
    <w:rPr>
      <w:rFonts w:ascii="Times New Roman" w:eastAsia="Times New Roman" w:hAnsi="Times New Roman" w:cs="Times New Roman"/>
      <w:sz w:val="16"/>
      <w:szCs w:val="20"/>
      <w:lang w:val="en-GB" w:eastAsia="en-US"/>
    </w:rPr>
  </w:style>
  <w:style w:type="paragraph" w:customStyle="1" w:styleId="Chapter">
    <w:name w:val="Chapter"/>
    <w:basedOn w:val="Normal"/>
    <w:rsid w:val="003C6BDE"/>
    <w:pPr>
      <w:spacing w:before="240"/>
    </w:pPr>
    <w:rPr>
      <w:rFonts w:ascii="Times New Roman" w:hAnsi="Times New Roman"/>
      <w:smallCaps/>
      <w:spacing w:val="80"/>
      <w:sz w:val="28"/>
    </w:rPr>
  </w:style>
  <w:style w:type="paragraph" w:customStyle="1" w:styleId="InChapter">
    <w:name w:val="InChapter"/>
    <w:basedOn w:val="Heading3"/>
    <w:rsid w:val="003C6BDE"/>
    <w:pPr>
      <w:spacing w:after="240"/>
      <w:outlineLvl w:val="9"/>
    </w:pPr>
    <w:rPr>
      <w:noProof/>
    </w:rPr>
  </w:style>
  <w:style w:type="paragraph" w:styleId="Index2">
    <w:name w:val="index 2"/>
    <w:basedOn w:val="Normal"/>
    <w:next w:val="Normal"/>
    <w:semiHidden/>
    <w:rsid w:val="003C6BDE"/>
    <w:pPr>
      <w:tabs>
        <w:tab w:val="right" w:pos="4176"/>
      </w:tabs>
      <w:ind w:left="568" w:hanging="284"/>
    </w:pPr>
    <w:rPr>
      <w:rFonts w:ascii="Garamond" w:hAnsi="Garamond"/>
    </w:rPr>
  </w:style>
  <w:style w:type="paragraph" w:customStyle="1" w:styleId="Byline">
    <w:name w:val="Byline"/>
    <w:rsid w:val="003C6B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BDE"/>
    <w:pPr>
      <w:tabs>
        <w:tab w:val="clear" w:pos="3600"/>
        <w:tab w:val="clear" w:pos="3958"/>
      </w:tabs>
      <w:jc w:val="right"/>
    </w:pPr>
  </w:style>
  <w:style w:type="character" w:styleId="Emphasis">
    <w:name w:val="Emphasis"/>
    <w:basedOn w:val="DefaultParagraphFont"/>
    <w:qFormat/>
    <w:rsid w:val="003C6BDE"/>
    <w:rPr>
      <w:i/>
    </w:rPr>
  </w:style>
  <w:style w:type="paragraph" w:styleId="Caption">
    <w:name w:val="caption"/>
    <w:basedOn w:val="BodyText"/>
    <w:next w:val="Normal"/>
    <w:qFormat/>
    <w:rsid w:val="003C6BDE"/>
    <w:pPr>
      <w:framePr w:w="2268" w:hSpace="181" w:vSpace="181" w:wrap="around" w:vAnchor="text" w:hAnchor="page" w:x="1135" w:y="285" w:anchorLock="1"/>
    </w:pPr>
    <w:rPr>
      <w:i/>
    </w:rPr>
  </w:style>
  <w:style w:type="paragraph" w:customStyle="1" w:styleId="MiniTOCTitle">
    <w:name w:val="MiniTOCTitle"/>
    <w:basedOn w:val="Heading4"/>
    <w:rsid w:val="003C6BDE"/>
    <w:pPr>
      <w:spacing w:before="240"/>
      <w:outlineLvl w:val="9"/>
    </w:pPr>
    <w:rPr>
      <w:noProof/>
      <w:sz w:val="24"/>
    </w:rPr>
  </w:style>
  <w:style w:type="paragraph" w:customStyle="1" w:styleId="MiniTOCItem">
    <w:name w:val="MiniTOCItem"/>
    <w:basedOn w:val="ListBullet"/>
    <w:rsid w:val="003C6BDE"/>
    <w:pPr>
      <w:numPr>
        <w:numId w:val="0"/>
      </w:numPr>
      <w:tabs>
        <w:tab w:val="right" w:leader="dot" w:pos="6521"/>
      </w:tabs>
      <w:spacing w:before="0" w:after="0"/>
    </w:pPr>
  </w:style>
  <w:style w:type="paragraph" w:customStyle="1" w:styleId="TOFTitle">
    <w:name w:val="TOFTitle"/>
    <w:basedOn w:val="TOCTitle"/>
    <w:rsid w:val="003C6BDE"/>
  </w:style>
  <w:style w:type="paragraph" w:styleId="TableofFigures">
    <w:name w:val="table of figures"/>
    <w:basedOn w:val="Normal"/>
    <w:next w:val="Normal"/>
    <w:semiHidden/>
    <w:rsid w:val="003C6BDE"/>
    <w:pPr>
      <w:tabs>
        <w:tab w:val="right" w:leader="dot" w:pos="9072"/>
      </w:tabs>
      <w:ind w:left="970" w:hanging="403"/>
    </w:pPr>
    <w:rPr>
      <w:rFonts w:ascii="Times New Roman" w:hAnsi="Times New Roman"/>
      <w:b/>
    </w:rPr>
  </w:style>
  <w:style w:type="paragraph" w:styleId="ListNumber">
    <w:name w:val="List Number"/>
    <w:basedOn w:val="List"/>
    <w:rsid w:val="003C6BDE"/>
    <w:pPr>
      <w:numPr>
        <w:numId w:val="11"/>
      </w:numPr>
    </w:pPr>
  </w:style>
  <w:style w:type="character" w:customStyle="1" w:styleId="WingdingSymbols">
    <w:name w:val="Wingding Symbols"/>
    <w:rsid w:val="003C6BDE"/>
    <w:rPr>
      <w:rFonts w:ascii="Wingdings" w:hAnsi="Wingdings"/>
    </w:rPr>
  </w:style>
  <w:style w:type="paragraph" w:customStyle="1" w:styleId="TableHeading">
    <w:name w:val="Table Heading"/>
    <w:basedOn w:val="HeadingBase"/>
    <w:rsid w:val="003C6BDE"/>
    <w:pPr>
      <w:keepLines/>
      <w:pBdr>
        <w:bottom w:val="single" w:sz="6" w:space="1" w:color="918585"/>
      </w:pBdr>
      <w:spacing w:before="240"/>
    </w:pPr>
  </w:style>
  <w:style w:type="character" w:customStyle="1" w:styleId="HotSpot">
    <w:name w:val="HotSpot"/>
    <w:rsid w:val="003C6BDE"/>
    <w:rPr>
      <w:color w:val="0033CC"/>
      <w:u w:val="none"/>
    </w:rPr>
  </w:style>
  <w:style w:type="paragraph" w:customStyle="1" w:styleId="BodyTextRight">
    <w:name w:val="Body Text Right"/>
    <w:basedOn w:val="BodyText"/>
    <w:rsid w:val="003C6BDE"/>
    <w:pPr>
      <w:spacing w:before="0" w:after="0"/>
      <w:jc w:val="right"/>
    </w:pPr>
  </w:style>
  <w:style w:type="paragraph" w:styleId="Index3">
    <w:name w:val="index 3"/>
    <w:basedOn w:val="ListNumber2"/>
    <w:next w:val="Normal"/>
    <w:semiHidden/>
    <w:rsid w:val="003C6BDE"/>
    <w:pPr>
      <w:numPr>
        <w:numId w:val="0"/>
      </w:numPr>
      <w:tabs>
        <w:tab w:val="right" w:leader="dot" w:pos="4176"/>
      </w:tabs>
    </w:pPr>
  </w:style>
  <w:style w:type="paragraph" w:styleId="ListNumber2">
    <w:name w:val="List Number 2"/>
    <w:basedOn w:val="List2"/>
    <w:rsid w:val="003C6BDE"/>
    <w:pPr>
      <w:numPr>
        <w:numId w:val="10"/>
      </w:numPr>
      <w:tabs>
        <w:tab w:val="clear" w:pos="1060"/>
      </w:tabs>
    </w:pPr>
  </w:style>
  <w:style w:type="paragraph" w:customStyle="1" w:styleId="MarginNote">
    <w:name w:val="Margin Note"/>
    <w:basedOn w:val="BodyText"/>
    <w:rsid w:val="003C6B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B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6B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6BDE"/>
    <w:rPr>
      <w:sz w:val="32"/>
    </w:rPr>
  </w:style>
  <w:style w:type="paragraph" w:customStyle="1" w:styleId="HeadingProcedure">
    <w:name w:val="Heading Procedure"/>
    <w:basedOn w:val="HeadingBase"/>
    <w:next w:val="Normal"/>
    <w:rsid w:val="003C6BDE"/>
    <w:pPr>
      <w:tabs>
        <w:tab w:val="left" w:pos="0"/>
      </w:tabs>
      <w:spacing w:before="120" w:after="60"/>
    </w:pPr>
    <w:rPr>
      <w:i/>
      <w:color w:val="918585"/>
      <w:sz w:val="22"/>
    </w:rPr>
  </w:style>
  <w:style w:type="paragraph" w:customStyle="1" w:styleId="TableBodyText">
    <w:name w:val="Table Body Text"/>
    <w:basedOn w:val="BodyText"/>
    <w:rsid w:val="003C6BDE"/>
    <w:pPr>
      <w:spacing w:before="60" w:after="60"/>
    </w:pPr>
  </w:style>
  <w:style w:type="paragraph" w:styleId="ListContinue">
    <w:name w:val="List Continue"/>
    <w:basedOn w:val="List"/>
    <w:rsid w:val="003C6BDE"/>
    <w:pPr>
      <w:ind w:firstLine="0"/>
    </w:pPr>
  </w:style>
  <w:style w:type="paragraph" w:customStyle="1" w:styleId="ListNote">
    <w:name w:val="List Note"/>
    <w:basedOn w:val="List"/>
    <w:rsid w:val="003C6BDE"/>
    <w:pPr>
      <w:pBdr>
        <w:top w:val="single" w:sz="6" w:space="2" w:color="918585"/>
        <w:bottom w:val="single" w:sz="6" w:space="2" w:color="918585"/>
      </w:pBdr>
      <w:tabs>
        <w:tab w:val="left" w:pos="1021"/>
      </w:tabs>
      <w:ind w:firstLine="0"/>
    </w:pPr>
  </w:style>
  <w:style w:type="paragraph" w:customStyle="1" w:styleId="Warning">
    <w:name w:val="Warning"/>
    <w:basedOn w:val="BodyText"/>
    <w:rsid w:val="003C6BDE"/>
    <w:pPr>
      <w:shd w:val="clear" w:color="auto" w:fill="D9D9D9"/>
      <w:tabs>
        <w:tab w:val="left" w:pos="992"/>
      </w:tabs>
      <w:ind w:left="119" w:right="119"/>
    </w:pPr>
    <w:rPr>
      <w:sz w:val="20"/>
    </w:rPr>
  </w:style>
  <w:style w:type="paragraph" w:customStyle="1" w:styleId="MarginIcons">
    <w:name w:val="Margin Icons"/>
    <w:basedOn w:val="BodyText"/>
    <w:rsid w:val="003C6B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6BDE"/>
    <w:rPr>
      <w:rFonts w:ascii="Courier New" w:hAnsi="Courier New"/>
    </w:rPr>
  </w:style>
  <w:style w:type="paragraph" w:customStyle="1" w:styleId="NoteBullet">
    <w:name w:val="Note Bullet"/>
    <w:basedOn w:val="Note"/>
    <w:rsid w:val="003C6BDE"/>
    <w:pPr>
      <w:tabs>
        <w:tab w:val="clear" w:pos="680"/>
      </w:tabs>
      <w:spacing w:before="60" w:after="60"/>
    </w:pPr>
  </w:style>
  <w:style w:type="paragraph" w:customStyle="1" w:styleId="SubHeading2">
    <w:name w:val="SubHeading2"/>
    <w:basedOn w:val="HeadingBase"/>
    <w:rsid w:val="003C6BDE"/>
    <w:pPr>
      <w:spacing w:before="240" w:after="60"/>
    </w:pPr>
    <w:rPr>
      <w:sz w:val="20"/>
    </w:rPr>
  </w:style>
  <w:style w:type="paragraph" w:customStyle="1" w:styleId="SubHeading1">
    <w:name w:val="SubHeading1"/>
    <w:basedOn w:val="HeadingBase"/>
    <w:rsid w:val="003C6BDE"/>
    <w:pPr>
      <w:spacing w:before="240" w:after="60"/>
    </w:pPr>
    <w:rPr>
      <w:color w:val="918585"/>
      <w:sz w:val="22"/>
    </w:rPr>
  </w:style>
  <w:style w:type="paragraph" w:customStyle="1" w:styleId="SideHeading">
    <w:name w:val="Side Heading"/>
    <w:basedOn w:val="HeadingBase"/>
    <w:rsid w:val="003C6B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BDE"/>
    <w:pPr>
      <w:numPr>
        <w:numId w:val="12"/>
      </w:numPr>
    </w:pPr>
  </w:style>
  <w:style w:type="paragraph" w:styleId="PlainText">
    <w:name w:val="Plain Text"/>
    <w:basedOn w:val="Normal"/>
    <w:link w:val="PlainTextChar"/>
    <w:rsid w:val="003C6BDE"/>
    <w:rPr>
      <w:sz w:val="20"/>
    </w:rPr>
  </w:style>
  <w:style w:type="character" w:customStyle="1" w:styleId="PlainTextChar">
    <w:name w:val="Plain Text Char"/>
    <w:basedOn w:val="DefaultParagraphFont"/>
    <w:link w:val="PlainText"/>
    <w:rsid w:val="003C6BDE"/>
    <w:rPr>
      <w:rFonts w:ascii="Courier New" w:eastAsia="Times New Roman" w:hAnsi="Courier New" w:cs="Times New Roman"/>
      <w:sz w:val="20"/>
      <w:szCs w:val="20"/>
      <w:lang w:eastAsia="en-US"/>
    </w:rPr>
  </w:style>
  <w:style w:type="character" w:customStyle="1" w:styleId="MenuOption">
    <w:name w:val="Menu Option"/>
    <w:basedOn w:val="DefaultParagraphFont"/>
    <w:rsid w:val="003C6BDE"/>
    <w:rPr>
      <w:b/>
      <w:smallCaps/>
    </w:rPr>
  </w:style>
  <w:style w:type="paragraph" w:customStyle="1" w:styleId="TableListNumber">
    <w:name w:val="Table List Number"/>
    <w:basedOn w:val="ListNumber"/>
    <w:rsid w:val="003C6BDE"/>
    <w:pPr>
      <w:numPr>
        <w:numId w:val="0"/>
      </w:numPr>
    </w:pPr>
  </w:style>
  <w:style w:type="paragraph" w:styleId="TOC4">
    <w:name w:val="toc 4"/>
    <w:basedOn w:val="TOCBase"/>
    <w:next w:val="Normal"/>
    <w:semiHidden/>
    <w:rsid w:val="003C6BDE"/>
    <w:pPr>
      <w:tabs>
        <w:tab w:val="right" w:leader="dot" w:pos="9071"/>
      </w:tabs>
      <w:ind w:left="1701"/>
    </w:pPr>
  </w:style>
  <w:style w:type="paragraph" w:customStyle="1" w:styleId="ListAlpha">
    <w:name w:val="List Alpha"/>
    <w:basedOn w:val="List"/>
    <w:rsid w:val="003C6BDE"/>
    <w:pPr>
      <w:numPr>
        <w:numId w:val="9"/>
      </w:numPr>
    </w:pPr>
  </w:style>
  <w:style w:type="paragraph" w:customStyle="1" w:styleId="ListAlpha2">
    <w:name w:val="List Alpha 2"/>
    <w:basedOn w:val="List2"/>
    <w:rsid w:val="003C6BDE"/>
    <w:pPr>
      <w:numPr>
        <w:numId w:val="8"/>
      </w:numPr>
    </w:pPr>
  </w:style>
  <w:style w:type="paragraph" w:styleId="List2">
    <w:name w:val="List 2"/>
    <w:basedOn w:val="BodyText"/>
    <w:rsid w:val="003C6BDE"/>
    <w:pPr>
      <w:tabs>
        <w:tab w:val="left" w:pos="680"/>
      </w:tabs>
      <w:spacing w:before="60" w:after="60"/>
      <w:ind w:left="680" w:hanging="340"/>
    </w:pPr>
  </w:style>
  <w:style w:type="paragraph" w:styleId="List3">
    <w:name w:val="List 3"/>
    <w:basedOn w:val="BodyText"/>
    <w:rsid w:val="003C6BDE"/>
    <w:pPr>
      <w:tabs>
        <w:tab w:val="left" w:pos="1021"/>
      </w:tabs>
      <w:spacing w:before="60" w:after="60"/>
      <w:ind w:left="1020" w:hanging="340"/>
    </w:pPr>
  </w:style>
  <w:style w:type="paragraph" w:styleId="List4">
    <w:name w:val="List 4"/>
    <w:basedOn w:val="BodyText"/>
    <w:rsid w:val="003C6BDE"/>
    <w:pPr>
      <w:tabs>
        <w:tab w:val="left" w:pos="1361"/>
      </w:tabs>
      <w:spacing w:before="60" w:after="60"/>
      <w:ind w:left="1361" w:hanging="340"/>
    </w:pPr>
  </w:style>
  <w:style w:type="paragraph" w:styleId="List5">
    <w:name w:val="List 5"/>
    <w:basedOn w:val="BodyText"/>
    <w:rsid w:val="003C6BDE"/>
    <w:pPr>
      <w:tabs>
        <w:tab w:val="left" w:pos="1701"/>
      </w:tabs>
      <w:spacing w:before="60" w:after="60"/>
      <w:ind w:left="1701" w:hanging="340"/>
    </w:pPr>
  </w:style>
  <w:style w:type="paragraph" w:styleId="ListBullet3">
    <w:name w:val="List Bullet 3"/>
    <w:basedOn w:val="List3"/>
    <w:rsid w:val="003C6BDE"/>
    <w:pPr>
      <w:numPr>
        <w:numId w:val="15"/>
      </w:numPr>
      <w:tabs>
        <w:tab w:val="clear" w:pos="1021"/>
      </w:tabs>
      <w:ind w:left="1037" w:hanging="357"/>
    </w:pPr>
  </w:style>
  <w:style w:type="paragraph" w:styleId="ListBullet4">
    <w:name w:val="List Bullet 4"/>
    <w:basedOn w:val="List4"/>
    <w:rsid w:val="003C6BDE"/>
    <w:pPr>
      <w:numPr>
        <w:numId w:val="3"/>
      </w:numPr>
    </w:pPr>
  </w:style>
  <w:style w:type="paragraph" w:styleId="ListBullet5">
    <w:name w:val="List Bullet 5"/>
    <w:basedOn w:val="List5"/>
    <w:rsid w:val="003C6BDE"/>
    <w:pPr>
      <w:numPr>
        <w:numId w:val="4"/>
      </w:numPr>
    </w:pPr>
  </w:style>
  <w:style w:type="paragraph" w:styleId="ListContinue2">
    <w:name w:val="List Continue 2"/>
    <w:basedOn w:val="List2"/>
    <w:rsid w:val="003C6BDE"/>
    <w:pPr>
      <w:ind w:firstLine="0"/>
    </w:pPr>
  </w:style>
  <w:style w:type="paragraph" w:styleId="ListContinue3">
    <w:name w:val="List Continue 3"/>
    <w:basedOn w:val="List3"/>
    <w:rsid w:val="003C6BDE"/>
    <w:pPr>
      <w:ind w:left="1021" w:firstLine="0"/>
    </w:pPr>
  </w:style>
  <w:style w:type="paragraph" w:styleId="ListContinue4">
    <w:name w:val="List Continue 4"/>
    <w:basedOn w:val="List4"/>
    <w:rsid w:val="003C6BDE"/>
    <w:pPr>
      <w:ind w:firstLine="0"/>
    </w:pPr>
  </w:style>
  <w:style w:type="paragraph" w:styleId="ListContinue5">
    <w:name w:val="List Continue 5"/>
    <w:basedOn w:val="List5"/>
    <w:rsid w:val="003C6BDE"/>
    <w:pPr>
      <w:ind w:firstLine="0"/>
    </w:pPr>
  </w:style>
  <w:style w:type="paragraph" w:styleId="ListNumber3">
    <w:name w:val="List Number 3"/>
    <w:basedOn w:val="List3"/>
    <w:rsid w:val="003C6BDE"/>
    <w:pPr>
      <w:numPr>
        <w:numId w:val="5"/>
      </w:numPr>
    </w:pPr>
  </w:style>
  <w:style w:type="paragraph" w:styleId="ListNumber4">
    <w:name w:val="List Number 4"/>
    <w:basedOn w:val="List4"/>
    <w:rsid w:val="003C6BDE"/>
    <w:pPr>
      <w:numPr>
        <w:numId w:val="6"/>
      </w:numPr>
    </w:pPr>
  </w:style>
  <w:style w:type="paragraph" w:styleId="ListNumber5">
    <w:name w:val="List Number 5"/>
    <w:basedOn w:val="List5"/>
    <w:rsid w:val="003C6BDE"/>
    <w:pPr>
      <w:numPr>
        <w:numId w:val="7"/>
      </w:numPr>
    </w:pPr>
  </w:style>
  <w:style w:type="paragraph" w:styleId="BlockText">
    <w:name w:val="Block Text"/>
    <w:basedOn w:val="Normal"/>
    <w:rsid w:val="003C6BDE"/>
    <w:pPr>
      <w:spacing w:after="120"/>
      <w:ind w:left="1440" w:right="1440"/>
    </w:pPr>
  </w:style>
  <w:style w:type="character" w:customStyle="1" w:styleId="Subscript">
    <w:name w:val="Subscript"/>
    <w:basedOn w:val="DefaultParagraphFont"/>
    <w:rsid w:val="003C6BDE"/>
    <w:rPr>
      <w:sz w:val="16"/>
      <w:vertAlign w:val="subscript"/>
    </w:rPr>
  </w:style>
  <w:style w:type="character" w:customStyle="1" w:styleId="Superscript">
    <w:name w:val="Superscript"/>
    <w:basedOn w:val="DefaultParagraphFont"/>
    <w:rsid w:val="003C6BDE"/>
    <w:rPr>
      <w:sz w:val="16"/>
      <w:vertAlign w:val="superscript"/>
    </w:rPr>
  </w:style>
  <w:style w:type="character" w:customStyle="1" w:styleId="Symbols">
    <w:name w:val="Symbols"/>
    <w:basedOn w:val="DefaultParagraphFont"/>
    <w:rsid w:val="003C6BDE"/>
    <w:rPr>
      <w:rFonts w:ascii="Symbol" w:hAnsi="Symbol"/>
    </w:rPr>
  </w:style>
  <w:style w:type="character" w:customStyle="1" w:styleId="MenuOptions">
    <w:name w:val="Menu Options"/>
    <w:basedOn w:val="DefaultParagraphFont"/>
    <w:rsid w:val="003C6BDE"/>
    <w:rPr>
      <w:rFonts w:ascii="Arial Narrow" w:hAnsi="Arial Narrow"/>
      <w:smallCaps/>
    </w:rPr>
  </w:style>
  <w:style w:type="character" w:customStyle="1" w:styleId="Buttons">
    <w:name w:val="Buttons"/>
    <w:basedOn w:val="DefaultParagraphFont"/>
    <w:rsid w:val="003C6BDE"/>
    <w:rPr>
      <w:b/>
    </w:rPr>
  </w:style>
  <w:style w:type="character" w:customStyle="1" w:styleId="Underlined">
    <w:name w:val="Underlined"/>
    <w:basedOn w:val="DefaultParagraphFont"/>
    <w:rsid w:val="003C6BDE"/>
    <w:rPr>
      <w:u w:val="single"/>
    </w:rPr>
  </w:style>
  <w:style w:type="paragraph" w:customStyle="1" w:styleId="TableBodyTextRight">
    <w:name w:val="Table Body Text Right"/>
    <w:basedOn w:val="TableBodyText"/>
    <w:rsid w:val="003C6BDE"/>
    <w:pPr>
      <w:widowControl w:val="0"/>
      <w:autoSpaceDE w:val="0"/>
      <w:autoSpaceDN w:val="0"/>
      <w:adjustRightInd w:val="0"/>
      <w:jc w:val="right"/>
    </w:pPr>
    <w:rPr>
      <w:rFonts w:cs="Arial"/>
      <w:szCs w:val="18"/>
    </w:rPr>
  </w:style>
  <w:style w:type="paragraph" w:customStyle="1" w:styleId="CopyrightText">
    <w:name w:val="Copyright Text"/>
    <w:basedOn w:val="BodyText"/>
    <w:rsid w:val="003C6BDE"/>
    <w:rPr>
      <w:sz w:val="18"/>
    </w:rPr>
  </w:style>
  <w:style w:type="paragraph" w:customStyle="1" w:styleId="BodySmallRight">
    <w:name w:val="Body Small Right"/>
    <w:basedOn w:val="BodyTextRight"/>
    <w:rsid w:val="003C6BDE"/>
    <w:rPr>
      <w:sz w:val="18"/>
      <w:szCs w:val="18"/>
    </w:rPr>
  </w:style>
  <w:style w:type="paragraph" w:customStyle="1" w:styleId="MarginEdition">
    <w:name w:val="Margin Edition"/>
    <w:basedOn w:val="MarginNote"/>
    <w:rsid w:val="003C6BDE"/>
    <w:pPr>
      <w:spacing w:before="0" w:after="0"/>
    </w:pPr>
    <w:rPr>
      <w:rFonts w:ascii="Times New Roman" w:hAnsi="Times New Roman"/>
      <w:color w:val="999999"/>
    </w:rPr>
  </w:style>
  <w:style w:type="paragraph" w:customStyle="1" w:styleId="Spacer">
    <w:name w:val="Spacer"/>
    <w:basedOn w:val="Normal"/>
    <w:rsid w:val="003C6BDE"/>
    <w:rPr>
      <w:sz w:val="2"/>
      <w:szCs w:val="2"/>
    </w:rPr>
  </w:style>
  <w:style w:type="character" w:customStyle="1" w:styleId="Small">
    <w:name w:val="Small"/>
    <w:basedOn w:val="DefaultParagraphFont"/>
    <w:rsid w:val="003C6BDE"/>
    <w:rPr>
      <w:sz w:val="16"/>
    </w:rPr>
  </w:style>
  <w:style w:type="paragraph" w:customStyle="1" w:styleId="WideTable">
    <w:name w:val="Wide Table"/>
    <w:basedOn w:val="Normal"/>
    <w:rsid w:val="003C6BDE"/>
    <w:pPr>
      <w:ind w:left="-1418"/>
    </w:pPr>
    <w:rPr>
      <w:sz w:val="2"/>
      <w:szCs w:val="2"/>
    </w:rPr>
  </w:style>
  <w:style w:type="character" w:styleId="PageNumber">
    <w:name w:val="page number"/>
    <w:basedOn w:val="DefaultParagraphFont"/>
    <w:rsid w:val="003C6BDE"/>
  </w:style>
  <w:style w:type="paragraph" w:styleId="Quote">
    <w:name w:val="Quote"/>
    <w:basedOn w:val="Heading1"/>
    <w:link w:val="QuoteChar"/>
    <w:qFormat/>
    <w:rsid w:val="003C6BDE"/>
    <w:rPr>
      <w:b w:val="0"/>
      <w:sz w:val="72"/>
      <w:szCs w:val="72"/>
      <w:lang w:val="en-NZ"/>
    </w:rPr>
  </w:style>
  <w:style w:type="character" w:customStyle="1" w:styleId="QuoteChar">
    <w:name w:val="Quote Char"/>
    <w:basedOn w:val="DefaultParagraphFont"/>
    <w:link w:val="Quote"/>
    <w:rsid w:val="003C6B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BDE"/>
    <w:pPr>
      <w:pageBreakBefore/>
    </w:pPr>
  </w:style>
  <w:style w:type="paragraph" w:customStyle="1" w:styleId="Border">
    <w:name w:val="Border"/>
    <w:basedOn w:val="Normal"/>
    <w:qFormat/>
    <w:rsid w:val="003C6B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6BDE"/>
    <w:rPr>
      <w:b/>
      <w:bCs/>
      <w:i/>
      <w:iCs/>
      <w:color w:val="auto"/>
    </w:rPr>
  </w:style>
  <w:style w:type="paragraph" w:styleId="IntenseQuote">
    <w:name w:val="Intense Quote"/>
    <w:basedOn w:val="Normal"/>
    <w:next w:val="Normal"/>
    <w:link w:val="IntenseQuoteChar"/>
    <w:uiPriority w:val="30"/>
    <w:qFormat/>
    <w:rsid w:val="003C6B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6B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6BDE"/>
    <w:rPr>
      <w:smallCaps/>
      <w:color w:val="auto"/>
      <w:u w:val="single"/>
    </w:rPr>
  </w:style>
  <w:style w:type="character" w:styleId="IntenseReference">
    <w:name w:val="Intense Reference"/>
    <w:basedOn w:val="DefaultParagraphFont"/>
    <w:uiPriority w:val="32"/>
    <w:qFormat/>
    <w:rsid w:val="003C6BDE"/>
    <w:rPr>
      <w:b/>
      <w:bCs/>
      <w:smallCaps/>
      <w:color w:val="auto"/>
      <w:spacing w:val="5"/>
      <w:u w:val="single"/>
    </w:rPr>
  </w:style>
  <w:style w:type="paragraph" w:customStyle="1" w:styleId="2ColumnHeading">
    <w:name w:val="2Column Heading"/>
    <w:basedOn w:val="BodyText"/>
    <w:qFormat/>
    <w:rsid w:val="003C6BDE"/>
    <w:pPr>
      <w:spacing w:after="60"/>
      <w:ind w:left="-2268"/>
    </w:pPr>
    <w:rPr>
      <w:b/>
    </w:rPr>
  </w:style>
  <w:style w:type="paragraph" w:customStyle="1" w:styleId="Heading1TOC">
    <w:name w:val="Heading1 TOC"/>
    <w:basedOn w:val="Normal"/>
    <w:qFormat/>
    <w:rsid w:val="003C6BDE"/>
    <w:pPr>
      <w:spacing w:before="240" w:after="120"/>
    </w:pPr>
    <w:rPr>
      <w:rFonts w:ascii="Times New Roman" w:hAnsi="Times New Roman"/>
      <w:b/>
      <w:sz w:val="32"/>
    </w:rPr>
  </w:style>
  <w:style w:type="paragraph" w:customStyle="1" w:styleId="Heading2TOC">
    <w:name w:val="Heading2 TOC"/>
    <w:basedOn w:val="Normal"/>
    <w:qFormat/>
    <w:rsid w:val="003C6BDE"/>
    <w:pPr>
      <w:spacing w:before="240" w:after="60"/>
    </w:pPr>
    <w:rPr>
      <w:rFonts w:ascii="Times New Roman" w:hAnsi="Times New Roman"/>
      <w:b/>
      <w:sz w:val="28"/>
    </w:rPr>
  </w:style>
  <w:style w:type="character" w:customStyle="1" w:styleId="Underline">
    <w:name w:val="Underline"/>
    <w:basedOn w:val="DefaultParagraphFont"/>
    <w:qFormat/>
    <w:rsid w:val="003C6BDE"/>
    <w:rPr>
      <w:u w:val="single"/>
    </w:rPr>
  </w:style>
  <w:style w:type="character" w:customStyle="1" w:styleId="BoldandItalics">
    <w:name w:val="Bold and Italics"/>
    <w:qFormat/>
    <w:rsid w:val="003C6BDE"/>
    <w:rPr>
      <w:b/>
      <w:i/>
      <w:u w:val="none"/>
    </w:rPr>
  </w:style>
  <w:style w:type="paragraph" w:styleId="BalloonText">
    <w:name w:val="Balloon Text"/>
    <w:basedOn w:val="Normal"/>
    <w:link w:val="BalloonTextChar"/>
    <w:rsid w:val="003C6BDE"/>
    <w:rPr>
      <w:rFonts w:ascii="Tahoma" w:hAnsi="Tahoma" w:cs="Tahoma"/>
      <w:sz w:val="16"/>
      <w:szCs w:val="16"/>
    </w:rPr>
  </w:style>
  <w:style w:type="character" w:customStyle="1" w:styleId="BalloonTextChar">
    <w:name w:val="Balloon Text Char"/>
    <w:basedOn w:val="DefaultParagraphFont"/>
    <w:link w:val="BalloonText"/>
    <w:rsid w:val="003C6B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6B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6B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6BDE"/>
    <w:rPr>
      <w:b/>
      <w:color w:val="660033"/>
      <w:spacing w:val="0"/>
    </w:rPr>
  </w:style>
  <w:style w:type="paragraph" w:customStyle="1" w:styleId="Nameditemlist">
    <w:name w:val="Named item list"/>
    <w:basedOn w:val="BodyText"/>
    <w:qFormat/>
    <w:rsid w:val="003C6B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2155</Words>
  <Characters>13603</Characters>
  <Application>Microsoft Office Word</Application>
  <DocSecurity>0</DocSecurity>
  <Lines>408</Lines>
  <Paragraphs>228</Paragraphs>
  <ScaleCrop>false</ScaleCrop>
  <Company>Author-it Software Corporation Ltd.</Company>
  <LinksUpToDate>false</LinksUpToDate>
  <CharactersWithSpaces>15661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TLIA4055A Classify complex commodities for the import and export of goods through customs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2012-10-11T21:28:00Z</dcterms:created>
  <dcterms:modified xsi:type="dcterms:W3CDTF">2012-10-11T21:28:00Z</dcterms:modified>
</cp:coreProperties>
</file>