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77A" w:rsidP="0008077A">
      <w:pPr>
        <w:pStyle w:val="Title"/>
      </w:pPr>
      <w:r>
        <w:fldChar w:fldCharType="begin"/>
      </w:r>
      <w:r>
        <w:instrText xml:space="preserve"> TITLE   \* MERGEFORMAT </w:instrText>
      </w:r>
      <w:r>
        <w:fldChar w:fldCharType="separate"/>
      </w:r>
      <w:r>
        <w:t>TLIA3053A Carry out customs valuation</w:t>
      </w:r>
      <w:r>
        <w:fldChar w:fldCharType="end"/>
      </w:r>
    </w:p>
    <w:p w:rsidR="0008077A" w:rsidP="0008077A">
      <w:pPr>
        <w:pStyle w:val="Version"/>
        <w:sectPr w:rsidSect="001033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3AB" w:rsidP="001033AB">
      <w:pPr>
        <w:pStyle w:val="SuperHeading"/>
      </w:pPr>
      <w:r w:rsidRPr="001033AB">
        <w:t>TLIA3053A Carry out customs valuation</w:t>
      </w:r>
    </w:p>
    <w:p w:rsidR="00000000" w:rsidRPr="001033AB" w:rsidP="001033AB">
      <w:pPr>
        <w:pStyle w:val="Heading1"/>
      </w:pPr>
      <w:bookmarkStart w:id="1" w:name="O_273895"/>
      <w:bookmarkEnd w:id="1"/>
      <w:r w:rsidRPr="001033AB">
        <w:t>Modification History</w:t>
      </w:r>
    </w:p>
    <w:p w:rsidR="00000000" w:rsidRPr="001033AB" w:rsidP="001033AB">
      <w:pPr>
        <w:pStyle w:val="BodyText"/>
      </w:pPr>
      <w:r w:rsidRPr="001033AB">
        <w:t>Not Applicable</w:t>
      </w:r>
    </w:p>
    <w:p w:rsidR="00000000" w:rsidRPr="001033AB" w:rsidP="001033AB">
      <w:pPr>
        <w:pStyle w:val="AllowPageBreak"/>
      </w:pPr>
    </w:p>
    <w:p w:rsidR="00000000" w:rsidRPr="001033AB" w:rsidP="001033AB">
      <w:pPr>
        <w:pStyle w:val="Heading1"/>
      </w:pPr>
      <w:bookmarkStart w:id="2" w:name="O_222654"/>
      <w:bookmarkEnd w:id="2"/>
      <w:r w:rsidRPr="001033AB">
        <w:t>Unit Descriptor</w:t>
      </w:r>
    </w:p>
    <w:tbl>
      <w:tblPr>
        <w:tblW w:w="9640" w:type="dxa"/>
        <w:tblLayout w:type="fixed"/>
        <w:tblCellMar>
          <w:left w:w="62" w:type="dxa"/>
          <w:right w:w="62" w:type="dxa"/>
        </w:tblCellMar>
        <w:tblLook w:val="0000"/>
      </w:tblPr>
      <w:tblGrid>
        <w:gridCol w:w="2978"/>
        <w:gridCol w:w="6662"/>
      </w:tblGrid>
      <w:tr w:rsidTr="0008077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033AB" w:rsidP="001033AB">
            <w:pPr>
              <w:pStyle w:val="BodyText"/>
            </w:pPr>
            <w:r w:rsidRPr="001033AB">
              <w:t>This unit involves the skills and knowledge required to carry out customs valuation in accordance wit</w:t>
            </w:r>
            <w:r w:rsidRPr="001033AB">
              <w:t>h Customs and related legislation and workplace requirements. Licensing, legislative, regulatory or certification requirements are applicable to this unit.</w:t>
            </w:r>
          </w:p>
        </w:tc>
      </w:tr>
    </w:tbl>
    <w:p w:rsidR="0008077A" w:rsidP="001033AB">
      <w:pPr>
        <w:pStyle w:val="BodyText"/>
      </w:pPr>
    </w:p>
    <w:p w:rsidR="0008077A" w:rsidP="001033AB">
      <w:pPr>
        <w:pStyle w:val="BodyText"/>
      </w:pPr>
    </w:p>
    <w:p w:rsidR="00000000" w:rsidRPr="001033AB" w:rsidP="001033AB">
      <w:pPr>
        <w:pStyle w:val="Heading1"/>
      </w:pPr>
      <w:bookmarkStart w:id="3" w:name="O_222656"/>
      <w:bookmarkEnd w:id="3"/>
      <w:r w:rsidRPr="001033AB">
        <w:t>Application of the Unit</w:t>
      </w:r>
    </w:p>
    <w:tbl>
      <w:tblPr>
        <w:tblW w:w="9640" w:type="dxa"/>
        <w:tblLayout w:type="fixed"/>
        <w:tblCellMar>
          <w:left w:w="62" w:type="dxa"/>
          <w:right w:w="62" w:type="dxa"/>
        </w:tblCellMar>
        <w:tblLook w:val="0000"/>
      </w:tblPr>
      <w:tblGrid>
        <w:gridCol w:w="2978"/>
        <w:gridCol w:w="6662"/>
      </w:tblGrid>
      <w:tr w:rsidTr="0008077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033AB" w:rsidP="001033AB">
            <w:pPr>
              <w:pStyle w:val="BodyText"/>
            </w:pPr>
            <w:r w:rsidRPr="001033AB">
              <w:t>This unit applies to individuals working as a customs broker. Work must be carried out in compliance with the relevant Customs and related legislation and workplace requirements concerning customs valuation functions. Work is undertaken in a range of envir</w:t>
            </w:r>
            <w:r w:rsidRPr="001033AB">
              <w:t>onments including small to large worksites in the customs broking and international trade industries. Work at this level requires some supervision, generally within a team environment.</w:t>
            </w:r>
          </w:p>
          <w:p w:rsidR="00000000" w:rsidRPr="001033AB" w:rsidP="001033AB">
            <w:pPr>
              <w:pStyle w:val="BodyText"/>
            </w:pPr>
            <w:r w:rsidRPr="001033AB">
              <w:t>This unit is normally packaged at AQF III or above.</w:t>
            </w:r>
          </w:p>
        </w:tc>
      </w:tr>
    </w:tbl>
    <w:p w:rsidR="0008077A" w:rsidP="001033AB">
      <w:pPr>
        <w:pStyle w:val="BodyText"/>
      </w:pPr>
    </w:p>
    <w:p w:rsidR="0008077A" w:rsidP="001033AB">
      <w:pPr>
        <w:pStyle w:val="BodyText"/>
      </w:pPr>
    </w:p>
    <w:p w:rsidR="00000000" w:rsidRPr="001033AB" w:rsidP="001033AB">
      <w:pPr>
        <w:pStyle w:val="Heading1"/>
      </w:pPr>
      <w:bookmarkStart w:id="4" w:name="O_282155"/>
      <w:bookmarkEnd w:id="4"/>
      <w:r w:rsidRPr="001033AB">
        <w:t>Licensing/Regulatory Information</w:t>
      </w:r>
    </w:p>
    <w:p w:rsidR="00000000" w:rsidRPr="001033AB" w:rsidP="001033AB">
      <w:pPr>
        <w:pStyle w:val="BodyText"/>
      </w:pPr>
      <w:r w:rsidRPr="001033AB">
        <w:t>Refer to Unit Descriptor</w:t>
      </w:r>
    </w:p>
    <w:p w:rsidR="00000000" w:rsidRPr="001033AB" w:rsidP="001033AB">
      <w:pPr>
        <w:pStyle w:val="AllowPageBreak"/>
      </w:pPr>
    </w:p>
    <w:p w:rsidR="00000000" w:rsidRPr="001033AB" w:rsidP="001033AB">
      <w:pPr>
        <w:pStyle w:val="Heading1"/>
      </w:pPr>
      <w:bookmarkStart w:id="5" w:name="O_284605"/>
      <w:bookmarkEnd w:id="5"/>
      <w:r w:rsidRPr="001033AB">
        <w:t>Pre-Requisites</w:t>
      </w:r>
    </w:p>
    <w:p w:rsidR="00000000" w:rsidRPr="001033AB" w:rsidP="001033AB">
      <w:pPr>
        <w:pStyle w:val="BodyText"/>
      </w:pPr>
      <w:r w:rsidRPr="001033AB">
        <w:t>Not Applicable</w:t>
      </w:r>
    </w:p>
    <w:p w:rsidR="00000000" w:rsidRPr="001033AB" w:rsidP="001033AB">
      <w:pPr>
        <w:pStyle w:val="AllowPageBreak"/>
      </w:pPr>
    </w:p>
    <w:p w:rsidR="00000000" w:rsidRPr="001033AB" w:rsidP="001033AB">
      <w:pPr>
        <w:pStyle w:val="Heading1"/>
      </w:pPr>
      <w:bookmarkStart w:id="6" w:name="O_222655"/>
      <w:bookmarkEnd w:id="6"/>
      <w:r w:rsidRPr="001033AB">
        <w:t>Employability Skills Information</w:t>
      </w:r>
    </w:p>
    <w:tbl>
      <w:tblPr>
        <w:tblW w:w="9640" w:type="dxa"/>
        <w:tblLayout w:type="fixed"/>
        <w:tblCellMar>
          <w:left w:w="62" w:type="dxa"/>
          <w:right w:w="62" w:type="dxa"/>
        </w:tblCellMar>
        <w:tblLook w:val="0000"/>
      </w:tblPr>
      <w:tblGrid>
        <w:gridCol w:w="2978"/>
        <w:gridCol w:w="6662"/>
      </w:tblGrid>
      <w:tr w:rsidTr="0008077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033AB" w:rsidP="001033AB">
            <w:pPr>
              <w:pStyle w:val="BodyText"/>
            </w:pPr>
            <w:r w:rsidRPr="001033AB">
              <w:t>This unit contains employability skills.</w:t>
            </w:r>
          </w:p>
        </w:tc>
      </w:tr>
    </w:tbl>
    <w:p w:rsidR="0008077A" w:rsidP="001033AB">
      <w:pPr>
        <w:pStyle w:val="BodyText"/>
      </w:pPr>
    </w:p>
    <w:p w:rsidR="0008077A" w:rsidP="001033AB">
      <w:pPr>
        <w:pStyle w:val="BodyText"/>
      </w:pPr>
    </w:p>
    <w:p w:rsidR="00000000" w:rsidRPr="001033AB" w:rsidP="001033AB">
      <w:pPr>
        <w:pStyle w:val="Heading1"/>
      </w:pPr>
      <w:bookmarkStart w:id="7" w:name="O_291941"/>
      <w:bookmarkEnd w:id="7"/>
      <w:r w:rsidRPr="001033AB">
        <w:t>Elements and Performance Criteria Pre-Content</w:t>
      </w:r>
    </w:p>
    <w:tbl>
      <w:tblPr>
        <w:tblW w:w="9640" w:type="dxa"/>
        <w:tblLayout w:type="fixed"/>
        <w:tblCellMar>
          <w:left w:w="62" w:type="dxa"/>
          <w:right w:w="62" w:type="dxa"/>
        </w:tblCellMar>
        <w:tblLook w:val="0000"/>
      </w:tblPr>
      <w:tblGrid>
        <w:gridCol w:w="2978"/>
        <w:gridCol w:w="6662"/>
      </w:tblGrid>
      <w:tr w:rsidTr="0008077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033AB" w:rsidP="001033AB">
            <w:pPr>
              <w:pStyle w:val="BodyText"/>
            </w:pPr>
            <w:r w:rsidRPr="001033AB">
              <w:t>Performance criteria describe the required performance needed to demonstrate achievement of the element. Assessment of performance is to be cons</w:t>
            </w:r>
            <w:r w:rsidRPr="001033AB">
              <w:t>istent with the evidence guide.</w:t>
            </w:r>
          </w:p>
        </w:tc>
      </w:tr>
    </w:tbl>
    <w:p w:rsidR="00000000" w:rsidRPr="001033AB" w:rsidP="001033AB">
      <w:pPr>
        <w:pStyle w:val="BodyText"/>
      </w:pPr>
    </w:p>
    <w:p w:rsidR="00000000" w:rsidRPr="001033AB" w:rsidP="001033AB">
      <w:pPr>
        <w:pStyle w:val="AllowPageBreak"/>
      </w:pPr>
    </w:p>
    <w:p w:rsidR="00000000" w:rsidRPr="001033AB" w:rsidP="001033AB">
      <w:pPr>
        <w:pStyle w:val="Heading1"/>
      </w:pPr>
      <w:bookmarkStart w:id="8" w:name="O_238609"/>
      <w:bookmarkEnd w:id="8"/>
      <w:r w:rsidRPr="001033AB">
        <w:t>Elements and Performance Criteria</w:t>
      </w:r>
    </w:p>
    <w:tbl>
      <w:tblPr>
        <w:tblW w:w="9640" w:type="dxa"/>
        <w:tblLayout w:type="fixed"/>
        <w:tblCellMar>
          <w:left w:w="62" w:type="dxa"/>
          <w:right w:w="62" w:type="dxa"/>
        </w:tblCellMar>
        <w:tblLook w:val="0000"/>
      </w:tblPr>
      <w:tblGrid>
        <w:gridCol w:w="2978"/>
        <w:gridCol w:w="6662"/>
      </w:tblGrid>
      <w:tr w:rsidTr="0008077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033AB" w:rsidP="001033AB">
            <w:pPr>
              <w:pStyle w:val="List"/>
            </w:pPr>
            <w:r w:rsidRPr="001033A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033AB">
            <w:pPr>
              <w:pStyle w:val="List"/>
              <w:rPr>
                <w:lang w:val="en-NZ"/>
              </w:rPr>
            </w:pPr>
            <w:r w:rsidRPr="001033AB">
              <w:rPr>
                <w:rStyle w:val="SpecialBold"/>
              </w:rPr>
              <w:t>PERFORMANCE CRITERIA</w:t>
            </w:r>
          </w:p>
        </w:tc>
      </w:tr>
      <w:tr w:rsidTr="0008077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033AB">
            <w:pPr>
              <w:pStyle w:val="List"/>
              <w:rPr>
                <w:lang w:val="en-NZ"/>
              </w:rPr>
            </w:pPr>
            <w:r w:rsidRPr="001033AB">
              <w:rPr>
                <w:rStyle w:val="SpecialBold"/>
              </w:rPr>
              <w:t>1</w:t>
            </w:r>
            <w:r w:rsidRPr="001033AB">
              <w:tab/>
            </w:r>
            <w:r w:rsidRPr="001033AB">
              <w:rPr>
                <w:rStyle w:val="SpecialBold"/>
              </w:rPr>
              <w:t>Apply the relevant valuation method</w:t>
            </w:r>
          </w:p>
        </w:tc>
        <w:tc>
          <w:tcPr>
            <w:tcW w:w="6662" w:type="dxa"/>
            <w:tcBorders>
              <w:top w:val="nil"/>
              <w:left w:val="nil"/>
              <w:bottom w:val="nil"/>
              <w:right w:val="nil"/>
            </w:tcBorders>
            <w:tcMar>
              <w:top w:w="0" w:type="dxa"/>
              <w:left w:w="62" w:type="dxa"/>
              <w:bottom w:w="0" w:type="dxa"/>
              <w:right w:w="62" w:type="dxa"/>
            </w:tcMar>
          </w:tcPr>
          <w:p w:rsidR="00000000" w:rsidRPr="001033AB" w:rsidP="001033AB">
            <w:pPr>
              <w:pStyle w:val="List"/>
            </w:pPr>
            <w:r w:rsidRPr="001033AB">
              <w:t>1.1</w:t>
            </w:r>
            <w:r w:rsidRPr="001033AB">
              <w:tab/>
              <w:t>Situations where the transaction value method applies are recognised</w:t>
            </w:r>
          </w:p>
          <w:p w:rsidR="00000000" w:rsidRPr="001033AB" w:rsidP="001033AB">
            <w:pPr>
              <w:pStyle w:val="List"/>
            </w:pPr>
            <w:r w:rsidRPr="001033AB">
              <w:t>1.2</w:t>
            </w:r>
            <w:r w:rsidRPr="001033AB">
              <w:tab/>
            </w:r>
            <w:r w:rsidRPr="001033AB">
              <w:t>Situations where alternate methods of valuation apply are recognised</w:t>
            </w:r>
          </w:p>
          <w:p w:rsidR="00000000" w:rsidRPr="001033AB" w:rsidP="001033AB">
            <w:pPr>
              <w:pStyle w:val="List"/>
            </w:pPr>
            <w:r w:rsidRPr="001033AB">
              <w:t>1.3</w:t>
            </w:r>
            <w:r w:rsidRPr="001033AB">
              <w:tab/>
              <w:t>Situations where there is insufficient reliable information are identified</w:t>
            </w:r>
          </w:p>
          <w:p w:rsidR="00000000" w:rsidP="001033AB">
            <w:pPr>
              <w:pStyle w:val="List"/>
              <w:rPr>
                <w:lang w:val="en-NZ"/>
              </w:rPr>
            </w:pPr>
            <w:r w:rsidRPr="001033AB">
              <w:t>1.4</w:t>
            </w:r>
            <w:r w:rsidRPr="001033AB">
              <w:tab/>
              <w:t>Alternate valuation methods are identified as required by the Customs Act and related legislation</w:t>
            </w:r>
          </w:p>
        </w:tc>
      </w:tr>
      <w:tr w:rsidTr="0008077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033AB">
            <w:pPr>
              <w:pStyle w:val="List"/>
              <w:rPr>
                <w:lang w:val="en-NZ"/>
              </w:rPr>
            </w:pPr>
            <w:r w:rsidRPr="001033AB">
              <w:rPr>
                <w:rStyle w:val="SpecialBold"/>
              </w:rPr>
              <w:t>2</w:t>
            </w:r>
            <w:r w:rsidRPr="001033AB">
              <w:tab/>
            </w:r>
            <w:r w:rsidRPr="001033AB">
              <w:rPr>
                <w:rStyle w:val="SpecialBold"/>
              </w:rPr>
              <w:t>Ide</w:t>
            </w:r>
            <w:r w:rsidRPr="001033AB">
              <w:rPr>
                <w:rStyle w:val="SpecialBold"/>
              </w:rPr>
              <w:t>ntify the import sales transaction contract for customs valuation purposes</w:t>
            </w:r>
          </w:p>
        </w:tc>
        <w:tc>
          <w:tcPr>
            <w:tcW w:w="6662" w:type="dxa"/>
            <w:tcBorders>
              <w:top w:val="nil"/>
              <w:left w:val="nil"/>
              <w:bottom w:val="nil"/>
              <w:right w:val="nil"/>
            </w:tcBorders>
            <w:tcMar>
              <w:top w:w="0" w:type="dxa"/>
              <w:left w:w="62" w:type="dxa"/>
              <w:bottom w:w="0" w:type="dxa"/>
              <w:right w:w="62" w:type="dxa"/>
            </w:tcMar>
          </w:tcPr>
          <w:p w:rsidR="00000000" w:rsidRPr="001033AB" w:rsidP="001033AB">
            <w:pPr>
              <w:pStyle w:val="List"/>
            </w:pPr>
            <w:r w:rsidRPr="001033AB">
              <w:t>2.1</w:t>
            </w:r>
            <w:r w:rsidRPr="001033AB">
              <w:tab/>
              <w:t>Importer and seller are identified</w:t>
            </w:r>
          </w:p>
          <w:p w:rsidR="00000000" w:rsidRPr="001033AB" w:rsidP="001033AB">
            <w:pPr>
              <w:pStyle w:val="List"/>
            </w:pPr>
            <w:r w:rsidRPr="001033AB">
              <w:t>2.2</w:t>
            </w:r>
            <w:r w:rsidRPr="001033AB">
              <w:tab/>
              <w:t>Relevant contract or contracts are identified</w:t>
            </w:r>
          </w:p>
          <w:p w:rsidR="00000000" w:rsidP="001033AB">
            <w:pPr>
              <w:pStyle w:val="List"/>
              <w:rPr>
                <w:lang w:val="en-NZ"/>
              </w:rPr>
            </w:pPr>
            <w:r w:rsidRPr="001033AB">
              <w:t>2.3</w:t>
            </w:r>
            <w:r w:rsidRPr="001033AB">
              <w:tab/>
              <w:t>Terms of trade relevant to the contract are identified</w:t>
            </w:r>
          </w:p>
        </w:tc>
      </w:tr>
      <w:tr w:rsidTr="0008077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033AB">
            <w:pPr>
              <w:pStyle w:val="List"/>
              <w:rPr>
                <w:lang w:val="en-NZ"/>
              </w:rPr>
            </w:pPr>
            <w:r w:rsidRPr="001033AB">
              <w:rPr>
                <w:rStyle w:val="SpecialBold"/>
              </w:rPr>
              <w:t>3</w:t>
            </w:r>
            <w:r w:rsidRPr="001033AB">
              <w:tab/>
            </w:r>
            <w:r w:rsidRPr="001033AB">
              <w:rPr>
                <w:rStyle w:val="SpecialBold"/>
              </w:rPr>
              <w:t>Determin</w:t>
            </w:r>
            <w:r w:rsidRPr="001033AB">
              <w:rPr>
                <w:rStyle w:val="SpecialBold"/>
              </w:rPr>
              <w:t>e the price and elements of adjusted price</w:t>
            </w:r>
          </w:p>
        </w:tc>
        <w:tc>
          <w:tcPr>
            <w:tcW w:w="6662" w:type="dxa"/>
            <w:tcBorders>
              <w:top w:val="nil"/>
              <w:left w:val="nil"/>
              <w:bottom w:val="nil"/>
              <w:right w:val="nil"/>
            </w:tcBorders>
            <w:tcMar>
              <w:top w:w="0" w:type="dxa"/>
              <w:left w:w="62" w:type="dxa"/>
              <w:bottom w:w="0" w:type="dxa"/>
              <w:right w:w="62" w:type="dxa"/>
            </w:tcMar>
          </w:tcPr>
          <w:p w:rsidR="00000000" w:rsidRPr="001033AB" w:rsidP="001033AB">
            <w:pPr>
              <w:pStyle w:val="List"/>
            </w:pPr>
            <w:r w:rsidRPr="001033AB">
              <w:t>3.1</w:t>
            </w:r>
            <w:r w:rsidRPr="001033AB">
              <w:tab/>
              <w:t>Components that constitute the price paid or payable are identified</w:t>
            </w:r>
          </w:p>
          <w:p w:rsidR="00000000" w:rsidP="001033AB">
            <w:pPr>
              <w:pStyle w:val="List"/>
              <w:rPr>
                <w:lang w:val="en-NZ"/>
              </w:rPr>
            </w:pPr>
            <w:r w:rsidRPr="001033AB">
              <w:t>3.2</w:t>
            </w:r>
            <w:r w:rsidRPr="001033AB">
              <w:tab/>
              <w:t>The correct adjusted price deductions to be made taking into account relevant legislation and the terms of the relevant import sales tran</w:t>
            </w:r>
            <w:r w:rsidRPr="001033AB">
              <w:t>saction are determined</w:t>
            </w:r>
          </w:p>
        </w:tc>
      </w:tr>
      <w:tr w:rsidTr="0008077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033AB">
            <w:pPr>
              <w:pStyle w:val="List"/>
              <w:rPr>
                <w:lang w:val="en-NZ"/>
              </w:rPr>
            </w:pPr>
            <w:r w:rsidRPr="001033AB">
              <w:rPr>
                <w:rStyle w:val="SpecialBold"/>
              </w:rPr>
              <w:t>4</w:t>
            </w:r>
            <w:r w:rsidRPr="001033AB">
              <w:tab/>
            </w:r>
            <w:r w:rsidRPr="001033AB">
              <w:rPr>
                <w:rStyle w:val="SpecialBold"/>
              </w:rPr>
              <w:t>Determine Price Related Costs</w:t>
            </w:r>
          </w:p>
        </w:tc>
        <w:tc>
          <w:tcPr>
            <w:tcW w:w="6662" w:type="dxa"/>
            <w:tcBorders>
              <w:top w:val="nil"/>
              <w:left w:val="nil"/>
              <w:bottom w:val="nil"/>
              <w:right w:val="nil"/>
            </w:tcBorders>
            <w:tcMar>
              <w:top w:w="0" w:type="dxa"/>
              <w:left w:w="62" w:type="dxa"/>
              <w:bottom w:w="0" w:type="dxa"/>
              <w:right w:w="62" w:type="dxa"/>
            </w:tcMar>
          </w:tcPr>
          <w:p w:rsidR="00000000" w:rsidP="001033AB">
            <w:pPr>
              <w:pStyle w:val="List"/>
              <w:rPr>
                <w:lang w:val="en-NZ"/>
              </w:rPr>
            </w:pPr>
            <w:r w:rsidRPr="001033AB">
              <w:t>4.1</w:t>
            </w:r>
            <w:r w:rsidRPr="001033AB">
              <w:tab/>
              <w:t>Determination to related costs additions to be made taking into account relevant legislation and the terms of the relevant import sales transaction are determined</w:t>
            </w:r>
          </w:p>
        </w:tc>
      </w:tr>
      <w:tr w:rsidTr="0008077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033AB">
            <w:pPr>
              <w:pStyle w:val="List"/>
              <w:rPr>
                <w:lang w:val="en-NZ"/>
              </w:rPr>
            </w:pPr>
            <w:r w:rsidRPr="001033AB">
              <w:rPr>
                <w:rStyle w:val="SpecialBold"/>
              </w:rPr>
              <w:t>5</w:t>
            </w:r>
            <w:r w:rsidRPr="001033AB">
              <w:tab/>
            </w:r>
            <w:r w:rsidRPr="001033AB">
              <w:rPr>
                <w:rStyle w:val="SpecialBold"/>
              </w:rPr>
              <w:t>Calculate customs value</w:t>
            </w:r>
          </w:p>
        </w:tc>
        <w:tc>
          <w:tcPr>
            <w:tcW w:w="6662" w:type="dxa"/>
            <w:tcBorders>
              <w:top w:val="nil"/>
              <w:left w:val="nil"/>
              <w:bottom w:val="nil"/>
              <w:right w:val="nil"/>
            </w:tcBorders>
            <w:tcMar>
              <w:top w:w="0" w:type="dxa"/>
              <w:left w:w="62" w:type="dxa"/>
              <w:bottom w:w="0" w:type="dxa"/>
              <w:right w:w="62" w:type="dxa"/>
            </w:tcMar>
          </w:tcPr>
          <w:p w:rsidR="00000000" w:rsidRPr="001033AB" w:rsidP="001033AB">
            <w:pPr>
              <w:pStyle w:val="List"/>
            </w:pPr>
            <w:r w:rsidRPr="001033AB">
              <w:t>5.1</w:t>
            </w:r>
            <w:r w:rsidRPr="001033AB">
              <w:tab/>
              <w:t>Th</w:t>
            </w:r>
            <w:r w:rsidRPr="001033AB">
              <w:t>e date and place of export are determined in accordance with the Customs Act 1901</w:t>
            </w:r>
          </w:p>
          <w:p w:rsidR="00000000" w:rsidRPr="001033AB" w:rsidP="001033AB">
            <w:pPr>
              <w:pStyle w:val="List"/>
            </w:pPr>
            <w:r w:rsidRPr="001033AB">
              <w:t>5.2</w:t>
            </w:r>
            <w:r w:rsidRPr="001033AB">
              <w:tab/>
              <w:t>Valuation elements against imported goods using factorisation are apportioned</w:t>
            </w:r>
          </w:p>
          <w:p w:rsidR="00000000" w:rsidRPr="001033AB" w:rsidP="001033AB">
            <w:pPr>
              <w:pStyle w:val="List"/>
            </w:pPr>
            <w:r w:rsidRPr="001033AB">
              <w:t>5.3</w:t>
            </w:r>
            <w:r w:rsidRPr="001033AB">
              <w:tab/>
              <w:t>Transaction value is calculated by applying applicable rate of exchange</w:t>
            </w:r>
          </w:p>
          <w:p w:rsidR="00000000" w:rsidP="001033AB">
            <w:pPr>
              <w:pStyle w:val="List"/>
              <w:rPr>
                <w:lang w:val="en-NZ"/>
              </w:rPr>
            </w:pPr>
            <w:r w:rsidRPr="001033AB">
              <w:t>5.4</w:t>
            </w:r>
            <w:r w:rsidRPr="001033AB">
              <w:tab/>
              <w:t>The requirem</w:t>
            </w:r>
            <w:r w:rsidRPr="001033AB">
              <w:t>ent for a valuation advice is identified</w:t>
            </w:r>
          </w:p>
        </w:tc>
      </w:tr>
      <w:tr w:rsidTr="0008077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033AB">
            <w:pPr>
              <w:pStyle w:val="List"/>
              <w:rPr>
                <w:lang w:val="en-NZ"/>
              </w:rPr>
            </w:pPr>
            <w:r w:rsidRPr="001033AB">
              <w:rPr>
                <w:rStyle w:val="SpecialBold"/>
              </w:rPr>
              <w:t>6</w:t>
            </w:r>
            <w:r w:rsidRPr="001033AB">
              <w:tab/>
            </w:r>
            <w:r w:rsidRPr="001033AB">
              <w:rPr>
                <w:rStyle w:val="SpecialBold"/>
              </w:rPr>
              <w:t>Record valuation information on customs entry</w:t>
            </w:r>
            <w:r w:rsidRPr="001033AB">
              <w:t xml:space="preserve">/ </w:t>
            </w:r>
            <w:r w:rsidRPr="001033AB">
              <w:rPr>
                <w:rStyle w:val="SpecialBold"/>
              </w:rPr>
              <w:t>declaration in accordance with legislative requirements</w:t>
            </w:r>
          </w:p>
        </w:tc>
        <w:tc>
          <w:tcPr>
            <w:tcW w:w="6662" w:type="dxa"/>
            <w:tcBorders>
              <w:top w:val="nil"/>
              <w:left w:val="nil"/>
              <w:bottom w:val="nil"/>
              <w:right w:val="nil"/>
            </w:tcBorders>
            <w:tcMar>
              <w:top w:w="0" w:type="dxa"/>
              <w:left w:w="62" w:type="dxa"/>
              <w:bottom w:w="0" w:type="dxa"/>
              <w:right w:w="62" w:type="dxa"/>
            </w:tcMar>
          </w:tcPr>
          <w:p w:rsidR="00000000" w:rsidRPr="001033AB" w:rsidP="001033AB">
            <w:pPr>
              <w:pStyle w:val="List"/>
            </w:pPr>
            <w:r w:rsidRPr="001033AB">
              <w:t>6.1</w:t>
            </w:r>
            <w:r w:rsidRPr="001033AB">
              <w:tab/>
              <w:t>Valuation related fields on a customs declaration are identified</w:t>
            </w:r>
          </w:p>
          <w:p w:rsidR="00000000" w:rsidRPr="001033AB" w:rsidP="001033AB">
            <w:pPr>
              <w:pStyle w:val="List"/>
            </w:pPr>
            <w:r w:rsidRPr="001033AB">
              <w:t>6.2</w:t>
            </w:r>
            <w:r w:rsidRPr="001033AB">
              <w:tab/>
              <w:t>Valuation information is entered cor</w:t>
            </w:r>
            <w:r w:rsidRPr="001033AB">
              <w:t>rectly on customs declaration</w:t>
            </w:r>
          </w:p>
          <w:p w:rsidR="00000000" w:rsidRPr="001033AB" w:rsidP="001033AB">
            <w:pPr>
              <w:pStyle w:val="List"/>
            </w:pPr>
            <w:r w:rsidRPr="001033AB">
              <w:t>6.3</w:t>
            </w:r>
            <w:r w:rsidRPr="001033AB">
              <w:tab/>
              <w:t>Calculations are checked for accuracy and verified as required</w:t>
            </w:r>
          </w:p>
          <w:p w:rsidR="00000000" w:rsidRPr="001033AB" w:rsidP="001033AB">
            <w:pPr>
              <w:pStyle w:val="List"/>
            </w:pPr>
            <w:r w:rsidRPr="001033AB">
              <w:t>6.4</w:t>
            </w:r>
            <w:r w:rsidRPr="001033AB">
              <w:tab/>
              <w:t>Completed documentation is retained by relevant personnel in the enterprise in accordance with the requirements of Customs and related legislation and work</w:t>
            </w:r>
            <w:r w:rsidRPr="001033AB">
              <w:t>place procedures</w:t>
            </w:r>
          </w:p>
          <w:p w:rsidR="00000000" w:rsidRPr="001033AB" w:rsidP="001033AB">
            <w:pPr>
              <w:pStyle w:val="List"/>
            </w:pPr>
            <w:r w:rsidRPr="001033AB">
              <w:t>6.5</w:t>
            </w:r>
            <w:r w:rsidRPr="001033AB">
              <w:tab/>
              <w:t>Post entry advice to the client is initiated where required</w:t>
            </w:r>
          </w:p>
          <w:p w:rsidR="00000000" w:rsidRPr="001033AB" w:rsidP="001033AB">
            <w:pPr>
              <w:pStyle w:val="List"/>
            </w:pPr>
            <w:r w:rsidRPr="001033AB">
              <w:t>6.6</w:t>
            </w:r>
            <w:r w:rsidRPr="001033AB">
              <w:tab/>
              <w:t>Relevant documentation is passed on to the client</w:t>
            </w:r>
          </w:p>
        </w:tc>
      </w:tr>
    </w:tbl>
    <w:p w:rsidR="0008077A" w:rsidP="001033AB">
      <w:pPr>
        <w:pStyle w:val="BodyText"/>
      </w:pPr>
    </w:p>
    <w:p w:rsidR="0008077A" w:rsidP="001033AB">
      <w:pPr>
        <w:pStyle w:val="BodyText"/>
      </w:pPr>
    </w:p>
    <w:p w:rsidR="00000000" w:rsidRPr="001033AB" w:rsidP="001033AB">
      <w:pPr>
        <w:pStyle w:val="Heading1"/>
      </w:pPr>
      <w:bookmarkStart w:id="9" w:name="O_262400"/>
      <w:bookmarkEnd w:id="9"/>
      <w:r w:rsidRPr="001033AB">
        <w:t>Required Skills and Knowledge</w:t>
      </w:r>
    </w:p>
    <w:tbl>
      <w:tblPr>
        <w:tblW w:w="9640" w:type="dxa"/>
        <w:tblLayout w:type="fixed"/>
        <w:tblCellMar>
          <w:left w:w="62" w:type="dxa"/>
          <w:right w:w="62" w:type="dxa"/>
        </w:tblCellMar>
        <w:tblLook w:val="0000"/>
      </w:tblPr>
      <w:tblGrid>
        <w:gridCol w:w="9640"/>
      </w:tblGrid>
      <w:tr w:rsidTr="0008077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rPr>
                <w:rStyle w:val="SpecialBold"/>
              </w:rPr>
              <w:t>REQUIRED KNOWLEDGE AND SKILLS</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t>This describes the essential knowledge and skills and their level required for this unit.</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rPr>
                <w:rStyle w:val="SpecialBold"/>
              </w:rPr>
              <w:t>Required knowledge</w:t>
            </w:r>
            <w:r w:rsidRPr="001033AB">
              <w:t>:</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Customs and related legislation relevant to the determination of a customs valuation</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Relevant OH&amp;S and environmental protection procedures and guidelines</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Workplace procedures and policies for the conduct of a customs valuation</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Focus of operation of work systems, equipment, management and site operating systems needed for customs valuat</w:t>
            </w:r>
            <w:r w:rsidRPr="001033AB">
              <w:t>ion processes</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Problems that may occur when carrying out customs valuations and appropriate action that can be taken to resolve the problems</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Information on relevant aspects of basic customs valuations</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Types of goods and related handling and documentat</w:t>
            </w:r>
            <w:r w:rsidRPr="001033AB">
              <w:t>ion requirements including dangerous goods and hazardous substances</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Sources of information on new developments in custom valuation practices</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Ways of learning the skills and knowledge required for new developments in customs valuation practices</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Cultural differences amongst customers, internal and external contacts and within the operational team and their implications when carrying out customs valuations</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Documentation requirements for customs valuations</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Penalties and the infringement notice s</w:t>
            </w:r>
            <w:r w:rsidRPr="001033AB">
              <w:t>cheme as it applies to goods incorrectly valued</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033AB" w:rsidP="001033AB">
            <w:pPr>
              <w:pStyle w:val="ListBullet"/>
            </w:pPr>
            <w:r w:rsidRPr="001033AB">
              <w:t>Steps involved in planning the work activities</w:t>
            </w:r>
          </w:p>
        </w:tc>
      </w:tr>
    </w:tbl>
    <w:p w:rsidR="00000000" w:rsidRPr="001033AB" w:rsidP="001033AB">
      <w:pPr>
        <w:pStyle w:val="BodyText"/>
      </w:pPr>
    </w:p>
    <w:tbl>
      <w:tblPr>
        <w:tblW w:w="9640" w:type="dxa"/>
        <w:tblLayout w:type="fixed"/>
        <w:tblCellMar>
          <w:left w:w="62" w:type="dxa"/>
          <w:right w:w="62" w:type="dxa"/>
        </w:tblCellMar>
        <w:tblLook w:val="0000"/>
      </w:tblPr>
      <w:tblGrid>
        <w:gridCol w:w="9640"/>
      </w:tblGrid>
      <w:tr w:rsidTr="0008077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rPr>
                <w:rStyle w:val="SpecialBold"/>
              </w:rPr>
              <w:t>Required skills</w:t>
            </w:r>
            <w:r w:rsidRPr="001033AB">
              <w:t>:</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Negotiate, communicate and liaise effectively with clients and others</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Read and interpret instructions, procedures and information relevant to the determination of customs valuations</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Identify, interpret and learn skills and knowledge required for relevant new developments in customs valuation practices</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Plan and organise w</w:t>
            </w:r>
            <w:r w:rsidRPr="001033AB">
              <w:t>ork activities</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Complete documentation related to work activities</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Select and use relevant computer/communication/office equipment when carrying out customs valuations</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Enter information using appropriate technology when carrying out customs valuations</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Work collaboratively as part of an operational team</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Adapt appropriately to cultural differences in the workplace, including modes of behaviour and interactions with others</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Solve problems that may arise when determining customs valuations</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Modify act</w:t>
            </w:r>
            <w:r w:rsidRPr="001033AB">
              <w:t>ivities depending on differing workplace contexts, risk situations and environments, including taking appropriate initiatives within allowable limits</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Apply precautions and required action to minimise, control or eliminate hazards that may exist during wo</w:t>
            </w:r>
            <w:r w:rsidRPr="001033AB">
              <w:t>rk activities</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Work systematically with required attention to detail without injury to self or others, or damage to goods or equipment</w:t>
            </w:r>
          </w:p>
        </w:tc>
      </w:tr>
      <w:tr w:rsidTr="0008077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033AB" w:rsidP="001033AB">
            <w:pPr>
              <w:pStyle w:val="ListBullet"/>
            </w:pPr>
            <w:r w:rsidRPr="001033AB">
              <w:t>Select and use required personal protective equipment conforming to industry and OH&amp;S standards</w:t>
            </w:r>
          </w:p>
        </w:tc>
      </w:tr>
    </w:tbl>
    <w:p w:rsidR="0008077A" w:rsidP="001033AB">
      <w:pPr>
        <w:pStyle w:val="BodyText"/>
      </w:pPr>
    </w:p>
    <w:p w:rsidR="0008077A" w:rsidP="001033AB">
      <w:pPr>
        <w:pStyle w:val="BodyText"/>
      </w:pPr>
    </w:p>
    <w:p w:rsidR="00000000" w:rsidRPr="001033AB" w:rsidP="001033AB">
      <w:pPr>
        <w:pStyle w:val="Heading1"/>
      </w:pPr>
      <w:bookmarkStart w:id="10" w:name="O_246593"/>
      <w:bookmarkEnd w:id="10"/>
      <w:r w:rsidRPr="001033AB">
        <w:t>Evidence Guide</w:t>
      </w:r>
    </w:p>
    <w:tbl>
      <w:tblPr>
        <w:tblW w:w="9499" w:type="dxa"/>
        <w:tblLayout w:type="fixed"/>
        <w:tblCellMar>
          <w:left w:w="62" w:type="dxa"/>
          <w:right w:w="62" w:type="dxa"/>
        </w:tblCellMar>
        <w:tblLook w:val="0000"/>
      </w:tblPr>
      <w:tblGrid>
        <w:gridCol w:w="3524"/>
        <w:gridCol w:w="5975"/>
      </w:tblGrid>
      <w:tr w:rsidTr="0008077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rPr>
                <w:rStyle w:val="SpecialBold"/>
              </w:rPr>
              <w:t>EVIDENCE GUIDE</w:t>
            </w:r>
          </w:p>
        </w:tc>
      </w:tr>
      <w:tr w:rsidTr="0008077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t>The evidence guide provides advice on assessment and must be read in conjunction with the performance criteria, required knowledge and skills, the range statement and the assessment guidelines for this Training Package.</w:t>
            </w:r>
          </w:p>
        </w:tc>
      </w:tr>
      <w:tr w:rsidTr="0008077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033AB" w:rsidP="001033AB">
            <w:pPr>
              <w:pStyle w:val="ListBullet"/>
            </w:pPr>
            <w:r w:rsidRPr="001033AB">
              <w:t>The evidence required to demonstrate competency in this unit must be relevant to and satisfy all of the requirements of the elements and performance criteria of t</w:t>
            </w:r>
            <w:r w:rsidRPr="001033AB">
              <w:t>his unit and include demonstration of:</w:t>
            </w:r>
          </w:p>
          <w:p w:rsidR="00000000" w:rsidRPr="001033AB" w:rsidP="001033AB">
            <w:pPr>
              <w:pStyle w:val="ListBullet2"/>
            </w:pPr>
            <w:r w:rsidRPr="001033AB">
              <w:t>applying the relevant valuation method</w:t>
            </w:r>
          </w:p>
          <w:p w:rsidR="00000000" w:rsidRPr="001033AB" w:rsidP="001033AB">
            <w:pPr>
              <w:pStyle w:val="ListBullet2"/>
            </w:pPr>
            <w:r w:rsidRPr="001033AB">
              <w:t>identifying the contract for customs valuation purposes</w:t>
            </w:r>
          </w:p>
          <w:p w:rsidR="00000000" w:rsidRPr="001033AB" w:rsidP="001033AB">
            <w:pPr>
              <w:pStyle w:val="ListBullet2"/>
            </w:pPr>
            <w:r w:rsidRPr="001033AB">
              <w:t>determining the price and elements of adjusted price</w:t>
            </w:r>
          </w:p>
          <w:p w:rsidR="00000000" w:rsidRPr="001033AB" w:rsidP="001033AB">
            <w:pPr>
              <w:pStyle w:val="ListBullet2"/>
            </w:pPr>
            <w:r w:rsidRPr="001033AB">
              <w:t>identifying elements of price related costs</w:t>
            </w:r>
          </w:p>
          <w:p w:rsidR="00000000" w:rsidRPr="001033AB" w:rsidP="001033AB">
            <w:pPr>
              <w:pStyle w:val="ListBullet2"/>
            </w:pPr>
            <w:r w:rsidRPr="001033AB">
              <w:t>calculating customs value</w:t>
            </w:r>
          </w:p>
          <w:p w:rsidR="00000000" w:rsidRPr="001033AB" w:rsidP="001033AB">
            <w:pPr>
              <w:pStyle w:val="ListBullet2"/>
            </w:pPr>
            <w:r w:rsidRPr="001033AB">
              <w:t>recording valuation information on customs entry/declaration</w:t>
            </w:r>
          </w:p>
          <w:p w:rsidR="00000000" w:rsidP="001033AB">
            <w:pPr>
              <w:pStyle w:val="ListBullet2"/>
              <w:rPr>
                <w:lang w:val="en-NZ"/>
              </w:rPr>
            </w:pPr>
            <w:r w:rsidRPr="001033AB">
              <w:t>selecting and using the technology required to conduct customs valuations</w:t>
            </w:r>
          </w:p>
        </w:tc>
      </w:tr>
      <w:tr w:rsidTr="0008077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033AB" w:rsidP="001033AB">
            <w:pPr>
              <w:pStyle w:val="ListBullet"/>
            </w:pPr>
            <w:r w:rsidRPr="001033AB">
              <w:t>Performance is demonstrated consistently ove</w:t>
            </w:r>
            <w:r w:rsidRPr="001033AB">
              <w:t>r a period of time and in a suitable range of contexts</w:t>
            </w:r>
          </w:p>
          <w:p w:rsidR="00000000" w:rsidRPr="001033AB" w:rsidP="001033AB">
            <w:pPr>
              <w:pStyle w:val="ListBullet"/>
            </w:pPr>
            <w:r w:rsidRPr="001033AB">
              <w:t>Resources for assessment include:</w:t>
            </w:r>
          </w:p>
          <w:p w:rsidR="00000000" w:rsidRPr="001033AB" w:rsidP="001033AB">
            <w:pPr>
              <w:pStyle w:val="ListBullet2"/>
            </w:pPr>
            <w:r w:rsidRPr="001033AB">
              <w:t>a range of relevant exercises, case studies and/or other simulated practical and knowledge assessment, and/or</w:t>
            </w:r>
          </w:p>
          <w:p w:rsidR="00000000" w:rsidRPr="001033AB" w:rsidP="001033AB">
            <w:pPr>
              <w:pStyle w:val="ListBullet2"/>
            </w:pPr>
            <w:r w:rsidRPr="001033AB">
              <w:t>access to an appropriate range of relevant operational situations in the workplace</w:t>
            </w:r>
          </w:p>
          <w:p w:rsidR="00000000" w:rsidRPr="001033AB" w:rsidP="001033AB">
            <w:pPr>
              <w:pStyle w:val="ListBullet"/>
            </w:pPr>
            <w:r w:rsidRPr="001033AB">
              <w:t>In both real and simulated environments, access is required to:</w:t>
            </w:r>
          </w:p>
          <w:p w:rsidR="00000000" w:rsidRPr="001033AB" w:rsidP="001033AB">
            <w:pPr>
              <w:pStyle w:val="ListBullet2"/>
            </w:pPr>
            <w:r w:rsidRPr="001033AB">
              <w:t>relevant and appropriate materials and equipment, and</w:t>
            </w:r>
          </w:p>
          <w:p w:rsidR="00000000" w:rsidP="001033AB">
            <w:pPr>
              <w:pStyle w:val="ListBullet2"/>
              <w:rPr>
                <w:lang w:val="en-NZ"/>
              </w:rPr>
            </w:pPr>
            <w:r w:rsidRPr="001033AB">
              <w:t>applicable documentation including workplace procedur</w:t>
            </w:r>
            <w:r w:rsidRPr="001033AB">
              <w:t>es, regulations, codes of practice and operation manuals</w:t>
            </w:r>
          </w:p>
        </w:tc>
      </w:tr>
      <w:tr w:rsidTr="0008077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033AB" w:rsidP="001033AB">
            <w:pPr>
              <w:pStyle w:val="ListBullet"/>
            </w:pPr>
            <w:r w:rsidRPr="001033AB">
              <w:t>Assessment of this unit must be undertaken by a registered training organisation</w:t>
            </w:r>
          </w:p>
          <w:p w:rsidR="00000000" w:rsidRPr="001033AB" w:rsidP="001033AB">
            <w:pPr>
              <w:pStyle w:val="ListBullet"/>
            </w:pPr>
            <w:r w:rsidRPr="001033AB">
              <w:t>As a minimum, assessment of knowledge must be conducted through appropriate written/oral tests</w:t>
            </w:r>
          </w:p>
          <w:p w:rsidR="00000000" w:rsidRPr="001033AB" w:rsidP="001033AB">
            <w:pPr>
              <w:pStyle w:val="ListBullet"/>
            </w:pPr>
            <w:r w:rsidRPr="001033AB">
              <w:t>Practical assessment must occur:</w:t>
            </w:r>
          </w:p>
          <w:p w:rsidR="00000000" w:rsidRPr="001033AB" w:rsidP="001033AB">
            <w:pPr>
              <w:pStyle w:val="ListBullet2"/>
            </w:pPr>
            <w:r w:rsidRPr="001033AB">
              <w:t>through activities in an appropriately simulated environment at the registered training organisation, and/or</w:t>
            </w:r>
          </w:p>
          <w:p w:rsidR="00000000" w:rsidRPr="001033AB" w:rsidP="001033AB">
            <w:pPr>
              <w:pStyle w:val="ListBullet2"/>
            </w:pPr>
            <w:r w:rsidRPr="001033AB">
              <w:t>in an appropriate range of situations in the workplace</w:t>
            </w:r>
          </w:p>
        </w:tc>
      </w:tr>
    </w:tbl>
    <w:p w:rsidR="0008077A" w:rsidP="001033AB">
      <w:pPr>
        <w:pStyle w:val="BodyText"/>
      </w:pPr>
    </w:p>
    <w:p w:rsidR="0008077A" w:rsidP="001033AB">
      <w:pPr>
        <w:pStyle w:val="BodyText"/>
      </w:pPr>
    </w:p>
    <w:p w:rsidR="00000000" w:rsidRPr="001033AB" w:rsidP="001033AB">
      <w:pPr>
        <w:pStyle w:val="Heading1"/>
      </w:pPr>
      <w:bookmarkStart w:id="11" w:name="O_254576"/>
      <w:bookmarkEnd w:id="11"/>
      <w:r w:rsidRPr="001033AB">
        <w:t>Range Statement</w:t>
      </w:r>
    </w:p>
    <w:tbl>
      <w:tblPr>
        <w:tblW w:w="9640" w:type="dxa"/>
        <w:tblLayout w:type="fixed"/>
        <w:tblCellMar>
          <w:left w:w="62" w:type="dxa"/>
          <w:right w:w="62" w:type="dxa"/>
        </w:tblCellMar>
        <w:tblLook w:val="0000"/>
      </w:tblPr>
      <w:tblGrid>
        <w:gridCol w:w="3486"/>
        <w:gridCol w:w="6154"/>
      </w:tblGrid>
      <w:tr w:rsidTr="0008077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rPr>
                <w:rStyle w:val="SpecialBold"/>
              </w:rPr>
              <w:t>RANGE STATEMENT</w:t>
            </w:r>
            <w:r w:rsidRPr="001033AB">
              <w:t xml:space="preserve"> </w:t>
            </w:r>
          </w:p>
        </w:tc>
      </w:tr>
      <w:tr w:rsidTr="0008077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t>The range statement relates to the unit of competency as a whole. It allows for different work environments and situations that may affect performance.</w:t>
            </w:r>
          </w:p>
        </w:tc>
      </w:tr>
      <w:tr w:rsidTr="000807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t>Information on the determination of relevant aspects of customs valuations may include:</w:t>
            </w:r>
          </w:p>
        </w:tc>
        <w:tc>
          <w:tcPr>
            <w:tcW w:w="6154" w:type="dxa"/>
            <w:tcBorders>
              <w:top w:val="nil"/>
              <w:left w:val="nil"/>
              <w:bottom w:val="nil"/>
              <w:right w:val="nil"/>
            </w:tcBorders>
            <w:tcMar>
              <w:top w:w="0" w:type="dxa"/>
              <w:left w:w="62" w:type="dxa"/>
              <w:bottom w:w="0" w:type="dxa"/>
              <w:right w:w="62" w:type="dxa"/>
            </w:tcMar>
          </w:tcPr>
          <w:p w:rsidR="00000000" w:rsidRPr="001033AB" w:rsidP="001033AB">
            <w:pPr>
              <w:pStyle w:val="ListBullet"/>
            </w:pPr>
            <w:r w:rsidRPr="001033AB">
              <w:t>the principles, theories and history of the Australian valuation system with regard to the WTO valuation agreement and Customs and related legislation</w:t>
            </w:r>
          </w:p>
          <w:p w:rsidR="00000000" w:rsidRPr="001033AB" w:rsidP="001033AB">
            <w:pPr>
              <w:pStyle w:val="ListBullet"/>
            </w:pPr>
            <w:r w:rsidRPr="001033AB">
              <w:t>Customs Act 1901 and the Customs Regulations</w:t>
            </w:r>
          </w:p>
          <w:p w:rsidR="00000000" w:rsidRPr="001033AB" w:rsidP="001033AB">
            <w:pPr>
              <w:pStyle w:val="ListBullet"/>
            </w:pPr>
            <w:r w:rsidRPr="001033AB">
              <w:t>Transaction Value including:</w:t>
            </w:r>
          </w:p>
          <w:p w:rsidR="00000000" w:rsidRPr="001033AB" w:rsidP="001033AB">
            <w:pPr>
              <w:pStyle w:val="ListBullet2"/>
            </w:pPr>
            <w:r w:rsidRPr="001033AB">
              <w:t>import sales transaction</w:t>
            </w:r>
          </w:p>
          <w:p w:rsidR="00000000" w:rsidRPr="001033AB" w:rsidP="001033AB">
            <w:pPr>
              <w:pStyle w:val="ListBullet2"/>
            </w:pPr>
            <w:r w:rsidRPr="001033AB">
              <w:t>price</w:t>
            </w:r>
          </w:p>
          <w:p w:rsidR="00000000" w:rsidRPr="001033AB" w:rsidP="001033AB">
            <w:pPr>
              <w:pStyle w:val="ListBullet2"/>
            </w:pPr>
            <w:r w:rsidRPr="001033AB">
              <w:t>adjusted price</w:t>
            </w:r>
          </w:p>
          <w:p w:rsidR="00000000" w:rsidRPr="001033AB" w:rsidP="001033AB">
            <w:pPr>
              <w:pStyle w:val="ListBullet2"/>
            </w:pPr>
            <w:r w:rsidRPr="001033AB">
              <w:t>price related costs</w:t>
            </w:r>
          </w:p>
          <w:p w:rsidR="00000000" w:rsidRPr="001033AB" w:rsidP="001033AB">
            <w:pPr>
              <w:pStyle w:val="ListBullet2"/>
            </w:pPr>
            <w:r w:rsidRPr="001033AB">
              <w:t>production assists</w:t>
            </w:r>
          </w:p>
          <w:p w:rsidR="00000000" w:rsidRPr="001033AB" w:rsidP="001033AB">
            <w:pPr>
              <w:pStyle w:val="ListBullet2"/>
            </w:pPr>
            <w:r w:rsidRPr="001033AB">
              <w:t>royalties and licence fees/commissions</w:t>
            </w:r>
          </w:p>
          <w:p w:rsidR="00000000" w:rsidRPr="001033AB" w:rsidP="001033AB">
            <w:pPr>
              <w:pStyle w:val="ListBullet2"/>
            </w:pPr>
            <w:r w:rsidRPr="001033AB">
              <w:t>value on related amounts</w:t>
            </w:r>
          </w:p>
          <w:p w:rsidR="00000000" w:rsidRPr="001033AB" w:rsidP="001033AB">
            <w:pPr>
              <w:pStyle w:val="ListBullet2"/>
            </w:pPr>
            <w:r w:rsidRPr="001033AB">
              <w:t>related parties</w:t>
            </w:r>
          </w:p>
          <w:p w:rsidR="00000000" w:rsidRPr="001033AB" w:rsidP="001033AB">
            <w:pPr>
              <w:pStyle w:val="ListBullet2"/>
            </w:pPr>
            <w:r w:rsidRPr="001033AB">
              <w:t>rebates</w:t>
            </w:r>
          </w:p>
          <w:p w:rsidR="00000000" w:rsidRPr="001033AB" w:rsidP="001033AB">
            <w:pPr>
              <w:pStyle w:val="ListBullet2"/>
            </w:pPr>
            <w:r w:rsidRPr="001033AB">
              <w:t>arms length transactions</w:t>
            </w:r>
          </w:p>
          <w:p w:rsidR="00000000" w:rsidP="001033AB">
            <w:pPr>
              <w:pStyle w:val="ListBullet2"/>
              <w:rPr>
                <w:lang w:val="en-NZ"/>
              </w:rPr>
            </w:pPr>
            <w:r w:rsidRPr="001033AB">
              <w:t>contract of sale</w:t>
            </w:r>
          </w:p>
        </w:tc>
      </w:tr>
      <w:tr w:rsidTr="000807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t>Alternate valuation methods may include:</w:t>
            </w:r>
          </w:p>
        </w:tc>
        <w:tc>
          <w:tcPr>
            <w:tcW w:w="6154" w:type="dxa"/>
            <w:tcBorders>
              <w:top w:val="nil"/>
              <w:left w:val="nil"/>
              <w:bottom w:val="nil"/>
              <w:right w:val="nil"/>
            </w:tcBorders>
            <w:tcMar>
              <w:top w:w="0" w:type="dxa"/>
              <w:left w:w="62" w:type="dxa"/>
              <w:bottom w:w="0" w:type="dxa"/>
              <w:right w:w="62" w:type="dxa"/>
            </w:tcMar>
          </w:tcPr>
          <w:p w:rsidR="00000000" w:rsidRPr="001033AB" w:rsidP="001033AB">
            <w:pPr>
              <w:pStyle w:val="ListBullet"/>
            </w:pPr>
            <w:r w:rsidRPr="001033AB">
              <w:t>identical goods valuation</w:t>
            </w:r>
          </w:p>
          <w:p w:rsidR="00000000" w:rsidRPr="001033AB" w:rsidP="001033AB">
            <w:pPr>
              <w:pStyle w:val="ListBullet"/>
            </w:pPr>
            <w:r w:rsidRPr="001033AB">
              <w:t>similar goods valuation</w:t>
            </w:r>
          </w:p>
          <w:p w:rsidR="00000000" w:rsidRPr="001033AB" w:rsidP="001033AB">
            <w:pPr>
              <w:pStyle w:val="ListBullet"/>
            </w:pPr>
            <w:r w:rsidRPr="001033AB">
              <w:t>deductive goods method</w:t>
            </w:r>
          </w:p>
          <w:p w:rsidR="00000000" w:rsidRPr="001033AB" w:rsidP="001033AB">
            <w:pPr>
              <w:pStyle w:val="ListBullet"/>
            </w:pPr>
            <w:r w:rsidRPr="001033AB">
              <w:t>computed value method</w:t>
            </w:r>
          </w:p>
          <w:p w:rsidR="00000000" w:rsidP="001033AB">
            <w:pPr>
              <w:pStyle w:val="ListBullet"/>
              <w:rPr>
                <w:lang w:val="en-NZ"/>
              </w:rPr>
            </w:pPr>
            <w:r w:rsidRPr="001033AB">
              <w:t>fall back method</w:t>
            </w:r>
          </w:p>
        </w:tc>
      </w:tr>
      <w:tr w:rsidTr="000807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t>INCOTERMS 2000 are:</w:t>
            </w:r>
          </w:p>
        </w:tc>
        <w:tc>
          <w:tcPr>
            <w:tcW w:w="6154"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the ICC Official Rules for the Interpretation of Trade Terms, International Chamber of Commerce, 1999</w:t>
            </w:r>
          </w:p>
        </w:tc>
      </w:tr>
      <w:tr w:rsidTr="000807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t>Adjusted price may include:</w:t>
            </w:r>
          </w:p>
        </w:tc>
        <w:tc>
          <w:tcPr>
            <w:tcW w:w="6154" w:type="dxa"/>
            <w:tcBorders>
              <w:top w:val="nil"/>
              <w:left w:val="nil"/>
              <w:bottom w:val="nil"/>
              <w:right w:val="nil"/>
            </w:tcBorders>
            <w:tcMar>
              <w:top w:w="0" w:type="dxa"/>
              <w:left w:w="62" w:type="dxa"/>
              <w:bottom w:w="0" w:type="dxa"/>
              <w:right w:w="62" w:type="dxa"/>
            </w:tcMar>
          </w:tcPr>
          <w:p w:rsidR="00000000" w:rsidRPr="001033AB" w:rsidP="001033AB">
            <w:pPr>
              <w:pStyle w:val="ListBullet"/>
            </w:pPr>
            <w:r w:rsidRPr="001033AB">
              <w:t>deductible finan</w:t>
            </w:r>
            <w:r w:rsidRPr="001033AB">
              <w:t>cing costs</w:t>
            </w:r>
          </w:p>
          <w:p w:rsidR="00000000" w:rsidRPr="001033AB" w:rsidP="001033AB">
            <w:pPr>
              <w:pStyle w:val="ListBullet"/>
            </w:pPr>
            <w:r w:rsidRPr="001033AB">
              <w:t>post importation costs</w:t>
            </w:r>
          </w:p>
          <w:p w:rsidR="00000000" w:rsidRPr="001033AB" w:rsidP="001033AB">
            <w:pPr>
              <w:pStyle w:val="ListBullet"/>
            </w:pPr>
            <w:r w:rsidRPr="001033AB">
              <w:t>Australian inland freight and insurance</w:t>
            </w:r>
          </w:p>
          <w:p w:rsidR="00000000" w:rsidRPr="001033AB" w:rsidP="001033AB">
            <w:pPr>
              <w:pStyle w:val="ListBullet"/>
            </w:pPr>
            <w:r w:rsidRPr="001033AB">
              <w:t>deductible administrative costs</w:t>
            </w:r>
          </w:p>
          <w:p w:rsidR="00000000" w:rsidP="001033AB">
            <w:pPr>
              <w:pStyle w:val="ListBullet"/>
              <w:rPr>
                <w:lang w:val="en-NZ"/>
              </w:rPr>
            </w:pPr>
            <w:r w:rsidRPr="001033AB">
              <w:t>overseas freight and insurance</w:t>
            </w:r>
          </w:p>
        </w:tc>
      </w:tr>
      <w:tr w:rsidTr="000807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t>Price related costs may include:</w:t>
            </w:r>
          </w:p>
        </w:tc>
        <w:tc>
          <w:tcPr>
            <w:tcW w:w="6154" w:type="dxa"/>
            <w:tcBorders>
              <w:top w:val="nil"/>
              <w:left w:val="nil"/>
              <w:bottom w:val="nil"/>
              <w:right w:val="nil"/>
            </w:tcBorders>
            <w:tcMar>
              <w:top w:w="0" w:type="dxa"/>
              <w:left w:w="62" w:type="dxa"/>
              <w:bottom w:w="0" w:type="dxa"/>
              <w:right w:w="62" w:type="dxa"/>
            </w:tcMar>
          </w:tcPr>
          <w:p w:rsidR="00000000" w:rsidRPr="001033AB" w:rsidP="001033AB">
            <w:pPr>
              <w:pStyle w:val="ListBullet"/>
            </w:pPr>
            <w:r w:rsidRPr="001033AB">
              <w:t>production assist costs</w:t>
            </w:r>
          </w:p>
          <w:p w:rsidR="00000000" w:rsidRPr="001033AB" w:rsidP="001033AB">
            <w:pPr>
              <w:pStyle w:val="ListBullet"/>
            </w:pPr>
            <w:r w:rsidRPr="001033AB">
              <w:t>packing costs</w:t>
            </w:r>
          </w:p>
          <w:p w:rsidR="00000000" w:rsidRPr="001033AB" w:rsidP="001033AB">
            <w:pPr>
              <w:pStyle w:val="ListBullet"/>
            </w:pPr>
            <w:r w:rsidRPr="001033AB">
              <w:t>foreign inland freight and foreign inland insurance</w:t>
            </w:r>
          </w:p>
          <w:p w:rsidR="00000000" w:rsidRPr="001033AB" w:rsidP="001033AB">
            <w:pPr>
              <w:pStyle w:val="ListBullet"/>
            </w:pPr>
            <w:r w:rsidRPr="001033AB">
              <w:t>commissions</w:t>
            </w:r>
          </w:p>
          <w:p w:rsidR="00000000" w:rsidRPr="001033AB" w:rsidP="001033AB">
            <w:pPr>
              <w:pStyle w:val="ListBullet"/>
            </w:pPr>
            <w:r w:rsidRPr="001033AB">
              <w:t>royalties and licence fees</w:t>
            </w:r>
          </w:p>
          <w:p w:rsidR="00000000" w:rsidP="001033AB">
            <w:pPr>
              <w:pStyle w:val="ListBullet"/>
              <w:rPr>
                <w:lang w:val="en-NZ"/>
              </w:rPr>
            </w:pPr>
            <w:r w:rsidRPr="001033AB">
              <w:t>proceeds of resale</w:t>
            </w:r>
          </w:p>
        </w:tc>
      </w:tr>
      <w:tr w:rsidTr="000807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t>Factorisation means:</w:t>
            </w:r>
          </w:p>
        </w:tc>
        <w:tc>
          <w:tcPr>
            <w:tcW w:w="6154"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the apportionment of costs over a line value (each line of the invoice for which there is a separate classification)</w:t>
            </w:r>
          </w:p>
        </w:tc>
      </w:tr>
      <w:tr w:rsidTr="000807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t>Valua</w:t>
            </w:r>
            <w:r w:rsidRPr="001033AB">
              <w:t>tion Advice means:</w:t>
            </w:r>
          </w:p>
        </w:tc>
        <w:tc>
          <w:tcPr>
            <w:tcW w:w="6154"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the completion and lodgement of request for official Valuation Advice with the Australian Customs Service</w:t>
            </w:r>
          </w:p>
        </w:tc>
      </w:tr>
      <w:tr w:rsidTr="000807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t>Post entry Valuation Advice may include:</w:t>
            </w:r>
          </w:p>
        </w:tc>
        <w:tc>
          <w:tcPr>
            <w:tcW w:w="6154" w:type="dxa"/>
            <w:tcBorders>
              <w:top w:val="nil"/>
              <w:left w:val="nil"/>
              <w:bottom w:val="nil"/>
              <w:right w:val="nil"/>
            </w:tcBorders>
            <w:tcMar>
              <w:top w:w="0" w:type="dxa"/>
              <w:left w:w="62" w:type="dxa"/>
              <w:bottom w:w="0" w:type="dxa"/>
              <w:right w:w="62" w:type="dxa"/>
            </w:tcMar>
          </w:tcPr>
          <w:p w:rsidR="00000000" w:rsidP="001033AB">
            <w:pPr>
              <w:pStyle w:val="ListBullet"/>
              <w:rPr>
                <w:lang w:val="en-NZ"/>
              </w:rPr>
            </w:pPr>
            <w:r w:rsidRPr="001033AB">
              <w:t xml:space="preserve">advising the client what options are available if there is disagreement with the </w:t>
            </w:r>
            <w:r w:rsidRPr="001033AB">
              <w:t>customs value</w:t>
            </w:r>
          </w:p>
        </w:tc>
      </w:tr>
      <w:tr w:rsidTr="000807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t>Verification may include:</w:t>
            </w:r>
          </w:p>
        </w:tc>
        <w:tc>
          <w:tcPr>
            <w:tcW w:w="6154" w:type="dxa"/>
            <w:tcBorders>
              <w:top w:val="nil"/>
              <w:left w:val="nil"/>
              <w:bottom w:val="nil"/>
              <w:right w:val="nil"/>
            </w:tcBorders>
            <w:tcMar>
              <w:top w:w="0" w:type="dxa"/>
              <w:left w:w="62" w:type="dxa"/>
              <w:bottom w:w="0" w:type="dxa"/>
              <w:right w:w="62" w:type="dxa"/>
            </w:tcMar>
          </w:tcPr>
          <w:p w:rsidR="00000000" w:rsidRPr="001033AB" w:rsidP="001033AB">
            <w:pPr>
              <w:pStyle w:val="ListBullet"/>
            </w:pPr>
            <w:r w:rsidRPr="001033AB">
              <w:t>other colleagues within the enterprise</w:t>
            </w:r>
          </w:p>
          <w:p w:rsidR="00000000" w:rsidP="001033AB">
            <w:pPr>
              <w:pStyle w:val="ListBullet"/>
              <w:rPr>
                <w:lang w:val="en-NZ"/>
              </w:rPr>
            </w:pPr>
            <w:r w:rsidRPr="001033AB">
              <w:t>customs brokers</w:t>
            </w:r>
          </w:p>
        </w:tc>
      </w:tr>
      <w:tr w:rsidTr="000807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t>New developments in customs valuation practices including changes in:</w:t>
            </w:r>
          </w:p>
        </w:tc>
        <w:tc>
          <w:tcPr>
            <w:tcW w:w="6154" w:type="dxa"/>
            <w:tcBorders>
              <w:top w:val="nil"/>
              <w:left w:val="nil"/>
              <w:bottom w:val="nil"/>
              <w:right w:val="nil"/>
            </w:tcBorders>
            <w:tcMar>
              <w:top w:w="0" w:type="dxa"/>
              <w:left w:w="62" w:type="dxa"/>
              <w:bottom w:w="0" w:type="dxa"/>
              <w:right w:w="62" w:type="dxa"/>
            </w:tcMar>
          </w:tcPr>
          <w:p w:rsidR="00000000" w:rsidRPr="001033AB" w:rsidP="001033AB">
            <w:pPr>
              <w:pStyle w:val="ListBullet"/>
            </w:pPr>
            <w:r w:rsidRPr="001033AB">
              <w:t>technology</w:t>
            </w:r>
          </w:p>
          <w:p w:rsidR="00000000" w:rsidRPr="001033AB" w:rsidP="001033AB">
            <w:pPr>
              <w:pStyle w:val="ListBullet"/>
            </w:pPr>
            <w:r w:rsidRPr="001033AB">
              <w:t>products</w:t>
            </w:r>
          </w:p>
          <w:p w:rsidR="00000000" w:rsidRPr="001033AB" w:rsidP="001033AB">
            <w:pPr>
              <w:pStyle w:val="ListBullet"/>
            </w:pPr>
            <w:r w:rsidRPr="001033AB">
              <w:t>regulations</w:t>
            </w:r>
          </w:p>
          <w:p w:rsidR="00000000" w:rsidRPr="001033AB" w:rsidP="001033AB">
            <w:pPr>
              <w:pStyle w:val="ListBullet"/>
            </w:pPr>
            <w:r w:rsidRPr="001033AB">
              <w:t>legislation</w:t>
            </w:r>
          </w:p>
          <w:p w:rsidR="00000000" w:rsidRPr="001033AB" w:rsidP="001033AB">
            <w:pPr>
              <w:pStyle w:val="ListBullet"/>
            </w:pPr>
            <w:r w:rsidRPr="001033AB">
              <w:t>processes</w:t>
            </w:r>
          </w:p>
          <w:p w:rsidR="00000000" w:rsidP="001033AB">
            <w:pPr>
              <w:pStyle w:val="ListBullet"/>
              <w:rPr>
                <w:lang w:val="en-NZ"/>
              </w:rPr>
            </w:pPr>
            <w:r w:rsidRPr="001033AB">
              <w:t>systems</w:t>
            </w:r>
          </w:p>
        </w:tc>
      </w:tr>
      <w:tr w:rsidTr="000807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t>Information on new devel</w:t>
            </w:r>
            <w:r w:rsidRPr="001033AB">
              <w:t>opments in customs valuation practices may be obtained from:</w:t>
            </w:r>
          </w:p>
        </w:tc>
        <w:tc>
          <w:tcPr>
            <w:tcW w:w="6154" w:type="dxa"/>
            <w:tcBorders>
              <w:top w:val="nil"/>
              <w:left w:val="nil"/>
              <w:bottom w:val="nil"/>
              <w:right w:val="nil"/>
            </w:tcBorders>
            <w:tcMar>
              <w:top w:w="0" w:type="dxa"/>
              <w:left w:w="62" w:type="dxa"/>
              <w:bottom w:w="0" w:type="dxa"/>
              <w:right w:w="62" w:type="dxa"/>
            </w:tcMar>
          </w:tcPr>
          <w:p w:rsidR="00000000" w:rsidRPr="001033AB" w:rsidP="001033AB">
            <w:pPr>
              <w:pStyle w:val="ListBullet"/>
            </w:pPr>
            <w:r w:rsidRPr="001033AB">
              <w:t>internal networks such as: own operational team, staff in other departments, support staff, managers, training staff, etc.</w:t>
            </w:r>
          </w:p>
          <w:p w:rsidR="00000000" w:rsidRPr="001033AB" w:rsidP="001033AB">
            <w:pPr>
              <w:pStyle w:val="ListBullet"/>
            </w:pPr>
            <w:r w:rsidRPr="001033AB">
              <w:t>external networks such as: airline, ship</w:t>
            </w:r>
            <w:r w:rsidRPr="001033AB">
              <w:t>ping, road transport and storage, personnel, staff in bond stores; staff in various regulatory authorities; and equipment and systems suppliers</w:t>
            </w:r>
          </w:p>
          <w:p w:rsidR="00000000" w:rsidRPr="001033AB" w:rsidP="001033AB">
            <w:pPr>
              <w:pStyle w:val="ListBullet"/>
            </w:pPr>
            <w:r w:rsidRPr="001033AB">
              <w:t>bulletins, journals, magazines, books, etc.</w:t>
            </w:r>
          </w:p>
          <w:p w:rsidR="00000000" w:rsidRPr="001033AB" w:rsidP="001033AB">
            <w:pPr>
              <w:pStyle w:val="ListBullet"/>
            </w:pPr>
            <w:r w:rsidRPr="001033AB">
              <w:t>internet websites</w:t>
            </w:r>
          </w:p>
          <w:p w:rsidR="00000000" w:rsidRPr="001033AB" w:rsidP="001033AB">
            <w:pPr>
              <w:pStyle w:val="ListBullet"/>
            </w:pPr>
            <w:r w:rsidRPr="001033AB">
              <w:t>internal and external training programs</w:t>
            </w:r>
          </w:p>
          <w:p w:rsidR="00000000" w:rsidRPr="001033AB" w:rsidP="001033AB">
            <w:pPr>
              <w:pStyle w:val="ListBullet"/>
            </w:pPr>
            <w:r w:rsidRPr="001033AB">
              <w:t>external t</w:t>
            </w:r>
            <w:r w:rsidRPr="001033AB">
              <w:t>raining programs</w:t>
            </w:r>
          </w:p>
          <w:p w:rsidR="00000000" w:rsidP="001033AB">
            <w:pPr>
              <w:pStyle w:val="ListBullet"/>
              <w:rPr>
                <w:lang w:val="en-NZ"/>
              </w:rPr>
            </w:pPr>
            <w:r w:rsidRPr="001033AB">
              <w:t>internal training programs</w:t>
            </w:r>
          </w:p>
        </w:tc>
      </w:tr>
      <w:tr w:rsidTr="000807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t>Ways of learning skills and knowledge required for new developments in customs valuation practices may include:</w:t>
            </w:r>
          </w:p>
        </w:tc>
        <w:tc>
          <w:tcPr>
            <w:tcW w:w="6154" w:type="dxa"/>
            <w:tcBorders>
              <w:top w:val="nil"/>
              <w:left w:val="nil"/>
              <w:bottom w:val="nil"/>
              <w:right w:val="nil"/>
            </w:tcBorders>
            <w:tcMar>
              <w:top w:w="0" w:type="dxa"/>
              <w:left w:w="62" w:type="dxa"/>
              <w:bottom w:w="0" w:type="dxa"/>
              <w:right w:w="62" w:type="dxa"/>
            </w:tcMar>
          </w:tcPr>
          <w:p w:rsidR="00000000" w:rsidRPr="001033AB" w:rsidP="001033AB">
            <w:pPr>
              <w:pStyle w:val="ListBullet"/>
            </w:pPr>
            <w:r w:rsidRPr="001033AB">
              <w:t>reading independently</w:t>
            </w:r>
          </w:p>
          <w:p w:rsidR="00000000" w:rsidRPr="001033AB" w:rsidP="001033AB">
            <w:pPr>
              <w:pStyle w:val="ListBullet"/>
            </w:pPr>
            <w:r w:rsidRPr="001033AB">
              <w:t>coaching in the workplace</w:t>
            </w:r>
          </w:p>
          <w:p w:rsidR="00000000" w:rsidRPr="001033AB" w:rsidP="001033AB">
            <w:pPr>
              <w:pStyle w:val="ListBullet"/>
            </w:pPr>
            <w:r w:rsidRPr="001033AB">
              <w:t>online learning on a computer</w:t>
            </w:r>
          </w:p>
          <w:p w:rsidR="00000000" w:rsidP="001033AB">
            <w:pPr>
              <w:pStyle w:val="ListBullet"/>
              <w:rPr>
                <w:lang w:val="en-NZ"/>
              </w:rPr>
            </w:pPr>
            <w:r w:rsidRPr="001033AB">
              <w:t>networking with rele</w:t>
            </w:r>
            <w:r w:rsidRPr="001033AB">
              <w:t>vant internal and external contacts</w:t>
            </w:r>
          </w:p>
        </w:tc>
      </w:tr>
      <w:tr w:rsidTr="000807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1033AB" w:rsidP="001033AB">
            <w:pPr>
              <w:pStyle w:val="ListBullet"/>
            </w:pPr>
            <w:r w:rsidRPr="001033AB">
              <w:t>standard operating procedures (SOPs)</w:t>
            </w:r>
          </w:p>
          <w:p w:rsidR="00000000" w:rsidRPr="001033AB" w:rsidP="001033AB">
            <w:pPr>
              <w:pStyle w:val="ListBullet"/>
            </w:pPr>
            <w:r w:rsidRPr="001033AB">
              <w:t>company procedures</w:t>
            </w:r>
          </w:p>
          <w:p w:rsidR="00000000" w:rsidRPr="001033AB" w:rsidP="001033AB">
            <w:pPr>
              <w:pStyle w:val="ListBullet"/>
            </w:pPr>
            <w:r w:rsidRPr="001033AB">
              <w:t>enterprise procedures</w:t>
            </w:r>
          </w:p>
          <w:p w:rsidR="00000000" w:rsidRPr="001033AB" w:rsidP="001033AB">
            <w:pPr>
              <w:pStyle w:val="ListBullet"/>
            </w:pPr>
            <w:r w:rsidRPr="001033AB">
              <w:t>organisational procedures</w:t>
            </w:r>
          </w:p>
          <w:p w:rsidR="00000000" w:rsidP="001033AB">
            <w:pPr>
              <w:pStyle w:val="ListBullet"/>
              <w:rPr>
                <w:lang w:val="en-NZ"/>
              </w:rPr>
            </w:pPr>
            <w:r w:rsidRPr="001033AB">
              <w:t>established procedures</w:t>
            </w:r>
          </w:p>
        </w:tc>
      </w:tr>
      <w:tr w:rsidTr="000807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1033AB" w:rsidP="001033AB">
            <w:pPr>
              <w:pStyle w:val="ListBullet"/>
            </w:pPr>
            <w:r w:rsidRPr="001033AB">
              <w:t>phone</w:t>
            </w:r>
          </w:p>
          <w:p w:rsidR="00000000" w:rsidRPr="001033AB" w:rsidP="001033AB">
            <w:pPr>
              <w:pStyle w:val="ListBullet"/>
            </w:pPr>
            <w:r w:rsidRPr="001033AB">
              <w:t>electronic data interchange (EDI)</w:t>
            </w:r>
          </w:p>
          <w:p w:rsidR="00000000" w:rsidRPr="001033AB" w:rsidP="001033AB">
            <w:pPr>
              <w:pStyle w:val="ListBullet"/>
            </w:pPr>
            <w:r w:rsidRPr="001033AB">
              <w:t>fax</w:t>
            </w:r>
          </w:p>
          <w:p w:rsidR="00000000" w:rsidRPr="001033AB" w:rsidP="001033AB">
            <w:pPr>
              <w:pStyle w:val="ListBullet"/>
            </w:pPr>
            <w:r w:rsidRPr="001033AB">
              <w:t>email</w:t>
            </w:r>
          </w:p>
          <w:p w:rsidR="00000000" w:rsidRPr="001033AB" w:rsidP="001033AB">
            <w:pPr>
              <w:pStyle w:val="ListBullet"/>
            </w:pPr>
            <w:r w:rsidRPr="001033AB">
              <w:t>internet</w:t>
            </w:r>
          </w:p>
          <w:p w:rsidR="00000000" w:rsidRPr="001033AB" w:rsidP="001033AB">
            <w:pPr>
              <w:pStyle w:val="ListBullet"/>
            </w:pPr>
            <w:r w:rsidRPr="001033AB">
              <w:t>RF systems</w:t>
            </w:r>
          </w:p>
          <w:p w:rsidR="00000000" w:rsidP="001033AB">
            <w:pPr>
              <w:pStyle w:val="ListBullet"/>
              <w:rPr>
                <w:lang w:val="en-NZ"/>
              </w:rPr>
            </w:pPr>
            <w:r w:rsidRPr="001033AB">
              <w:t>oral, aural or signed communications</w:t>
            </w:r>
          </w:p>
        </w:tc>
      </w:tr>
      <w:tr w:rsidTr="000807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1033AB" w:rsidP="001033AB">
            <w:pPr>
              <w:pStyle w:val="ListBullet"/>
            </w:pPr>
            <w:r w:rsidRPr="001033AB">
              <w:t>other employees and supervisors</w:t>
            </w:r>
          </w:p>
          <w:p w:rsidR="00000000" w:rsidRPr="001033AB" w:rsidP="001033AB">
            <w:pPr>
              <w:pStyle w:val="ListBullet"/>
            </w:pPr>
            <w:r w:rsidRPr="001033AB">
              <w:t>relevant authorities and institutions</w:t>
            </w:r>
          </w:p>
          <w:p w:rsidR="00000000" w:rsidRPr="001033AB" w:rsidP="001033AB">
            <w:pPr>
              <w:pStyle w:val="ListBullet"/>
            </w:pPr>
            <w:r w:rsidRPr="001033AB">
              <w:t>management and union representatives</w:t>
            </w:r>
          </w:p>
          <w:p w:rsidR="00000000" w:rsidP="001033AB">
            <w:pPr>
              <w:pStyle w:val="ListBullet"/>
              <w:rPr>
                <w:lang w:val="en-NZ"/>
              </w:rPr>
            </w:pPr>
            <w:r w:rsidRPr="001033AB">
              <w:t>industrial relations and OH&amp;S specialists</w:t>
            </w:r>
          </w:p>
        </w:tc>
      </w:tr>
      <w:tr w:rsidTr="000807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t>Documentation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1033AB" w:rsidP="001033AB">
            <w:pPr>
              <w:pStyle w:val="ListBullet"/>
            </w:pPr>
            <w:r w:rsidRPr="001033AB">
              <w:t>Customs Act 1901and related legislation</w:t>
            </w:r>
          </w:p>
          <w:p w:rsidR="00000000" w:rsidRPr="001033AB" w:rsidP="001033AB">
            <w:pPr>
              <w:pStyle w:val="ListBullet"/>
            </w:pPr>
            <w:r w:rsidRPr="001033AB">
              <w:t>World Trade Organisation Valuation Agreement</w:t>
            </w:r>
          </w:p>
          <w:p w:rsidR="00000000" w:rsidRPr="001033AB" w:rsidP="001033AB">
            <w:pPr>
              <w:pStyle w:val="ListBullet"/>
            </w:pPr>
            <w:r w:rsidRPr="001033AB">
              <w:t>Australian Cu</w:t>
            </w:r>
            <w:r w:rsidRPr="001033AB">
              <w:t>stoms Manual on Valuation and Preference</w:t>
            </w:r>
          </w:p>
          <w:p w:rsidR="00000000" w:rsidRPr="001033AB" w:rsidP="001033AB">
            <w:pPr>
              <w:pStyle w:val="ListBullet"/>
            </w:pPr>
            <w:r w:rsidRPr="001033AB">
              <w:t>Integrated Cargo System (ICS) user manuals</w:t>
            </w:r>
          </w:p>
          <w:p w:rsidR="00000000" w:rsidRPr="001033AB" w:rsidP="001033AB">
            <w:pPr>
              <w:pStyle w:val="ListBullet"/>
            </w:pPr>
            <w:r w:rsidRPr="001033AB">
              <w:t>INCOTERMS 2000 ICC Official Rules for the Interpretation of Trade Terms, International Chamber of Commerce, 1999</w:t>
            </w:r>
          </w:p>
          <w:p w:rsidR="00000000" w:rsidRPr="001033AB" w:rsidP="001033AB">
            <w:pPr>
              <w:pStyle w:val="ListBullet"/>
            </w:pPr>
            <w:r w:rsidRPr="001033AB">
              <w:t>goods identification numbers and codes</w:t>
            </w:r>
          </w:p>
          <w:p w:rsidR="00000000" w:rsidRPr="001033AB" w:rsidP="001033AB">
            <w:pPr>
              <w:pStyle w:val="ListBullet"/>
            </w:pPr>
            <w:r w:rsidRPr="001033AB">
              <w:t xml:space="preserve">manifests, delivery </w:t>
            </w:r>
            <w:r w:rsidRPr="001033AB">
              <w:t>notes, special clearances, consignment notes, authorised weighbridge certificates, and special clearances</w:t>
            </w:r>
          </w:p>
          <w:p w:rsidR="00000000" w:rsidRPr="001033AB" w:rsidP="001033AB">
            <w:pPr>
              <w:pStyle w:val="ListBullet"/>
            </w:pPr>
            <w:r w:rsidRPr="001033AB">
              <w:t>internal documentation used for customs valuation</w:t>
            </w:r>
          </w:p>
          <w:p w:rsidR="00000000" w:rsidRPr="001033AB" w:rsidP="001033AB">
            <w:pPr>
              <w:pStyle w:val="ListBullet"/>
            </w:pPr>
            <w:r w:rsidRPr="001033AB">
              <w:t>operations manuals, job specifications and induction documentation</w:t>
            </w:r>
          </w:p>
          <w:p w:rsidR="00000000" w:rsidRPr="001033AB" w:rsidP="001033AB">
            <w:pPr>
              <w:pStyle w:val="ListBullet"/>
            </w:pPr>
            <w:r w:rsidRPr="001033AB">
              <w:t>manufacturers specifications for equipment</w:t>
            </w:r>
          </w:p>
          <w:p w:rsidR="00000000" w:rsidRPr="001033AB" w:rsidP="001033AB">
            <w:pPr>
              <w:pStyle w:val="ListBullet"/>
            </w:pPr>
            <w:r w:rsidRPr="001033AB">
              <w:t>workplace procedures and policies</w:t>
            </w:r>
          </w:p>
          <w:p w:rsidR="00000000" w:rsidRPr="001033AB" w:rsidP="001033AB">
            <w:pPr>
              <w:pStyle w:val="ListBullet"/>
            </w:pPr>
            <w:r w:rsidRPr="001033AB">
              <w:t>client instructions</w:t>
            </w:r>
          </w:p>
          <w:p w:rsidR="00000000" w:rsidRPr="001033AB" w:rsidP="001033AB">
            <w:pPr>
              <w:pStyle w:val="ListBullet"/>
            </w:pPr>
            <w:r w:rsidRPr="001033AB">
              <w:t>award, enterprise bargaining agreement, other industrial arrangements</w:t>
            </w:r>
          </w:p>
          <w:p w:rsidR="00000000" w:rsidRPr="001033AB" w:rsidP="001033AB">
            <w:pPr>
              <w:pStyle w:val="ListBullet"/>
            </w:pPr>
            <w:r w:rsidRPr="001033AB">
              <w:t>quality assurance procedures</w:t>
            </w:r>
          </w:p>
          <w:p w:rsidR="00000000" w:rsidP="001033AB">
            <w:pPr>
              <w:pStyle w:val="ListBullet"/>
              <w:rPr>
                <w:lang w:val="en-NZ"/>
              </w:rPr>
            </w:pPr>
            <w:r w:rsidRPr="001033AB">
              <w:t>emergency procedures</w:t>
            </w:r>
          </w:p>
        </w:tc>
      </w:tr>
      <w:tr w:rsidTr="0008077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t>Applicable rules, legislation and regu</w:t>
            </w:r>
            <w:r w:rsidRPr="001033AB">
              <w:t>lations may include:</w:t>
            </w:r>
          </w:p>
        </w:tc>
        <w:tc>
          <w:tcPr>
            <w:tcW w:w="6154" w:type="dxa"/>
            <w:tcBorders>
              <w:top w:val="nil"/>
              <w:left w:val="nil"/>
              <w:bottom w:val="nil"/>
              <w:right w:val="nil"/>
            </w:tcBorders>
            <w:tcMar>
              <w:top w:w="0" w:type="dxa"/>
              <w:left w:w="62" w:type="dxa"/>
              <w:bottom w:w="0" w:type="dxa"/>
              <w:right w:w="62" w:type="dxa"/>
            </w:tcMar>
          </w:tcPr>
          <w:p w:rsidR="00000000" w:rsidRPr="001033AB" w:rsidP="001033AB">
            <w:pPr>
              <w:pStyle w:val="ListBullet"/>
            </w:pPr>
            <w:r w:rsidRPr="001033AB">
              <w:t>Customs Act 1901 and related legislation</w:t>
            </w:r>
          </w:p>
          <w:p w:rsidR="00000000" w:rsidRPr="001033AB" w:rsidP="001033AB">
            <w:pPr>
              <w:pStyle w:val="ListBullet"/>
            </w:pPr>
            <w:r w:rsidRPr="001033AB">
              <w:t>World Trade Organisation Valuation Agreement</w:t>
            </w:r>
          </w:p>
          <w:p w:rsidR="00000000" w:rsidRPr="001033AB" w:rsidP="001033AB">
            <w:pPr>
              <w:pStyle w:val="ListBullet"/>
            </w:pPr>
            <w:r w:rsidRPr="001033AB">
              <w:t>privacy legislation</w:t>
            </w:r>
          </w:p>
          <w:p w:rsidR="00000000" w:rsidRPr="001033AB" w:rsidP="001033AB">
            <w:pPr>
              <w:pStyle w:val="ListBullet"/>
            </w:pPr>
            <w:r w:rsidRPr="001033AB">
              <w:t>export/import/quarantine/bond requirements</w:t>
            </w:r>
          </w:p>
          <w:p w:rsidR="00000000" w:rsidRPr="001033AB" w:rsidP="001033AB">
            <w:pPr>
              <w:pStyle w:val="ListBullet"/>
            </w:pPr>
            <w:r w:rsidRPr="001033AB">
              <w:t>workplace relations regulations</w:t>
            </w:r>
          </w:p>
          <w:p w:rsidR="00000000" w:rsidRPr="001033AB" w:rsidP="001033AB">
            <w:pPr>
              <w:pStyle w:val="ListBullet"/>
            </w:pPr>
            <w:r w:rsidRPr="001033AB">
              <w:t>equal opportunity legislation</w:t>
            </w:r>
          </w:p>
          <w:p w:rsidR="00000000" w:rsidRPr="001033AB" w:rsidP="001033AB">
            <w:pPr>
              <w:pStyle w:val="ListBullet"/>
            </w:pPr>
            <w:r w:rsidRPr="001033AB">
              <w:t>equal employment opportunity and affirmative action legislation</w:t>
            </w:r>
          </w:p>
          <w:p w:rsidR="00000000" w:rsidRPr="001033AB" w:rsidP="001033AB">
            <w:pPr>
              <w:pStyle w:val="ListBullet"/>
            </w:pPr>
            <w:r w:rsidRPr="001033AB">
              <w:t>relevant state/territory OH&amp;S and environmental protection legislation</w:t>
            </w:r>
          </w:p>
        </w:tc>
      </w:tr>
    </w:tbl>
    <w:p w:rsidR="0008077A" w:rsidP="001033AB">
      <w:pPr>
        <w:pStyle w:val="BodyText"/>
      </w:pPr>
    </w:p>
    <w:p w:rsidR="0008077A" w:rsidP="001033AB">
      <w:pPr>
        <w:pStyle w:val="BodyText"/>
      </w:pPr>
    </w:p>
    <w:p w:rsidR="00000000" w:rsidRPr="001033AB" w:rsidP="001033AB">
      <w:pPr>
        <w:pStyle w:val="Heading1"/>
      </w:pPr>
      <w:bookmarkStart w:id="12" w:name="O_295589"/>
      <w:bookmarkEnd w:id="12"/>
      <w:r w:rsidRPr="001033AB">
        <w:t>Unit Sector(s)</w:t>
      </w:r>
    </w:p>
    <w:p w:rsidR="00000000" w:rsidRPr="001033AB" w:rsidP="001033AB">
      <w:pPr>
        <w:pStyle w:val="BodyText"/>
      </w:pPr>
      <w:r w:rsidRPr="001033AB">
        <w:t>Not Applicable</w:t>
      </w:r>
    </w:p>
    <w:p w:rsidR="00000000" w:rsidRPr="001033AB" w:rsidP="001033AB">
      <w:pPr>
        <w:pStyle w:val="AllowPageBreak"/>
      </w:pPr>
    </w:p>
    <w:p w:rsidR="00000000" w:rsidRPr="001033AB" w:rsidP="001033AB">
      <w:pPr>
        <w:pStyle w:val="Heading1"/>
      </w:pPr>
      <w:bookmarkStart w:id="13" w:name="O_222657"/>
      <w:bookmarkEnd w:id="13"/>
      <w:r w:rsidRPr="001033AB">
        <w:t>Competency Field</w:t>
      </w:r>
    </w:p>
    <w:tbl>
      <w:tblPr>
        <w:tblW w:w="9640" w:type="dxa"/>
        <w:tblLayout w:type="fixed"/>
        <w:tblCellMar>
          <w:left w:w="62" w:type="dxa"/>
          <w:right w:w="62" w:type="dxa"/>
        </w:tblCellMar>
        <w:tblLook w:val="0000"/>
      </w:tblPr>
      <w:tblGrid>
        <w:gridCol w:w="2978"/>
        <w:gridCol w:w="6662"/>
      </w:tblGrid>
      <w:tr w:rsidTr="0008077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033AB">
            <w:pPr>
              <w:pStyle w:val="BodyText"/>
              <w:rPr>
                <w:lang w:val="en-NZ"/>
              </w:rPr>
            </w:pPr>
            <w:r w:rsidRPr="001033AB">
              <w:rPr>
                <w:rStyle w:val="SpecialBold"/>
              </w:rPr>
              <w:t>Competency Field</w:t>
            </w:r>
            <w:r w:rsidRPr="001033AB">
              <w:t xml:space="preserve"> </w:t>
            </w:r>
          </w:p>
        </w:tc>
        <w:tc>
          <w:tcPr>
            <w:tcW w:w="6662" w:type="dxa"/>
            <w:tcBorders>
              <w:top w:val="nil"/>
              <w:left w:val="nil"/>
              <w:bottom w:val="nil"/>
              <w:right w:val="nil"/>
            </w:tcBorders>
            <w:tcMar>
              <w:top w:w="0" w:type="dxa"/>
              <w:left w:w="62" w:type="dxa"/>
              <w:bottom w:w="0" w:type="dxa"/>
              <w:right w:w="62" w:type="dxa"/>
            </w:tcMar>
          </w:tcPr>
          <w:p w:rsidR="00000000" w:rsidRPr="001033AB" w:rsidP="001033AB">
            <w:pPr>
              <w:pStyle w:val="BodyText"/>
            </w:pPr>
            <w:r w:rsidRPr="001033AB">
              <w:t>A - Handling Cargo</w:t>
            </w:r>
            <w:r w:rsidRPr="001033AB">
              <w:t>/Stock</w:t>
            </w:r>
          </w:p>
        </w:tc>
      </w:tr>
    </w:tbl>
    <w:p w:rsidR="0008077A" w:rsidP="001033AB">
      <w:pPr>
        <w:pStyle w:val="BodyText"/>
      </w:pPr>
    </w:p>
    <w:p w:rsidR="0008077A" w:rsidP="001033AB">
      <w:pPr>
        <w:pStyle w:val="BodyText"/>
      </w:pPr>
    </w:p>
    <w:p w:rsidR="00000000" w:rsidRPr="001033AB" w:rsidP="001033AB"/>
    <w:sectPr w:rsidSect="001033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3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077A" w:rsidP="000807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3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77A" w:rsidP="001033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8077A" w:rsidP="001033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8077A" w:rsidP="001033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3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077A" w:rsidP="0008077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3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77A" w:rsidP="001033AB">
    <w:pPr>
      <w:pStyle w:val="Header"/>
      <w:framePr w:wrap="around"/>
    </w:pPr>
    <w:r>
      <w:fldChar w:fldCharType="begin"/>
    </w:r>
    <w:r>
      <w:instrText xml:space="preserve"> TITLE   \* MERGEFORMAT </w:instrText>
    </w:r>
    <w:r>
      <w:fldChar w:fldCharType="separate"/>
    </w:r>
    <w:r>
      <w:t>TLIA3053A Carry out customs valuation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077A" w:rsidP="001033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1CDF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C430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3435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3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33AB"/>
    <w:pPr>
      <w:spacing w:before="360" w:after="60"/>
      <w:outlineLvl w:val="0"/>
    </w:pPr>
    <w:rPr>
      <w:sz w:val="32"/>
    </w:rPr>
  </w:style>
  <w:style w:type="paragraph" w:styleId="Heading2">
    <w:name w:val="heading 2"/>
    <w:basedOn w:val="HeadingBase"/>
    <w:next w:val="BodyText"/>
    <w:link w:val="Heading2Char"/>
    <w:qFormat/>
    <w:rsid w:val="001033AB"/>
    <w:pPr>
      <w:keepLines/>
      <w:spacing w:before="240" w:after="120"/>
      <w:outlineLvl w:val="1"/>
    </w:pPr>
    <w:rPr>
      <w:sz w:val="28"/>
      <w:szCs w:val="40"/>
    </w:rPr>
  </w:style>
  <w:style w:type="paragraph" w:styleId="Heading3">
    <w:name w:val="heading 3"/>
    <w:basedOn w:val="HeadingBase"/>
    <w:next w:val="BodyText"/>
    <w:link w:val="Heading3Char"/>
    <w:qFormat/>
    <w:rsid w:val="001033AB"/>
    <w:pPr>
      <w:spacing w:before="180" w:after="120"/>
      <w:outlineLvl w:val="2"/>
    </w:pPr>
    <w:rPr>
      <w:spacing w:val="-10"/>
      <w:kern w:val="32"/>
    </w:rPr>
  </w:style>
  <w:style w:type="paragraph" w:styleId="Heading4">
    <w:name w:val="heading 4"/>
    <w:basedOn w:val="HeadingBase"/>
    <w:next w:val="BodyText"/>
    <w:link w:val="Heading4Char"/>
    <w:qFormat/>
    <w:rsid w:val="001033AB"/>
    <w:pPr>
      <w:spacing w:before="160" w:after="120"/>
      <w:outlineLvl w:val="3"/>
    </w:pPr>
    <w:rPr>
      <w:sz w:val="22"/>
    </w:rPr>
  </w:style>
  <w:style w:type="paragraph" w:styleId="Heading5">
    <w:name w:val="heading 5"/>
    <w:basedOn w:val="HeadingBase"/>
    <w:next w:val="Normal"/>
    <w:link w:val="Heading5Char"/>
    <w:qFormat/>
    <w:rsid w:val="001033AB"/>
    <w:pPr>
      <w:spacing w:before="80"/>
      <w:outlineLvl w:val="4"/>
    </w:pPr>
    <w:rPr>
      <w:color w:val="918585"/>
      <w:sz w:val="20"/>
    </w:rPr>
  </w:style>
  <w:style w:type="paragraph" w:styleId="Heading6">
    <w:name w:val="heading 6"/>
    <w:basedOn w:val="HeadingBase"/>
    <w:next w:val="Normal"/>
    <w:link w:val="Heading6Char"/>
    <w:qFormat/>
    <w:rsid w:val="001033AB"/>
    <w:pPr>
      <w:spacing w:before="60"/>
      <w:outlineLvl w:val="5"/>
    </w:pPr>
    <w:rPr>
      <w:color w:val="918585"/>
      <w:sz w:val="20"/>
    </w:rPr>
  </w:style>
  <w:style w:type="paragraph" w:styleId="Heading7">
    <w:name w:val="heading 7"/>
    <w:basedOn w:val="Normal"/>
    <w:next w:val="Normal"/>
    <w:link w:val="Heading7Char"/>
    <w:qFormat/>
    <w:rsid w:val="001033AB"/>
    <w:pPr>
      <w:ind w:left="720"/>
      <w:outlineLvl w:val="6"/>
    </w:pPr>
    <w:rPr>
      <w:i/>
    </w:rPr>
  </w:style>
  <w:style w:type="paragraph" w:styleId="Heading8">
    <w:name w:val="heading 8"/>
    <w:basedOn w:val="Normal"/>
    <w:next w:val="Normal"/>
    <w:link w:val="Heading8Char"/>
    <w:qFormat/>
    <w:rsid w:val="001033AB"/>
    <w:pPr>
      <w:ind w:left="720"/>
      <w:outlineLvl w:val="7"/>
    </w:pPr>
    <w:rPr>
      <w:i/>
    </w:rPr>
  </w:style>
  <w:style w:type="paragraph" w:styleId="Heading9">
    <w:name w:val="heading 9"/>
    <w:basedOn w:val="Normal"/>
    <w:next w:val="Normal"/>
    <w:link w:val="Heading9Char"/>
    <w:qFormat/>
    <w:rsid w:val="001033AB"/>
    <w:pPr>
      <w:ind w:left="720"/>
      <w:outlineLvl w:val="8"/>
    </w:pPr>
    <w:rPr>
      <w:i/>
    </w:rPr>
  </w:style>
  <w:style w:type="character" w:default="1" w:styleId="DefaultParagraphFont">
    <w:name w:val="Default Paragraph Font"/>
    <w:uiPriority w:val="1"/>
    <w:unhideWhenUsed/>
    <w:rsid w:val="001033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3AB"/>
  </w:style>
  <w:style w:type="character" w:customStyle="1" w:styleId="Heading1Char">
    <w:name w:val="Heading 1 Char"/>
    <w:link w:val="Heading1"/>
    <w:rsid w:val="001033AB"/>
    <w:rPr>
      <w:rFonts w:ascii="Times New Roman" w:eastAsia="Times New Roman" w:hAnsi="Times New Roman" w:cs="Times New Roman"/>
      <w:b/>
      <w:sz w:val="32"/>
      <w:szCs w:val="20"/>
      <w:lang w:eastAsia="en-US"/>
    </w:rPr>
  </w:style>
  <w:style w:type="paragraph" w:styleId="BodyText">
    <w:name w:val="Body Text"/>
    <w:basedOn w:val="Normal"/>
    <w:link w:val="BodyTextChar"/>
    <w:rsid w:val="001033AB"/>
    <w:pPr>
      <w:spacing w:before="120" w:after="120"/>
      <w:contextualSpacing/>
    </w:pPr>
    <w:rPr>
      <w:rFonts w:ascii="Times New Roman" w:hAnsi="Times New Roman"/>
      <w:sz w:val="24"/>
      <w:szCs w:val="22"/>
    </w:rPr>
  </w:style>
  <w:style w:type="character" w:customStyle="1" w:styleId="BodyTextChar">
    <w:name w:val="Body Text Char"/>
    <w:link w:val="BodyText"/>
    <w:rsid w:val="001033AB"/>
    <w:rPr>
      <w:rFonts w:ascii="Times New Roman" w:eastAsia="Times New Roman" w:hAnsi="Times New Roman" w:cs="Times New Roman"/>
      <w:sz w:val="24"/>
      <w:lang w:val="en-US" w:eastAsia="en-US"/>
    </w:rPr>
  </w:style>
  <w:style w:type="paragraph" w:styleId="Footer">
    <w:name w:val="footer"/>
    <w:basedOn w:val="Normal"/>
    <w:link w:val="FooterChar"/>
    <w:rsid w:val="001033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033AB"/>
    <w:rPr>
      <w:rFonts w:ascii="Times New Roman" w:eastAsia="Times New Roman" w:hAnsi="Times New Roman" w:cs="Times New Roman"/>
      <w:sz w:val="16"/>
      <w:lang w:val="en-US" w:eastAsia="en-US"/>
    </w:rPr>
  </w:style>
  <w:style w:type="paragraph" w:styleId="List">
    <w:name w:val="List"/>
    <w:basedOn w:val="BodyText"/>
    <w:next w:val="BodyText"/>
    <w:rsid w:val="001033AB"/>
    <w:pPr>
      <w:tabs>
        <w:tab w:val="left" w:pos="340"/>
      </w:tabs>
      <w:spacing w:before="60" w:after="60"/>
      <w:ind w:left="340" w:hanging="340"/>
    </w:pPr>
  </w:style>
  <w:style w:type="paragraph" w:styleId="ListBullet">
    <w:name w:val="List Bullet"/>
    <w:basedOn w:val="List"/>
    <w:rsid w:val="001033AB"/>
    <w:pPr>
      <w:numPr>
        <w:numId w:val="13"/>
      </w:numPr>
      <w:tabs>
        <w:tab w:val="clear" w:pos="340"/>
      </w:tabs>
      <w:spacing w:before="40" w:after="40"/>
    </w:pPr>
  </w:style>
  <w:style w:type="character" w:customStyle="1" w:styleId="SpecialBold">
    <w:name w:val="Special Bold"/>
    <w:rsid w:val="001033AB"/>
    <w:rPr>
      <w:b/>
      <w:spacing w:val="0"/>
    </w:rPr>
  </w:style>
  <w:style w:type="paragraph" w:styleId="ListBullet2">
    <w:name w:val="List Bullet 2"/>
    <w:basedOn w:val="List2"/>
    <w:rsid w:val="001033AB"/>
    <w:pPr>
      <w:numPr>
        <w:numId w:val="14"/>
      </w:numPr>
      <w:tabs>
        <w:tab w:val="clear" w:pos="680"/>
      </w:tabs>
    </w:pPr>
  </w:style>
  <w:style w:type="paragraph" w:styleId="Header">
    <w:name w:val="header"/>
    <w:basedOn w:val="Normal"/>
    <w:link w:val="HeaderChar"/>
    <w:rsid w:val="001033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033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33AB"/>
    <w:pPr>
      <w:spacing w:before="240" w:after="120"/>
      <w:outlineLvl w:val="0"/>
    </w:pPr>
    <w:rPr>
      <w:rFonts w:ascii="Times New Roman" w:hAnsi="Times New Roman"/>
      <w:b/>
      <w:sz w:val="28"/>
    </w:rPr>
  </w:style>
  <w:style w:type="paragraph" w:customStyle="1" w:styleId="AllowPageBreak">
    <w:name w:val="AllowPageBreak"/>
    <w:rsid w:val="001033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033AB"/>
    <w:rPr>
      <w:rFonts w:ascii="Times New Roman" w:eastAsia="Times New Roman" w:hAnsi="Times New Roman" w:cs="Times New Roman"/>
      <w:b/>
      <w:sz w:val="28"/>
      <w:szCs w:val="40"/>
      <w:lang w:eastAsia="en-US"/>
    </w:rPr>
  </w:style>
  <w:style w:type="character" w:customStyle="1" w:styleId="Heading3Char">
    <w:name w:val="Heading 3 Char"/>
    <w:link w:val="Heading3"/>
    <w:rsid w:val="001033A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033AB"/>
    <w:rPr>
      <w:rFonts w:ascii="Times New Roman" w:eastAsia="Times New Roman" w:hAnsi="Times New Roman" w:cs="Times New Roman"/>
      <w:b/>
      <w:szCs w:val="20"/>
      <w:lang w:eastAsia="en-US"/>
    </w:rPr>
  </w:style>
  <w:style w:type="character" w:customStyle="1" w:styleId="Heading5Char">
    <w:name w:val="Heading 5 Char"/>
    <w:link w:val="Heading5"/>
    <w:rsid w:val="001033A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033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3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33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33AB"/>
    <w:rPr>
      <w:rFonts w:ascii="Courier New" w:eastAsia="Times New Roman" w:hAnsi="Courier New" w:cs="Times New Roman"/>
      <w:i/>
      <w:szCs w:val="20"/>
      <w:lang w:val="en-US" w:eastAsia="en-US"/>
    </w:rPr>
  </w:style>
  <w:style w:type="paragraph" w:customStyle="1" w:styleId="HeadingBase">
    <w:name w:val="Heading Base"/>
    <w:rsid w:val="001033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3AB"/>
    <w:pPr>
      <w:tabs>
        <w:tab w:val="right" w:leader="dot" w:pos="9072"/>
      </w:tabs>
      <w:ind w:left="567"/>
    </w:pPr>
    <w:rPr>
      <w:szCs w:val="22"/>
    </w:rPr>
  </w:style>
  <w:style w:type="paragraph" w:customStyle="1" w:styleId="TOCBase">
    <w:name w:val="TOC Base"/>
    <w:rsid w:val="001033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3AB"/>
    <w:pPr>
      <w:tabs>
        <w:tab w:val="right" w:leader="dot" w:pos="9072"/>
      </w:tabs>
      <w:spacing w:before="40" w:after="40"/>
      <w:ind w:left="284"/>
    </w:pPr>
    <w:rPr>
      <w:rFonts w:ascii="Times New Roman" w:hAnsi="Times New Roman"/>
    </w:rPr>
  </w:style>
  <w:style w:type="paragraph" w:styleId="TOC1">
    <w:name w:val="toc 1"/>
    <w:basedOn w:val="TOCBase"/>
    <w:next w:val="Normal"/>
    <w:rsid w:val="001033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33AB"/>
    <w:pPr>
      <w:spacing w:before="5040"/>
      <w:jc w:val="center"/>
    </w:pPr>
    <w:rPr>
      <w:sz w:val="48"/>
      <w:szCs w:val="72"/>
      <w:lang w:val="en-US"/>
    </w:rPr>
  </w:style>
  <w:style w:type="character" w:customStyle="1" w:styleId="TitleChar">
    <w:name w:val="Title Char"/>
    <w:link w:val="Title"/>
    <w:rsid w:val="001033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3AB"/>
    <w:pPr>
      <w:tabs>
        <w:tab w:val="left" w:pos="3600"/>
        <w:tab w:val="left" w:pos="3958"/>
      </w:tabs>
    </w:pPr>
  </w:style>
  <w:style w:type="paragraph" w:customStyle="1" w:styleId="Note">
    <w:name w:val="Note"/>
    <w:basedOn w:val="BodyText"/>
    <w:rsid w:val="001033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3AB"/>
    <w:pPr>
      <w:framePr w:wrap="auto" w:hAnchor="text" w:y="6049"/>
    </w:pPr>
    <w:rPr>
      <w:color w:val="000000"/>
      <w:sz w:val="40"/>
    </w:rPr>
  </w:style>
  <w:style w:type="paragraph" w:customStyle="1" w:styleId="TOCTitle">
    <w:name w:val="TOCTitle"/>
    <w:basedOn w:val="Heading1"/>
    <w:rsid w:val="001033AB"/>
    <w:pPr>
      <w:spacing w:after="240"/>
      <w:jc w:val="center"/>
      <w:outlineLvl w:val="9"/>
    </w:pPr>
    <w:rPr>
      <w:caps/>
    </w:rPr>
  </w:style>
  <w:style w:type="paragraph" w:customStyle="1" w:styleId="Version">
    <w:name w:val="Version"/>
    <w:rsid w:val="001033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33AB"/>
    <w:pPr>
      <w:keepNext w:val="0"/>
      <w:tabs>
        <w:tab w:val="right" w:pos="4176"/>
      </w:tabs>
      <w:ind w:left="198" w:hanging="198"/>
    </w:pPr>
    <w:rPr>
      <w:rFonts w:ascii="Garamond" w:hAnsi="Garamond"/>
    </w:rPr>
  </w:style>
  <w:style w:type="paragraph" w:styleId="IndexHeading">
    <w:name w:val="index heading"/>
    <w:basedOn w:val="Normal"/>
    <w:next w:val="Index1"/>
    <w:semiHidden/>
    <w:rsid w:val="001033AB"/>
    <w:pPr>
      <w:spacing w:before="120" w:after="120"/>
    </w:pPr>
    <w:rPr>
      <w:rFonts w:ascii="Arial" w:hAnsi="Arial"/>
      <w:b/>
      <w:color w:val="918585"/>
      <w:sz w:val="24"/>
    </w:rPr>
  </w:style>
  <w:style w:type="paragraph" w:customStyle="1" w:styleId="Chapter">
    <w:name w:val="Chapter"/>
    <w:basedOn w:val="Normal"/>
    <w:rsid w:val="001033AB"/>
    <w:pPr>
      <w:spacing w:before="240"/>
    </w:pPr>
    <w:rPr>
      <w:rFonts w:ascii="Times New Roman" w:hAnsi="Times New Roman"/>
      <w:smallCaps/>
      <w:spacing w:val="80"/>
      <w:sz w:val="28"/>
    </w:rPr>
  </w:style>
  <w:style w:type="paragraph" w:customStyle="1" w:styleId="InChapter">
    <w:name w:val="InChapter"/>
    <w:basedOn w:val="Heading3"/>
    <w:rsid w:val="001033AB"/>
    <w:pPr>
      <w:spacing w:after="240"/>
      <w:outlineLvl w:val="9"/>
    </w:pPr>
    <w:rPr>
      <w:noProof/>
    </w:rPr>
  </w:style>
  <w:style w:type="paragraph" w:styleId="Index2">
    <w:name w:val="index 2"/>
    <w:basedOn w:val="Normal"/>
    <w:next w:val="Normal"/>
    <w:semiHidden/>
    <w:rsid w:val="001033AB"/>
    <w:pPr>
      <w:tabs>
        <w:tab w:val="right" w:pos="4176"/>
      </w:tabs>
      <w:ind w:left="568" w:hanging="284"/>
    </w:pPr>
    <w:rPr>
      <w:rFonts w:ascii="Garamond" w:hAnsi="Garamond"/>
    </w:rPr>
  </w:style>
  <w:style w:type="paragraph" w:customStyle="1" w:styleId="Byline">
    <w:name w:val="Byline"/>
    <w:rsid w:val="001033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3AB"/>
    <w:pPr>
      <w:tabs>
        <w:tab w:val="clear" w:pos="3600"/>
        <w:tab w:val="clear" w:pos="3958"/>
      </w:tabs>
      <w:jc w:val="right"/>
    </w:pPr>
  </w:style>
  <w:style w:type="character" w:styleId="Emphasis">
    <w:name w:val="Emphasis"/>
    <w:qFormat/>
    <w:rsid w:val="001033AB"/>
    <w:rPr>
      <w:i/>
    </w:rPr>
  </w:style>
  <w:style w:type="paragraph" w:styleId="Caption">
    <w:name w:val="caption"/>
    <w:basedOn w:val="BodyText"/>
    <w:next w:val="Normal"/>
    <w:qFormat/>
    <w:rsid w:val="001033AB"/>
    <w:pPr>
      <w:framePr w:w="2268" w:hSpace="181" w:vSpace="181" w:wrap="around" w:vAnchor="text" w:hAnchor="page" w:x="1135" w:y="285" w:anchorLock="1"/>
    </w:pPr>
    <w:rPr>
      <w:i/>
    </w:rPr>
  </w:style>
  <w:style w:type="paragraph" w:customStyle="1" w:styleId="MiniTOCTitle">
    <w:name w:val="MiniTOCTitle"/>
    <w:basedOn w:val="Heading4"/>
    <w:rsid w:val="001033AB"/>
    <w:pPr>
      <w:spacing w:before="240"/>
      <w:outlineLvl w:val="9"/>
    </w:pPr>
    <w:rPr>
      <w:noProof/>
      <w:sz w:val="24"/>
    </w:rPr>
  </w:style>
  <w:style w:type="paragraph" w:customStyle="1" w:styleId="MiniTOCItem">
    <w:name w:val="MiniTOCItem"/>
    <w:basedOn w:val="ListBullet"/>
    <w:rsid w:val="001033AB"/>
    <w:pPr>
      <w:numPr>
        <w:numId w:val="0"/>
      </w:numPr>
      <w:tabs>
        <w:tab w:val="right" w:leader="dot" w:pos="6521"/>
      </w:tabs>
      <w:spacing w:before="0" w:after="0"/>
    </w:pPr>
  </w:style>
  <w:style w:type="paragraph" w:customStyle="1" w:styleId="TOFTitle">
    <w:name w:val="TOFTitle"/>
    <w:basedOn w:val="TOCTitle"/>
    <w:rsid w:val="001033AB"/>
  </w:style>
  <w:style w:type="paragraph" w:styleId="TableofFigures">
    <w:name w:val="table of figures"/>
    <w:basedOn w:val="Normal"/>
    <w:next w:val="Normal"/>
    <w:semiHidden/>
    <w:rsid w:val="001033AB"/>
    <w:pPr>
      <w:tabs>
        <w:tab w:val="right" w:leader="dot" w:pos="9072"/>
      </w:tabs>
      <w:ind w:left="970" w:hanging="403"/>
    </w:pPr>
    <w:rPr>
      <w:rFonts w:ascii="Times New Roman" w:hAnsi="Times New Roman"/>
      <w:b/>
    </w:rPr>
  </w:style>
  <w:style w:type="paragraph" w:styleId="ListNumber">
    <w:name w:val="List Number"/>
    <w:basedOn w:val="List"/>
    <w:rsid w:val="001033AB"/>
    <w:pPr>
      <w:numPr>
        <w:numId w:val="11"/>
      </w:numPr>
    </w:pPr>
  </w:style>
  <w:style w:type="character" w:customStyle="1" w:styleId="WingdingSymbols">
    <w:name w:val="Wingding Symbols"/>
    <w:rsid w:val="001033AB"/>
    <w:rPr>
      <w:rFonts w:ascii="Wingdings" w:hAnsi="Wingdings"/>
    </w:rPr>
  </w:style>
  <w:style w:type="paragraph" w:customStyle="1" w:styleId="TableHeading">
    <w:name w:val="Table Heading"/>
    <w:basedOn w:val="HeadingBase"/>
    <w:rsid w:val="001033AB"/>
    <w:pPr>
      <w:keepLines/>
      <w:pBdr>
        <w:bottom w:val="single" w:sz="6" w:space="1" w:color="918585"/>
      </w:pBdr>
      <w:spacing w:before="240"/>
    </w:pPr>
  </w:style>
  <w:style w:type="character" w:customStyle="1" w:styleId="HotSpot">
    <w:name w:val="HotSpot"/>
    <w:rsid w:val="001033AB"/>
    <w:rPr>
      <w:color w:val="0033CC"/>
      <w:u w:val="none"/>
    </w:rPr>
  </w:style>
  <w:style w:type="paragraph" w:customStyle="1" w:styleId="BodyTextRight">
    <w:name w:val="Body Text Right"/>
    <w:basedOn w:val="BodyText"/>
    <w:rsid w:val="001033AB"/>
    <w:pPr>
      <w:spacing w:before="0" w:after="0"/>
      <w:jc w:val="right"/>
    </w:pPr>
  </w:style>
  <w:style w:type="paragraph" w:styleId="Index3">
    <w:name w:val="index 3"/>
    <w:basedOn w:val="ListNumber2"/>
    <w:next w:val="Normal"/>
    <w:semiHidden/>
    <w:rsid w:val="001033AB"/>
    <w:pPr>
      <w:numPr>
        <w:numId w:val="0"/>
      </w:numPr>
      <w:tabs>
        <w:tab w:val="right" w:leader="dot" w:pos="4176"/>
      </w:tabs>
    </w:pPr>
  </w:style>
  <w:style w:type="paragraph" w:styleId="ListNumber2">
    <w:name w:val="List Number 2"/>
    <w:basedOn w:val="List2"/>
    <w:rsid w:val="001033AB"/>
    <w:pPr>
      <w:numPr>
        <w:numId w:val="10"/>
      </w:numPr>
      <w:tabs>
        <w:tab w:val="clear" w:pos="1060"/>
      </w:tabs>
    </w:pPr>
  </w:style>
  <w:style w:type="paragraph" w:customStyle="1" w:styleId="MarginNote">
    <w:name w:val="Margin Note"/>
    <w:basedOn w:val="BodyText"/>
    <w:rsid w:val="001033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3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033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33AB"/>
    <w:rPr>
      <w:sz w:val="32"/>
    </w:rPr>
  </w:style>
  <w:style w:type="paragraph" w:customStyle="1" w:styleId="HeadingProcedure">
    <w:name w:val="Heading Procedure"/>
    <w:basedOn w:val="HeadingBase"/>
    <w:next w:val="Normal"/>
    <w:rsid w:val="001033AB"/>
    <w:pPr>
      <w:tabs>
        <w:tab w:val="left" w:pos="0"/>
      </w:tabs>
      <w:spacing w:before="120" w:after="60"/>
    </w:pPr>
    <w:rPr>
      <w:i/>
      <w:color w:val="918585"/>
      <w:sz w:val="22"/>
    </w:rPr>
  </w:style>
  <w:style w:type="paragraph" w:customStyle="1" w:styleId="TableBodyText">
    <w:name w:val="Table Body Text"/>
    <w:basedOn w:val="BodyText"/>
    <w:rsid w:val="001033AB"/>
    <w:pPr>
      <w:spacing w:before="60" w:after="60"/>
    </w:pPr>
  </w:style>
  <w:style w:type="paragraph" w:styleId="ListContinue">
    <w:name w:val="List Continue"/>
    <w:basedOn w:val="List"/>
    <w:rsid w:val="001033AB"/>
    <w:pPr>
      <w:ind w:firstLine="0"/>
    </w:pPr>
  </w:style>
  <w:style w:type="paragraph" w:customStyle="1" w:styleId="ListNote">
    <w:name w:val="List Note"/>
    <w:basedOn w:val="List"/>
    <w:rsid w:val="001033AB"/>
    <w:pPr>
      <w:pBdr>
        <w:top w:val="single" w:sz="6" w:space="2" w:color="918585"/>
        <w:bottom w:val="single" w:sz="6" w:space="2" w:color="918585"/>
      </w:pBdr>
      <w:tabs>
        <w:tab w:val="left" w:pos="1021"/>
      </w:tabs>
      <w:ind w:firstLine="0"/>
    </w:pPr>
  </w:style>
  <w:style w:type="paragraph" w:customStyle="1" w:styleId="Warning">
    <w:name w:val="Warning"/>
    <w:basedOn w:val="BodyText"/>
    <w:rsid w:val="001033AB"/>
    <w:pPr>
      <w:shd w:val="clear" w:color="auto" w:fill="D9D9D9"/>
      <w:tabs>
        <w:tab w:val="left" w:pos="992"/>
      </w:tabs>
      <w:ind w:left="119" w:right="119"/>
    </w:pPr>
    <w:rPr>
      <w:sz w:val="20"/>
    </w:rPr>
  </w:style>
  <w:style w:type="paragraph" w:customStyle="1" w:styleId="MarginIcons">
    <w:name w:val="Margin Icons"/>
    <w:basedOn w:val="BodyText"/>
    <w:rsid w:val="001033A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033AB"/>
    <w:rPr>
      <w:rFonts w:ascii="Courier New" w:hAnsi="Courier New"/>
    </w:rPr>
  </w:style>
  <w:style w:type="paragraph" w:customStyle="1" w:styleId="NoteBullet">
    <w:name w:val="Note Bullet"/>
    <w:basedOn w:val="Note"/>
    <w:rsid w:val="001033AB"/>
    <w:pPr>
      <w:tabs>
        <w:tab w:val="clear" w:pos="680"/>
      </w:tabs>
      <w:spacing w:before="60" w:after="60"/>
    </w:pPr>
  </w:style>
  <w:style w:type="paragraph" w:customStyle="1" w:styleId="SubHeading2">
    <w:name w:val="SubHeading2"/>
    <w:basedOn w:val="HeadingBase"/>
    <w:rsid w:val="001033AB"/>
    <w:pPr>
      <w:spacing w:before="240" w:after="60"/>
    </w:pPr>
    <w:rPr>
      <w:sz w:val="20"/>
    </w:rPr>
  </w:style>
  <w:style w:type="paragraph" w:customStyle="1" w:styleId="SubHeading1">
    <w:name w:val="SubHeading1"/>
    <w:basedOn w:val="HeadingBase"/>
    <w:rsid w:val="001033AB"/>
    <w:pPr>
      <w:spacing w:before="240" w:after="60"/>
    </w:pPr>
    <w:rPr>
      <w:color w:val="918585"/>
      <w:sz w:val="22"/>
    </w:rPr>
  </w:style>
  <w:style w:type="paragraph" w:customStyle="1" w:styleId="SideHeading">
    <w:name w:val="Side Heading"/>
    <w:basedOn w:val="HeadingBase"/>
    <w:rsid w:val="001033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3AB"/>
    <w:pPr>
      <w:numPr>
        <w:numId w:val="12"/>
      </w:numPr>
    </w:pPr>
  </w:style>
  <w:style w:type="paragraph" w:styleId="PlainText">
    <w:name w:val="Plain Text"/>
    <w:basedOn w:val="Normal"/>
    <w:link w:val="PlainTextChar"/>
    <w:rsid w:val="001033AB"/>
    <w:rPr>
      <w:sz w:val="20"/>
    </w:rPr>
  </w:style>
  <w:style w:type="character" w:customStyle="1" w:styleId="PlainTextChar">
    <w:name w:val="Plain Text Char"/>
    <w:basedOn w:val="DefaultParagraphFont"/>
    <w:link w:val="PlainText"/>
    <w:rsid w:val="001033AB"/>
    <w:rPr>
      <w:rFonts w:ascii="Courier New" w:eastAsia="Times New Roman" w:hAnsi="Courier New" w:cs="Times New Roman"/>
      <w:sz w:val="20"/>
      <w:szCs w:val="20"/>
      <w:lang w:val="en-US" w:eastAsia="en-US"/>
    </w:rPr>
  </w:style>
  <w:style w:type="character" w:customStyle="1" w:styleId="MenuOption">
    <w:name w:val="Menu Option"/>
    <w:rsid w:val="001033AB"/>
    <w:rPr>
      <w:b/>
      <w:smallCaps/>
    </w:rPr>
  </w:style>
  <w:style w:type="paragraph" w:customStyle="1" w:styleId="TableListNumber">
    <w:name w:val="Table List Number"/>
    <w:basedOn w:val="ListNumber"/>
    <w:rsid w:val="001033AB"/>
    <w:pPr>
      <w:numPr>
        <w:numId w:val="0"/>
      </w:numPr>
    </w:pPr>
  </w:style>
  <w:style w:type="paragraph" w:styleId="TOC4">
    <w:name w:val="toc 4"/>
    <w:basedOn w:val="TOCBase"/>
    <w:next w:val="Normal"/>
    <w:semiHidden/>
    <w:rsid w:val="001033AB"/>
    <w:pPr>
      <w:tabs>
        <w:tab w:val="right" w:leader="dot" w:pos="9071"/>
      </w:tabs>
      <w:ind w:left="1701"/>
    </w:pPr>
  </w:style>
  <w:style w:type="paragraph" w:customStyle="1" w:styleId="ListAlpha">
    <w:name w:val="List Alpha"/>
    <w:basedOn w:val="List"/>
    <w:rsid w:val="001033AB"/>
    <w:pPr>
      <w:numPr>
        <w:numId w:val="9"/>
      </w:numPr>
    </w:pPr>
  </w:style>
  <w:style w:type="paragraph" w:customStyle="1" w:styleId="ListAlpha2">
    <w:name w:val="List Alpha 2"/>
    <w:basedOn w:val="List2"/>
    <w:rsid w:val="001033AB"/>
    <w:pPr>
      <w:numPr>
        <w:numId w:val="8"/>
      </w:numPr>
    </w:pPr>
  </w:style>
  <w:style w:type="paragraph" w:styleId="List2">
    <w:name w:val="List 2"/>
    <w:basedOn w:val="BodyText"/>
    <w:rsid w:val="001033AB"/>
    <w:pPr>
      <w:tabs>
        <w:tab w:val="left" w:pos="680"/>
      </w:tabs>
      <w:spacing w:before="60" w:after="60"/>
      <w:ind w:left="680" w:hanging="340"/>
    </w:pPr>
  </w:style>
  <w:style w:type="paragraph" w:styleId="List3">
    <w:name w:val="List 3"/>
    <w:basedOn w:val="BodyText"/>
    <w:rsid w:val="001033AB"/>
    <w:pPr>
      <w:tabs>
        <w:tab w:val="left" w:pos="1021"/>
      </w:tabs>
      <w:spacing w:before="60" w:after="60"/>
      <w:ind w:left="1020" w:hanging="340"/>
    </w:pPr>
  </w:style>
  <w:style w:type="paragraph" w:styleId="List4">
    <w:name w:val="List 4"/>
    <w:basedOn w:val="BodyText"/>
    <w:rsid w:val="001033AB"/>
    <w:pPr>
      <w:tabs>
        <w:tab w:val="left" w:pos="1361"/>
      </w:tabs>
      <w:spacing w:before="60" w:after="60"/>
      <w:ind w:left="1361" w:hanging="340"/>
    </w:pPr>
  </w:style>
  <w:style w:type="paragraph" w:styleId="List5">
    <w:name w:val="List 5"/>
    <w:basedOn w:val="BodyText"/>
    <w:rsid w:val="001033AB"/>
    <w:pPr>
      <w:tabs>
        <w:tab w:val="left" w:pos="1701"/>
      </w:tabs>
      <w:spacing w:before="60" w:after="60"/>
      <w:ind w:left="1701" w:hanging="340"/>
    </w:pPr>
  </w:style>
  <w:style w:type="paragraph" w:styleId="ListBullet3">
    <w:name w:val="List Bullet 3"/>
    <w:basedOn w:val="List3"/>
    <w:rsid w:val="001033AB"/>
    <w:pPr>
      <w:numPr>
        <w:numId w:val="15"/>
      </w:numPr>
      <w:tabs>
        <w:tab w:val="clear" w:pos="1021"/>
      </w:tabs>
      <w:ind w:left="1037" w:hanging="357"/>
    </w:pPr>
  </w:style>
  <w:style w:type="paragraph" w:styleId="ListBullet4">
    <w:name w:val="List Bullet 4"/>
    <w:basedOn w:val="List4"/>
    <w:rsid w:val="001033AB"/>
    <w:pPr>
      <w:numPr>
        <w:numId w:val="3"/>
      </w:numPr>
    </w:pPr>
  </w:style>
  <w:style w:type="paragraph" w:styleId="ListBullet5">
    <w:name w:val="List Bullet 5"/>
    <w:basedOn w:val="List5"/>
    <w:rsid w:val="001033AB"/>
    <w:pPr>
      <w:numPr>
        <w:numId w:val="4"/>
      </w:numPr>
    </w:pPr>
  </w:style>
  <w:style w:type="paragraph" w:styleId="ListContinue2">
    <w:name w:val="List Continue 2"/>
    <w:basedOn w:val="List2"/>
    <w:rsid w:val="001033AB"/>
    <w:pPr>
      <w:ind w:firstLine="0"/>
    </w:pPr>
  </w:style>
  <w:style w:type="paragraph" w:styleId="ListContinue3">
    <w:name w:val="List Continue 3"/>
    <w:basedOn w:val="List3"/>
    <w:rsid w:val="001033AB"/>
    <w:pPr>
      <w:ind w:left="1021" w:firstLine="0"/>
    </w:pPr>
  </w:style>
  <w:style w:type="paragraph" w:styleId="ListContinue4">
    <w:name w:val="List Continue 4"/>
    <w:basedOn w:val="List4"/>
    <w:rsid w:val="001033AB"/>
    <w:pPr>
      <w:ind w:firstLine="0"/>
    </w:pPr>
  </w:style>
  <w:style w:type="paragraph" w:styleId="ListContinue5">
    <w:name w:val="List Continue 5"/>
    <w:basedOn w:val="List5"/>
    <w:rsid w:val="001033AB"/>
    <w:pPr>
      <w:ind w:firstLine="0"/>
    </w:pPr>
  </w:style>
  <w:style w:type="paragraph" w:styleId="ListNumber3">
    <w:name w:val="List Number 3"/>
    <w:basedOn w:val="List3"/>
    <w:rsid w:val="001033AB"/>
    <w:pPr>
      <w:numPr>
        <w:numId w:val="5"/>
      </w:numPr>
    </w:pPr>
  </w:style>
  <w:style w:type="paragraph" w:styleId="ListNumber4">
    <w:name w:val="List Number 4"/>
    <w:basedOn w:val="List4"/>
    <w:rsid w:val="001033AB"/>
    <w:pPr>
      <w:numPr>
        <w:numId w:val="6"/>
      </w:numPr>
    </w:pPr>
  </w:style>
  <w:style w:type="paragraph" w:styleId="ListNumber5">
    <w:name w:val="List Number 5"/>
    <w:basedOn w:val="List5"/>
    <w:rsid w:val="001033AB"/>
    <w:pPr>
      <w:numPr>
        <w:numId w:val="7"/>
      </w:numPr>
    </w:pPr>
  </w:style>
  <w:style w:type="paragraph" w:styleId="BlockText">
    <w:name w:val="Block Text"/>
    <w:basedOn w:val="Normal"/>
    <w:rsid w:val="001033AB"/>
    <w:pPr>
      <w:spacing w:after="120"/>
      <w:ind w:left="1440" w:right="1440"/>
    </w:pPr>
  </w:style>
  <w:style w:type="character" w:customStyle="1" w:styleId="Subscript">
    <w:name w:val="Subscript"/>
    <w:rsid w:val="001033AB"/>
    <w:rPr>
      <w:sz w:val="16"/>
      <w:vertAlign w:val="subscript"/>
    </w:rPr>
  </w:style>
  <w:style w:type="character" w:customStyle="1" w:styleId="Superscript">
    <w:name w:val="Superscript"/>
    <w:rsid w:val="001033AB"/>
    <w:rPr>
      <w:sz w:val="16"/>
      <w:vertAlign w:val="superscript"/>
    </w:rPr>
  </w:style>
  <w:style w:type="character" w:customStyle="1" w:styleId="Symbols">
    <w:name w:val="Symbols"/>
    <w:rsid w:val="001033AB"/>
    <w:rPr>
      <w:rFonts w:ascii="Symbol" w:hAnsi="Symbol"/>
    </w:rPr>
  </w:style>
  <w:style w:type="character" w:customStyle="1" w:styleId="MenuOptions">
    <w:name w:val="Menu Options"/>
    <w:rsid w:val="001033AB"/>
    <w:rPr>
      <w:rFonts w:ascii="Arial Narrow" w:hAnsi="Arial Narrow"/>
      <w:smallCaps/>
    </w:rPr>
  </w:style>
  <w:style w:type="character" w:customStyle="1" w:styleId="Buttons">
    <w:name w:val="Buttons"/>
    <w:rsid w:val="001033AB"/>
    <w:rPr>
      <w:b/>
    </w:rPr>
  </w:style>
  <w:style w:type="character" w:customStyle="1" w:styleId="Underlined">
    <w:name w:val="Underlined"/>
    <w:rsid w:val="001033AB"/>
    <w:rPr>
      <w:u w:val="single"/>
    </w:rPr>
  </w:style>
  <w:style w:type="paragraph" w:customStyle="1" w:styleId="TableBodyTextRight">
    <w:name w:val="Table Body Text Right"/>
    <w:basedOn w:val="TableBodyText"/>
    <w:rsid w:val="001033AB"/>
    <w:pPr>
      <w:widowControl w:val="0"/>
      <w:autoSpaceDE w:val="0"/>
      <w:autoSpaceDN w:val="0"/>
      <w:adjustRightInd w:val="0"/>
      <w:jc w:val="right"/>
    </w:pPr>
    <w:rPr>
      <w:rFonts w:cs="Arial"/>
      <w:szCs w:val="18"/>
    </w:rPr>
  </w:style>
  <w:style w:type="paragraph" w:customStyle="1" w:styleId="CopyrightText">
    <w:name w:val="Copyright Text"/>
    <w:basedOn w:val="BodyText"/>
    <w:rsid w:val="001033AB"/>
    <w:rPr>
      <w:sz w:val="18"/>
    </w:rPr>
  </w:style>
  <w:style w:type="paragraph" w:customStyle="1" w:styleId="BodySmallRight">
    <w:name w:val="Body Small Right"/>
    <w:basedOn w:val="BodyTextRight"/>
    <w:rsid w:val="001033AB"/>
    <w:rPr>
      <w:sz w:val="18"/>
      <w:szCs w:val="18"/>
    </w:rPr>
  </w:style>
  <w:style w:type="paragraph" w:customStyle="1" w:styleId="MarginEdition">
    <w:name w:val="Margin Edition"/>
    <w:basedOn w:val="MarginNote"/>
    <w:rsid w:val="001033AB"/>
    <w:pPr>
      <w:spacing w:before="0" w:after="0"/>
    </w:pPr>
    <w:rPr>
      <w:rFonts w:ascii="Times New Roman" w:hAnsi="Times New Roman"/>
      <w:color w:val="999999"/>
    </w:rPr>
  </w:style>
  <w:style w:type="paragraph" w:customStyle="1" w:styleId="Spacer">
    <w:name w:val="Spacer"/>
    <w:basedOn w:val="Normal"/>
    <w:rsid w:val="001033AB"/>
    <w:rPr>
      <w:sz w:val="2"/>
      <w:szCs w:val="2"/>
    </w:rPr>
  </w:style>
  <w:style w:type="character" w:customStyle="1" w:styleId="Small">
    <w:name w:val="Small"/>
    <w:rsid w:val="001033AB"/>
    <w:rPr>
      <w:sz w:val="16"/>
    </w:rPr>
  </w:style>
  <w:style w:type="paragraph" w:customStyle="1" w:styleId="WideTable">
    <w:name w:val="Wide Table"/>
    <w:basedOn w:val="Normal"/>
    <w:rsid w:val="001033AB"/>
    <w:pPr>
      <w:ind w:left="-1418"/>
    </w:pPr>
    <w:rPr>
      <w:sz w:val="2"/>
      <w:szCs w:val="2"/>
    </w:rPr>
  </w:style>
  <w:style w:type="character" w:styleId="PageNumber">
    <w:name w:val="page number"/>
    <w:rsid w:val="001033AB"/>
  </w:style>
  <w:style w:type="paragraph" w:styleId="Quote">
    <w:name w:val="Quote"/>
    <w:basedOn w:val="Heading1"/>
    <w:link w:val="QuoteChar"/>
    <w:qFormat/>
    <w:rsid w:val="001033AB"/>
    <w:rPr>
      <w:b w:val="0"/>
      <w:sz w:val="72"/>
      <w:szCs w:val="72"/>
      <w:lang w:val="en-NZ"/>
    </w:rPr>
  </w:style>
  <w:style w:type="character" w:customStyle="1" w:styleId="QuoteChar">
    <w:name w:val="Quote Char"/>
    <w:link w:val="Quote"/>
    <w:rsid w:val="001033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3AB"/>
    <w:pPr>
      <w:pageBreakBefore/>
    </w:pPr>
  </w:style>
  <w:style w:type="paragraph" w:customStyle="1" w:styleId="Border">
    <w:name w:val="Border"/>
    <w:basedOn w:val="Normal"/>
    <w:qFormat/>
    <w:rsid w:val="001033AB"/>
    <w:pPr>
      <w:pBdr>
        <w:top w:val="single" w:sz="18" w:space="1" w:color="auto"/>
      </w:pBdr>
    </w:pPr>
    <w:rPr>
      <w:rFonts w:ascii="Times New Roman" w:hAnsi="Times New Roman"/>
      <w:color w:val="FFFFFF"/>
      <w:sz w:val="2"/>
    </w:rPr>
  </w:style>
  <w:style w:type="character" w:styleId="IntenseEmphasis">
    <w:name w:val="Intense Emphasis"/>
    <w:uiPriority w:val="21"/>
    <w:qFormat/>
    <w:rsid w:val="001033AB"/>
    <w:rPr>
      <w:b/>
      <w:bCs/>
      <w:i/>
      <w:iCs/>
      <w:color w:val="auto"/>
    </w:rPr>
  </w:style>
  <w:style w:type="paragraph" w:styleId="IntenseQuote">
    <w:name w:val="Intense Quote"/>
    <w:basedOn w:val="Normal"/>
    <w:next w:val="Normal"/>
    <w:link w:val="IntenseQuoteChar"/>
    <w:uiPriority w:val="30"/>
    <w:qFormat/>
    <w:rsid w:val="001033A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033AB"/>
    <w:rPr>
      <w:rFonts w:ascii="Courier New" w:eastAsia="Times New Roman" w:hAnsi="Courier New" w:cs="Times New Roman"/>
      <w:b/>
      <w:bCs/>
      <w:i/>
      <w:iCs/>
      <w:szCs w:val="20"/>
      <w:lang w:val="en-US" w:eastAsia="en-US"/>
    </w:rPr>
  </w:style>
  <w:style w:type="character" w:styleId="SubtleReference">
    <w:name w:val="Subtle Reference"/>
    <w:uiPriority w:val="31"/>
    <w:qFormat/>
    <w:rsid w:val="001033AB"/>
    <w:rPr>
      <w:smallCaps/>
      <w:color w:val="auto"/>
      <w:u w:val="single"/>
    </w:rPr>
  </w:style>
  <w:style w:type="character" w:styleId="IntenseReference">
    <w:name w:val="Intense Reference"/>
    <w:uiPriority w:val="32"/>
    <w:qFormat/>
    <w:rsid w:val="001033AB"/>
    <w:rPr>
      <w:b/>
      <w:bCs/>
      <w:smallCaps/>
      <w:color w:val="auto"/>
      <w:spacing w:val="5"/>
      <w:u w:val="single"/>
    </w:rPr>
  </w:style>
  <w:style w:type="paragraph" w:customStyle="1" w:styleId="2ColumnHeading">
    <w:name w:val="2Column Heading"/>
    <w:basedOn w:val="BodyText"/>
    <w:qFormat/>
    <w:rsid w:val="001033AB"/>
    <w:pPr>
      <w:spacing w:after="60"/>
      <w:ind w:left="-2268"/>
    </w:pPr>
    <w:rPr>
      <w:b/>
    </w:rPr>
  </w:style>
  <w:style w:type="paragraph" w:customStyle="1" w:styleId="Heading1TOC">
    <w:name w:val="Heading1 TOC"/>
    <w:basedOn w:val="Normal"/>
    <w:qFormat/>
    <w:rsid w:val="001033AB"/>
    <w:pPr>
      <w:spacing w:before="240" w:after="120"/>
    </w:pPr>
    <w:rPr>
      <w:rFonts w:ascii="Times New Roman" w:hAnsi="Times New Roman"/>
      <w:b/>
      <w:sz w:val="32"/>
    </w:rPr>
  </w:style>
  <w:style w:type="paragraph" w:customStyle="1" w:styleId="Heading2TOC">
    <w:name w:val="Heading2 TOC"/>
    <w:basedOn w:val="Normal"/>
    <w:qFormat/>
    <w:rsid w:val="001033AB"/>
    <w:pPr>
      <w:spacing w:before="240" w:after="60"/>
    </w:pPr>
    <w:rPr>
      <w:rFonts w:ascii="Times New Roman" w:hAnsi="Times New Roman"/>
      <w:b/>
      <w:sz w:val="28"/>
    </w:rPr>
  </w:style>
  <w:style w:type="character" w:customStyle="1" w:styleId="Underline">
    <w:name w:val="Underline"/>
    <w:qFormat/>
    <w:rsid w:val="001033AB"/>
    <w:rPr>
      <w:u w:val="single"/>
    </w:rPr>
  </w:style>
  <w:style w:type="character" w:customStyle="1" w:styleId="BoldandItalics">
    <w:name w:val="Bold and Italics"/>
    <w:qFormat/>
    <w:rsid w:val="001033AB"/>
    <w:rPr>
      <w:b/>
      <w:i/>
      <w:u w:val="none"/>
    </w:rPr>
  </w:style>
  <w:style w:type="paragraph" w:styleId="BalloonText">
    <w:name w:val="Balloon Text"/>
    <w:basedOn w:val="Normal"/>
    <w:link w:val="BalloonTextChar"/>
    <w:rsid w:val="001033AB"/>
    <w:rPr>
      <w:rFonts w:ascii="Tahoma" w:hAnsi="Tahoma" w:cs="Tahoma"/>
      <w:sz w:val="16"/>
      <w:szCs w:val="16"/>
    </w:rPr>
  </w:style>
  <w:style w:type="character" w:customStyle="1" w:styleId="BalloonTextChar">
    <w:name w:val="Balloon Text Char"/>
    <w:link w:val="BalloonText"/>
    <w:rsid w:val="001033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33A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033A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1712</Words>
  <Characters>11119</Characters>
  <Application>Microsoft Office Word</Application>
  <DocSecurity>0</DocSecurity>
  <Lines>363</Lines>
  <Paragraphs>226</Paragraphs>
  <ScaleCrop>false</ScaleCrop>
  <Company>Author-it Software Corporation Ltd.</Company>
  <LinksUpToDate>false</LinksUpToDate>
  <CharactersWithSpaces>12745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TLIA3053A Carry out customs valuation</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2012-05-27T03:23:00Z</dcterms:created>
  <dcterms:modified xsi:type="dcterms:W3CDTF">2012-05-27T03:23:00Z</dcterms:modified>
</cp:coreProperties>
</file>