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F99" w:rsidP="002A7F99">
      <w:pPr>
        <w:pStyle w:val="Title"/>
      </w:pPr>
      <w:r>
        <w:fldChar w:fldCharType="begin"/>
      </w:r>
      <w:r>
        <w:instrText xml:space="preserve"> TITLE   \* MERGEFORMAT </w:instrText>
      </w:r>
      <w:r>
        <w:fldChar w:fldCharType="separate"/>
      </w:r>
      <w:r>
        <w:t>TLIA3008A Transfer cargo</w:t>
      </w:r>
      <w:r>
        <w:fldChar w:fldCharType="end"/>
      </w:r>
    </w:p>
    <w:p w:rsidR="002A7F99" w:rsidP="002A7F99">
      <w:pPr>
        <w:pStyle w:val="Version"/>
        <w:sectPr w:rsidSect="009B5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4F1" w:rsidP="009B54F1">
      <w:pPr>
        <w:pStyle w:val="SuperHeading"/>
      </w:pPr>
      <w:r w:rsidRPr="009B54F1">
        <w:t>TLIA3008A Transfer cargo</w:t>
      </w:r>
    </w:p>
    <w:p w:rsidR="00000000" w:rsidRPr="009B54F1" w:rsidP="009B54F1">
      <w:pPr>
        <w:pStyle w:val="Heading1"/>
      </w:pPr>
      <w:bookmarkStart w:id="1" w:name="O_273882"/>
      <w:bookmarkEnd w:id="1"/>
      <w:r w:rsidRPr="009B54F1">
        <w:t>Modification History</w:t>
      </w:r>
    </w:p>
    <w:p w:rsidR="00000000" w:rsidRPr="009B54F1" w:rsidP="009B54F1">
      <w:pPr>
        <w:pStyle w:val="BodyText"/>
      </w:pPr>
      <w:r w:rsidRPr="009B54F1">
        <w:t>Not Applicable</w:t>
      </w:r>
    </w:p>
    <w:p w:rsidR="00000000" w:rsidRPr="009B54F1" w:rsidP="009B54F1">
      <w:pPr>
        <w:pStyle w:val="AllowPageBreak"/>
      </w:pPr>
    </w:p>
    <w:p w:rsidR="00000000" w:rsidRPr="009B54F1" w:rsidP="009B54F1">
      <w:pPr>
        <w:pStyle w:val="Heading1"/>
      </w:pPr>
      <w:bookmarkStart w:id="2" w:name="O_222602"/>
      <w:bookmarkEnd w:id="2"/>
      <w:r w:rsidRPr="009B54F1">
        <w:t>Unit Descriptor</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BodyText"/>
            </w:pPr>
            <w:r w:rsidRPr="009B54F1">
              <w:t>This unit involves the skills and knowledge required to transfer cargo in accordance with workplace requirements i</w:t>
            </w:r>
            <w:r w:rsidRPr="009B54F1">
              <w:t>ncluding preparing for the transfer of the load, safely transferring the cargo using appropriate lifting equipment, finalising the transfer, and completing all required documentation. Licensing, legislative, regulatory or certification requirements are app</w:t>
            </w:r>
            <w:r w:rsidRPr="009B54F1">
              <w:t>licable to this unit.</w:t>
            </w:r>
          </w:p>
        </w:tc>
      </w:tr>
    </w:tbl>
    <w:p w:rsidR="002A7F99" w:rsidP="009B54F1">
      <w:pPr>
        <w:pStyle w:val="BodyText"/>
      </w:pPr>
    </w:p>
    <w:p w:rsidR="002A7F99" w:rsidP="009B54F1">
      <w:pPr>
        <w:pStyle w:val="BodyText"/>
      </w:pPr>
    </w:p>
    <w:p w:rsidR="00000000" w:rsidRPr="009B54F1" w:rsidP="009B54F1">
      <w:pPr>
        <w:pStyle w:val="Heading1"/>
      </w:pPr>
      <w:bookmarkStart w:id="3" w:name="O_222604"/>
      <w:bookmarkEnd w:id="3"/>
      <w:r w:rsidRPr="009B54F1">
        <w:t>Application of the Unit</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BodyText"/>
            </w:pPr>
            <w:r w:rsidRPr="009B54F1">
              <w:t>Work must be carried out in compliance with the relevant regulations and workplace requirements concerning the transfer of cargo/freight.</w:t>
            </w:r>
          </w:p>
          <w:p w:rsidR="00000000" w:rsidRPr="009B54F1" w:rsidP="009B54F1">
            <w:pPr>
              <w:pStyle w:val="BodyText"/>
            </w:pPr>
            <w:r w:rsidRPr="009B54F1">
              <w:t>Work is performed under some supervision generally within a team environment. It involves the application of workplace procedures and regulatory requirements when transferring cargo as part of work activities in the stevedoring, transport, distribution and</w:t>
            </w:r>
            <w:r w:rsidRPr="009B54F1">
              <w:t xml:space="preserve"> allied industries.</w:t>
            </w:r>
          </w:p>
        </w:tc>
      </w:tr>
    </w:tbl>
    <w:p w:rsidR="002A7F99" w:rsidP="009B54F1">
      <w:pPr>
        <w:pStyle w:val="BodyText"/>
      </w:pPr>
    </w:p>
    <w:p w:rsidR="002A7F99" w:rsidP="009B54F1">
      <w:pPr>
        <w:pStyle w:val="BodyText"/>
      </w:pPr>
    </w:p>
    <w:p w:rsidR="00000000" w:rsidRPr="009B54F1" w:rsidP="009B54F1">
      <w:pPr>
        <w:pStyle w:val="Heading1"/>
      </w:pPr>
      <w:bookmarkStart w:id="4" w:name="O_282142"/>
      <w:bookmarkEnd w:id="4"/>
      <w:r w:rsidRPr="009B54F1">
        <w:t>Licensing/Regulatory Information</w:t>
      </w:r>
    </w:p>
    <w:p w:rsidR="00000000" w:rsidRPr="009B54F1" w:rsidP="009B54F1">
      <w:pPr>
        <w:pStyle w:val="BodyText"/>
      </w:pPr>
      <w:r w:rsidRPr="009B54F1">
        <w:t>Refer to Unit Descriptor</w:t>
      </w:r>
    </w:p>
    <w:p w:rsidR="00000000" w:rsidRPr="009B54F1" w:rsidP="009B54F1">
      <w:pPr>
        <w:pStyle w:val="AllowPageBreak"/>
      </w:pPr>
    </w:p>
    <w:p w:rsidR="00000000" w:rsidRPr="009B54F1" w:rsidP="009B54F1">
      <w:pPr>
        <w:pStyle w:val="Heading1"/>
      </w:pPr>
      <w:bookmarkStart w:id="5" w:name="O_284592"/>
      <w:bookmarkEnd w:id="5"/>
      <w:r w:rsidRPr="009B54F1">
        <w:t>Pre-Requisites</w:t>
      </w:r>
    </w:p>
    <w:p w:rsidR="00000000" w:rsidRPr="009B54F1" w:rsidP="009B54F1">
      <w:pPr>
        <w:pStyle w:val="BodyText"/>
      </w:pPr>
      <w:r w:rsidRPr="009B54F1">
        <w:t>Not Applicable</w:t>
      </w:r>
    </w:p>
    <w:p w:rsidR="00000000" w:rsidRPr="009B54F1" w:rsidP="009B54F1">
      <w:pPr>
        <w:pStyle w:val="AllowPageBreak"/>
      </w:pPr>
    </w:p>
    <w:p w:rsidR="00000000" w:rsidRPr="009B54F1" w:rsidP="009B54F1">
      <w:pPr>
        <w:pStyle w:val="Heading1"/>
      </w:pPr>
      <w:bookmarkStart w:id="6" w:name="O_222603"/>
      <w:bookmarkEnd w:id="6"/>
      <w:r w:rsidRPr="009B54F1">
        <w:t>Employability Skills Information</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BodyText"/>
            </w:pPr>
            <w:r w:rsidRPr="009B54F1">
              <w:t>This unit contains employability skills.</w:t>
            </w:r>
          </w:p>
        </w:tc>
      </w:tr>
    </w:tbl>
    <w:p w:rsidR="002A7F99" w:rsidP="009B54F1">
      <w:pPr>
        <w:pStyle w:val="BodyText"/>
      </w:pPr>
    </w:p>
    <w:p w:rsidR="002A7F99" w:rsidP="009B54F1">
      <w:pPr>
        <w:pStyle w:val="BodyText"/>
      </w:pPr>
    </w:p>
    <w:p w:rsidR="00000000" w:rsidRPr="009B54F1" w:rsidP="009B54F1">
      <w:pPr>
        <w:pStyle w:val="Heading1"/>
      </w:pPr>
      <w:bookmarkStart w:id="7" w:name="O_291928"/>
      <w:bookmarkEnd w:id="7"/>
      <w:r w:rsidRPr="009B54F1">
        <w:t>Elements and Performance Criteria Pre-Content</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BodyText"/>
            </w:pPr>
            <w:r w:rsidRPr="009B54F1">
              <w:t>Performance criteria describe the required performance needed to demonstrate achievement of the element. Assessment of performance is to be consistent with the evidence guide.</w:t>
            </w:r>
          </w:p>
        </w:tc>
      </w:tr>
    </w:tbl>
    <w:p w:rsidR="00000000" w:rsidRPr="009B54F1" w:rsidP="009B54F1">
      <w:pPr>
        <w:pStyle w:val="BodyText"/>
      </w:pPr>
    </w:p>
    <w:p w:rsidR="00000000" w:rsidRPr="009B54F1" w:rsidP="009B54F1">
      <w:pPr>
        <w:pStyle w:val="AllowPageBreak"/>
      </w:pPr>
    </w:p>
    <w:p w:rsidR="00000000" w:rsidRPr="009B54F1" w:rsidP="009B54F1">
      <w:pPr>
        <w:pStyle w:val="Heading1"/>
      </w:pPr>
      <w:bookmarkStart w:id="8" w:name="O_238596"/>
      <w:bookmarkEnd w:id="8"/>
      <w:r w:rsidRPr="009B54F1">
        <w:t>Elements and Performance Criteria</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B54F1" w:rsidP="009B54F1">
            <w:pPr>
              <w:pStyle w:val="List"/>
            </w:pPr>
            <w:r w:rsidRPr="009B54F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B54F1">
            <w:pPr>
              <w:pStyle w:val="List"/>
              <w:rPr>
                <w:lang w:val="en-NZ"/>
              </w:rPr>
            </w:pPr>
            <w:r w:rsidRPr="009B54F1">
              <w:rPr>
                <w:rStyle w:val="SpecialBold"/>
              </w:rPr>
              <w:t>PERFORMANCE CRITERI</w:t>
            </w:r>
            <w:r w:rsidRPr="009B54F1">
              <w:rPr>
                <w:rStyle w:val="SpecialBold"/>
              </w:rPr>
              <w:t>A</w:t>
            </w:r>
          </w:p>
        </w:tc>
      </w:tr>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List"/>
              <w:rPr>
                <w:lang w:val="en-NZ"/>
              </w:rPr>
            </w:pPr>
            <w:r w:rsidRPr="009B54F1">
              <w:rPr>
                <w:rStyle w:val="SpecialBold"/>
              </w:rPr>
              <w:t>1</w:t>
            </w:r>
            <w:r w:rsidRPr="009B54F1">
              <w:tab/>
            </w:r>
            <w:r w:rsidRPr="009B54F1">
              <w:rPr>
                <w:rStyle w:val="SpecialBold"/>
              </w:rPr>
              <w:t>Prepare for load transfer</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List"/>
            </w:pPr>
            <w:r w:rsidRPr="009B54F1">
              <w:t>1.1</w:t>
            </w:r>
            <w:r w:rsidRPr="009B54F1">
              <w:tab/>
              <w:t>Load characteristics are identified to determine any special handling or equipment requirements</w:t>
            </w:r>
          </w:p>
          <w:p w:rsidR="00000000" w:rsidRPr="009B54F1" w:rsidP="009B54F1">
            <w:pPr>
              <w:pStyle w:val="List"/>
            </w:pPr>
            <w:r w:rsidRPr="009B54F1">
              <w:t>1.2</w:t>
            </w:r>
            <w:r w:rsidRPr="009B54F1">
              <w:tab/>
              <w:t>Location of load in yard and following transfer method is determined</w:t>
            </w:r>
          </w:p>
          <w:p w:rsidR="00000000" w:rsidRPr="009B54F1" w:rsidP="009B54F1">
            <w:pPr>
              <w:pStyle w:val="List"/>
            </w:pPr>
            <w:r w:rsidRPr="009B54F1">
              <w:t>1.3</w:t>
            </w:r>
            <w:r w:rsidRPr="009B54F1">
              <w:tab/>
            </w:r>
            <w:r w:rsidRPr="009B54F1">
              <w:t>Pathway for load transfer is established consistent with workplace procedures noting obstacles and any particular safety precautions</w:t>
            </w:r>
          </w:p>
          <w:p w:rsidR="00000000" w:rsidRPr="009B54F1" w:rsidP="009B54F1">
            <w:pPr>
              <w:pStyle w:val="List"/>
            </w:pPr>
            <w:r w:rsidRPr="009B54F1">
              <w:t>1.4</w:t>
            </w:r>
            <w:r w:rsidRPr="009B54F1">
              <w:tab/>
              <w:t>Working area is prepared in accordance with the national standards, safety codes, and site operating procedures</w:t>
            </w:r>
          </w:p>
          <w:p w:rsidR="00000000" w:rsidRPr="009B54F1" w:rsidP="009B54F1">
            <w:pPr>
              <w:pStyle w:val="List"/>
            </w:pPr>
            <w:r w:rsidRPr="009B54F1">
              <w:t>1.5</w:t>
            </w:r>
            <w:r w:rsidRPr="009B54F1">
              <w:tab/>
              <w:t>Per</w:t>
            </w:r>
            <w:r w:rsidRPr="009B54F1">
              <w:t>sonal protective equipment and other safety equipment is assembled</w:t>
            </w:r>
          </w:p>
          <w:p w:rsidR="00000000" w:rsidRPr="009B54F1" w:rsidP="009B54F1">
            <w:pPr>
              <w:pStyle w:val="List"/>
            </w:pPr>
            <w:r w:rsidRPr="009B54F1">
              <w:t>1.6</w:t>
            </w:r>
            <w:r w:rsidRPr="009B54F1">
              <w:tab/>
              <w:t>The Safe Working Load (SWL) or Working Load Limit (WLL) is calculated using formulae for the particular type of lifting equipment</w:t>
            </w:r>
          </w:p>
          <w:p w:rsidR="00000000" w:rsidRPr="009B54F1" w:rsidP="009B54F1">
            <w:pPr>
              <w:pStyle w:val="List"/>
            </w:pPr>
            <w:r w:rsidRPr="009B54F1">
              <w:t>1.7</w:t>
            </w:r>
            <w:r w:rsidRPr="009B54F1">
              <w:tab/>
              <w:t>Lifting equipment is checked to determine safe work</w:t>
            </w:r>
            <w:r w:rsidRPr="009B54F1">
              <w:t>ing order for the transfer</w:t>
            </w:r>
          </w:p>
          <w:p w:rsidR="00000000" w:rsidP="009B54F1">
            <w:pPr>
              <w:pStyle w:val="List"/>
              <w:rPr>
                <w:lang w:val="en-NZ"/>
              </w:rPr>
            </w:pPr>
            <w:r w:rsidRPr="009B54F1">
              <w:t>1.8</w:t>
            </w:r>
            <w:r w:rsidRPr="009B54F1">
              <w:tab/>
              <w:t>Unsafe equipment is reported to appropriate personnel</w:t>
            </w:r>
          </w:p>
        </w:tc>
      </w:tr>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List"/>
              <w:rPr>
                <w:lang w:val="en-NZ"/>
              </w:rPr>
            </w:pPr>
            <w:r w:rsidRPr="009B54F1">
              <w:rPr>
                <w:rStyle w:val="SpecialBold"/>
              </w:rPr>
              <w:t>2</w:t>
            </w:r>
            <w:r w:rsidRPr="009B54F1">
              <w:tab/>
            </w:r>
            <w:r w:rsidRPr="009B54F1">
              <w:rPr>
                <w:rStyle w:val="SpecialBold"/>
              </w:rPr>
              <w:t>Transfer cargo</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List"/>
            </w:pPr>
            <w:r w:rsidRPr="009B54F1">
              <w:t>2.1</w:t>
            </w:r>
            <w:r w:rsidRPr="009B54F1">
              <w:tab/>
              <w:t>Cargo is steadied and secured using appropriate devices</w:t>
            </w:r>
          </w:p>
          <w:p w:rsidR="00000000" w:rsidRPr="009B54F1" w:rsidP="009B54F1">
            <w:pPr>
              <w:pStyle w:val="List"/>
            </w:pPr>
            <w:r w:rsidRPr="009B54F1">
              <w:t>2.2</w:t>
            </w:r>
            <w:r w:rsidRPr="009B54F1">
              <w:tab/>
              <w:t>Load is lifted and shifted safely following national standards, safety codes and site ope</w:t>
            </w:r>
            <w:r w:rsidRPr="009B54F1">
              <w:t>rating procedures</w:t>
            </w:r>
          </w:p>
          <w:p w:rsidR="00000000" w:rsidP="009B54F1">
            <w:pPr>
              <w:pStyle w:val="List"/>
              <w:rPr>
                <w:lang w:val="en-NZ"/>
              </w:rPr>
            </w:pPr>
            <w:r w:rsidRPr="009B54F1">
              <w:t>2.3</w:t>
            </w:r>
            <w:r w:rsidRPr="009B54F1">
              <w:tab/>
              <w:t>Load is transferred and set down ensuring no injury to personnel or damage to machinery or cargo</w:t>
            </w:r>
          </w:p>
        </w:tc>
      </w:tr>
      <w:tr w:rsidTr="002A7F9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54F1">
            <w:pPr>
              <w:pStyle w:val="List"/>
              <w:rPr>
                <w:lang w:val="en-NZ"/>
              </w:rPr>
            </w:pPr>
            <w:r w:rsidRPr="009B54F1">
              <w:rPr>
                <w:rStyle w:val="SpecialBold"/>
              </w:rPr>
              <w:t>3</w:t>
            </w:r>
            <w:r w:rsidRPr="009B54F1">
              <w:tab/>
            </w:r>
            <w:r w:rsidRPr="009B54F1">
              <w:rPr>
                <w:rStyle w:val="SpecialBold"/>
              </w:rPr>
              <w:t>Complete transfer</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List"/>
            </w:pPr>
            <w:r w:rsidRPr="009B54F1">
              <w:t>3.1</w:t>
            </w:r>
            <w:r w:rsidRPr="009B54F1">
              <w:tab/>
              <w:t>Securing arrangements are released from load ensuring no injury to personnel or damage to machinery or cargo</w:t>
            </w:r>
          </w:p>
          <w:p w:rsidR="00000000" w:rsidRPr="009B54F1" w:rsidP="009B54F1">
            <w:pPr>
              <w:pStyle w:val="List"/>
            </w:pPr>
            <w:r w:rsidRPr="009B54F1">
              <w:t>3.2</w:t>
            </w:r>
            <w:r w:rsidRPr="009B54F1">
              <w:tab/>
              <w:t>Relevant documentation is completed including reporting of damaged cargo in accordance with workplace reporting requirements</w:t>
            </w:r>
          </w:p>
          <w:p w:rsidR="00000000" w:rsidRPr="009B54F1" w:rsidP="009B54F1">
            <w:pPr>
              <w:pStyle w:val="List"/>
            </w:pPr>
            <w:r w:rsidRPr="009B54F1">
              <w:t>3.3</w:t>
            </w:r>
            <w:r w:rsidRPr="009B54F1">
              <w:tab/>
              <w:t>Equipment is returned to store and work area returned to normal working condition</w:t>
            </w:r>
          </w:p>
        </w:tc>
      </w:tr>
    </w:tbl>
    <w:p w:rsidR="002A7F99" w:rsidP="009B54F1">
      <w:pPr>
        <w:pStyle w:val="BodyText"/>
      </w:pPr>
    </w:p>
    <w:p w:rsidR="002A7F99" w:rsidP="009B54F1">
      <w:pPr>
        <w:pStyle w:val="BodyText"/>
      </w:pPr>
    </w:p>
    <w:p w:rsidR="00000000" w:rsidRPr="009B54F1" w:rsidP="009B54F1">
      <w:pPr>
        <w:pStyle w:val="Heading1"/>
      </w:pPr>
      <w:bookmarkStart w:id="9" w:name="O_262387"/>
      <w:bookmarkEnd w:id="9"/>
      <w:r w:rsidRPr="009B54F1">
        <w:t>Required Skills and Kn</w:t>
      </w:r>
      <w:r w:rsidRPr="009B54F1">
        <w:t>owledge</w:t>
      </w:r>
    </w:p>
    <w:tbl>
      <w:tblPr>
        <w:tblW w:w="9640" w:type="dxa"/>
        <w:tblLayout w:type="fixed"/>
        <w:tblCellMar>
          <w:left w:w="62" w:type="dxa"/>
          <w:right w:w="62" w:type="dxa"/>
        </w:tblCellMar>
        <w:tblLook w:val="0000"/>
      </w:tblPr>
      <w:tblGrid>
        <w:gridCol w:w="9640"/>
      </w:tblGrid>
      <w:tr w:rsidTr="002A7F9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REQUIRED KNOWLEDGE AND SKILLS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This describes the essential knowledge and skills and their level required for this unit.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Required knowledge</w:t>
            </w:r>
            <w:r w:rsidRPr="009B54F1">
              <w: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 xml:space="preserve">Australian and international codes and regulations relevant to the transfer of cargo/freight </w:t>
            </w:r>
            <w:r w:rsidRPr="009B54F1">
              <w:t>including the Australian and International Dangerous Goods Codes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Relevant OH&amp;S and environmental protection procedures and guidelines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Workplace procedures and policies for the transfer of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Focus of operation of work systems, equipmen</w:t>
            </w:r>
            <w:r w:rsidRPr="009B54F1">
              <w:t>t, management and site operating systems for the transfer of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Problems that may occur when transferring cargo/freight and appropriate action that can be taken to resolve the problems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Relevant handling and safety codes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Types of equipment used to transfer loads in terminals/wharves, their applications and procedures and precautions for their use</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Requirements for Safe Working Load (SWL) and Working Load Limit (WLL) of load shifting equipment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The marking and numbering s</w:t>
            </w:r>
            <w:r w:rsidRPr="009B54F1">
              <w:t>ystems for cargo</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Relevant bond, quarantine or other legislative requirements</w:t>
            </w:r>
          </w:p>
        </w:tc>
      </w:tr>
    </w:tbl>
    <w:p w:rsidR="00000000" w:rsidRPr="009B54F1" w:rsidP="009B54F1">
      <w:pPr>
        <w:pStyle w:val="BodyText"/>
      </w:pPr>
    </w:p>
    <w:tbl>
      <w:tblPr>
        <w:tblW w:w="9640" w:type="dxa"/>
        <w:tblLayout w:type="fixed"/>
        <w:tblCellMar>
          <w:left w:w="62" w:type="dxa"/>
          <w:right w:w="62" w:type="dxa"/>
        </w:tblCellMar>
        <w:tblLook w:val="0000"/>
      </w:tblPr>
      <w:tblGrid>
        <w:gridCol w:w="9640"/>
      </w:tblGrid>
      <w:tr w:rsidTr="002A7F9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Required skills</w:t>
            </w:r>
            <w:r w:rsidRPr="009B54F1">
              <w: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Communicate effectively with others 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Read and interpret instructions, procedures, informa</w:t>
            </w:r>
            <w:r w:rsidRPr="009B54F1">
              <w:t>tion and signs relevant to the transfer of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Interpret and follow operational instructions and prioritise work 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Complete documentation related to work activities 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R</w:t>
            </w:r>
            <w:r w:rsidRPr="009B54F1">
              <w:t>eceive, acknowledge and send messages with communications equipment whilst operating load transfer equipment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Work collaboratively with otherswhen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Adapt appropriately to cultural differences in the workplace, including modes of behaviour and interactions with others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 xml:space="preserve">Promptly report and/or rectify any identified problems, faults or malfunctions when transferring cargo and freight in accordance with </w:t>
            </w:r>
            <w:r w:rsidRPr="009B54F1">
              <w:t>regulatory requirements and workplace procedures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Implement contingency plans for unplanned events that may occur 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Apply precautions and required action to minimise, control or eliminate hazards that may exist during w</w:t>
            </w:r>
            <w:r w:rsidRPr="009B54F1">
              <w:t>ork activities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Monitor work activities in terms of planned schedule</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Modify activities depending on differing operational contingencies, risk situations and environments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Apply fatigue management knowledge and techniques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Work systematically with requ</w:t>
            </w:r>
            <w:r w:rsidRPr="009B54F1">
              <w:t>ired attention to detail without injury to self or others, or damage to goods or equipment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Operate and adapt to differences in equipment in accordance with standard operating procedures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Select and use required personal protective equipment conformin</w:t>
            </w:r>
            <w:r w:rsidRPr="009B54F1">
              <w:t>g to industry and OH&amp;S standards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Monitor performance of load transfer equipment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Conduct checks on equipment used when transferring cargo and freight in terms of service schedule and standard operating procedures</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Identify, select and use relevant equi</w:t>
            </w:r>
            <w:r w:rsidRPr="009B54F1">
              <w:t>pment, processes and procedures when transferring cargo and freight</w:t>
            </w:r>
          </w:p>
        </w:tc>
      </w:tr>
      <w:tr w:rsidTr="002A7F9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Estimate the size, shape and special requirements of loads</w:t>
            </w:r>
          </w:p>
        </w:tc>
      </w:tr>
    </w:tbl>
    <w:p w:rsidR="002A7F99" w:rsidP="009B54F1">
      <w:pPr>
        <w:pStyle w:val="BodyText"/>
      </w:pPr>
    </w:p>
    <w:p w:rsidR="002A7F99" w:rsidP="009B54F1">
      <w:pPr>
        <w:pStyle w:val="BodyText"/>
      </w:pPr>
    </w:p>
    <w:p w:rsidR="00000000" w:rsidRPr="009B54F1" w:rsidP="009B54F1">
      <w:pPr>
        <w:pStyle w:val="Heading1"/>
      </w:pPr>
      <w:bookmarkStart w:id="10" w:name="O_246580"/>
      <w:bookmarkEnd w:id="10"/>
      <w:r w:rsidRPr="009B54F1">
        <w:t>Evidence Guide</w:t>
      </w:r>
    </w:p>
    <w:tbl>
      <w:tblPr>
        <w:tblW w:w="9499" w:type="dxa"/>
        <w:tblLayout w:type="fixed"/>
        <w:tblCellMar>
          <w:left w:w="62" w:type="dxa"/>
          <w:right w:w="62" w:type="dxa"/>
        </w:tblCellMar>
        <w:tblLook w:val="0000"/>
      </w:tblPr>
      <w:tblGrid>
        <w:gridCol w:w="3524"/>
        <w:gridCol w:w="5975"/>
      </w:tblGrid>
      <w:tr w:rsidTr="002A7F9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EVIDENCE GUIDE</w:t>
            </w:r>
          </w:p>
        </w:tc>
      </w:tr>
      <w:tr w:rsidTr="002A7F9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The evidence guide provides advice on assessment and must be read in conjunction with the performance criteria, required knowledge and skills, the range statement and the assessment guidelines for this Training Package.</w:t>
            </w:r>
          </w:p>
        </w:tc>
      </w:tr>
      <w:tr w:rsidTr="002A7F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Critical aspects for assessment an</w:t>
            </w:r>
            <w:r w:rsidRPr="009B54F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The evidence required to demonstrate competency in this unit must be relevant to and satisfy all of the requirements of the elements and performance criteria of this unit and include demonstration</w:t>
            </w:r>
            <w:r w:rsidRPr="009B54F1">
              <w:t xml:space="preserve"> of applying:</w:t>
            </w:r>
          </w:p>
          <w:p w:rsidR="00000000" w:rsidRPr="009B54F1" w:rsidP="009B54F1">
            <w:pPr>
              <w:pStyle w:val="ListBullet2"/>
            </w:pPr>
            <w:r w:rsidRPr="009B54F1">
              <w:t>the underpinning knowledge and skills</w:t>
            </w:r>
          </w:p>
          <w:p w:rsidR="00000000" w:rsidRPr="009B54F1" w:rsidP="009B54F1">
            <w:pPr>
              <w:pStyle w:val="ListBullet2"/>
            </w:pPr>
            <w:r w:rsidRPr="009B54F1">
              <w:t>relevant legislation and workplace procedures</w:t>
            </w:r>
          </w:p>
          <w:p w:rsidR="00000000" w:rsidP="009B54F1">
            <w:pPr>
              <w:pStyle w:val="ListBullet2"/>
              <w:rPr>
                <w:lang w:val="en-NZ"/>
              </w:rPr>
            </w:pPr>
            <w:r w:rsidRPr="009B54F1">
              <w:t>other relevant aspects of the range statement</w:t>
            </w:r>
          </w:p>
        </w:tc>
      </w:tr>
      <w:tr w:rsidTr="002A7F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Performance is demonstrated consistently over a period of time and in a suitable range of contexts</w:t>
            </w:r>
          </w:p>
          <w:p w:rsidR="00000000" w:rsidRPr="009B54F1" w:rsidP="009B54F1">
            <w:pPr>
              <w:pStyle w:val="ListBullet"/>
            </w:pPr>
            <w:r w:rsidRPr="009B54F1">
              <w:t>Resources for assessment include:</w:t>
            </w:r>
          </w:p>
          <w:p w:rsidR="00000000" w:rsidRPr="009B54F1" w:rsidP="009B54F1">
            <w:pPr>
              <w:pStyle w:val="ListBullet2"/>
            </w:pPr>
            <w:r w:rsidRPr="009B54F1">
              <w:t>a range of relevant exercises, case studies and/or other simulated practical and knowledge assessment, and/or</w:t>
            </w:r>
          </w:p>
          <w:p w:rsidR="00000000" w:rsidRPr="009B54F1" w:rsidP="009B54F1">
            <w:pPr>
              <w:pStyle w:val="ListBullet2"/>
            </w:pPr>
            <w:r w:rsidRPr="009B54F1">
              <w:t>access to an appropriate range of relevant operational situations in the workplace</w:t>
            </w:r>
          </w:p>
          <w:p w:rsidR="00000000" w:rsidRPr="009B54F1" w:rsidP="009B54F1">
            <w:pPr>
              <w:pStyle w:val="ListBullet"/>
            </w:pPr>
            <w:r w:rsidRPr="009B54F1">
              <w:t>In both real and simulated environments, access is required to:</w:t>
            </w:r>
          </w:p>
          <w:p w:rsidR="00000000" w:rsidRPr="009B54F1" w:rsidP="009B54F1">
            <w:pPr>
              <w:pStyle w:val="ListBullet2"/>
            </w:pPr>
            <w:r w:rsidRPr="009B54F1">
              <w:t>relevant and appropriate materials and equipment, and</w:t>
            </w:r>
          </w:p>
          <w:p w:rsidR="00000000" w:rsidP="009B54F1">
            <w:pPr>
              <w:pStyle w:val="ListBullet2"/>
              <w:rPr>
                <w:lang w:val="en-NZ"/>
              </w:rPr>
            </w:pPr>
            <w:r w:rsidRPr="009B54F1">
              <w:t>applicable documentation including workplace procedur</w:t>
            </w:r>
            <w:r w:rsidRPr="009B54F1">
              <w:t>es, regulations, codes of practice and operation manuals</w:t>
            </w:r>
          </w:p>
        </w:tc>
      </w:tr>
      <w:tr w:rsidTr="002A7F9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Assessment of this unit must be undertaken by a registered training organisation</w:t>
            </w:r>
          </w:p>
          <w:p w:rsidR="00000000" w:rsidRPr="009B54F1" w:rsidP="009B54F1">
            <w:pPr>
              <w:pStyle w:val="ListBullet"/>
            </w:pPr>
            <w:r w:rsidRPr="009B54F1">
              <w:t>As a minimum, assessment of knowledge must be conducted through appropriate written/oral tests</w:t>
            </w:r>
          </w:p>
          <w:p w:rsidR="00000000" w:rsidRPr="009B54F1" w:rsidP="009B54F1">
            <w:pPr>
              <w:pStyle w:val="ListBullet"/>
            </w:pPr>
            <w:r w:rsidRPr="009B54F1">
              <w:t>Practical assessment must occur:</w:t>
            </w:r>
          </w:p>
          <w:p w:rsidR="00000000" w:rsidRPr="009B54F1" w:rsidP="009B54F1">
            <w:pPr>
              <w:pStyle w:val="ListBullet2"/>
            </w:pPr>
            <w:r w:rsidRPr="009B54F1">
              <w:t>through activities in an appropriately simulated environment at the registered training organisation, and/or</w:t>
            </w:r>
          </w:p>
          <w:p w:rsidR="00000000" w:rsidRPr="009B54F1" w:rsidP="009B54F1">
            <w:pPr>
              <w:pStyle w:val="ListBullet2"/>
            </w:pPr>
            <w:r w:rsidRPr="009B54F1">
              <w:t>in an appropriate range of situations in the workplace</w:t>
            </w:r>
          </w:p>
        </w:tc>
      </w:tr>
    </w:tbl>
    <w:p w:rsidR="002A7F99" w:rsidP="009B54F1">
      <w:pPr>
        <w:pStyle w:val="BodyText"/>
      </w:pPr>
    </w:p>
    <w:p w:rsidR="002A7F99" w:rsidP="009B54F1">
      <w:pPr>
        <w:pStyle w:val="BodyText"/>
      </w:pPr>
    </w:p>
    <w:p w:rsidR="00000000" w:rsidRPr="009B54F1" w:rsidP="009B54F1">
      <w:pPr>
        <w:pStyle w:val="Heading1"/>
      </w:pPr>
      <w:bookmarkStart w:id="11" w:name="O_254563"/>
      <w:bookmarkEnd w:id="11"/>
      <w:r w:rsidRPr="009B54F1">
        <w:t>Range Statement</w:t>
      </w:r>
    </w:p>
    <w:tbl>
      <w:tblPr>
        <w:tblW w:w="9640" w:type="dxa"/>
        <w:tblLayout w:type="fixed"/>
        <w:tblCellMar>
          <w:left w:w="62" w:type="dxa"/>
          <w:right w:w="62" w:type="dxa"/>
        </w:tblCellMar>
        <w:tblLook w:val="0000"/>
      </w:tblPr>
      <w:tblGrid>
        <w:gridCol w:w="3486"/>
        <w:gridCol w:w="6154"/>
      </w:tblGrid>
      <w:tr w:rsidTr="002A7F9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RANGE STATEMENT</w:t>
            </w:r>
            <w:r w:rsidRPr="009B54F1">
              <w:t xml:space="preserve"> </w:t>
            </w:r>
          </w:p>
        </w:tc>
      </w:tr>
      <w:tr w:rsidTr="002A7F9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The range statement relates to the unit of competency as a whole. It allows for different work environments and situations that may affect performance.</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a range of work environments</w:t>
            </w:r>
          </w:p>
          <w:p w:rsidR="00000000" w:rsidP="009B54F1">
            <w:pPr>
              <w:pStyle w:val="ListBullet"/>
              <w:rPr>
                <w:lang w:val="en-NZ"/>
              </w:rPr>
            </w:pPr>
            <w:r w:rsidRPr="009B54F1">
              <w:t>by day or night</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Customers may be:</w:t>
            </w:r>
          </w:p>
        </w:tc>
        <w:tc>
          <w:tcPr>
            <w:tcW w:w="6154"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internal or external</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Workplaces may comprise:</w:t>
            </w:r>
          </w:p>
        </w:tc>
        <w:tc>
          <w:tcPr>
            <w:tcW w:w="6154"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large, medium or small worksites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limited or restricted spaces</w:t>
            </w:r>
          </w:p>
          <w:p w:rsidR="00000000" w:rsidRPr="009B54F1" w:rsidP="009B54F1">
            <w:pPr>
              <w:pStyle w:val="ListBullet"/>
            </w:pPr>
            <w:r w:rsidRPr="009B54F1">
              <w:t>exposed conditions</w:t>
            </w:r>
          </w:p>
          <w:p w:rsidR="00000000" w:rsidP="009B54F1">
            <w:pPr>
              <w:pStyle w:val="ListBullet"/>
              <w:rPr>
                <w:lang w:val="en-NZ"/>
              </w:rPr>
            </w:pPr>
            <w:r w:rsidRPr="009B54F1">
              <w:t>controlled or open environments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Cargo/freight may include:</w:t>
            </w:r>
          </w:p>
        </w:tc>
        <w:tc>
          <w:tcPr>
            <w:tcW w:w="6154"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goods with specialist requirements, including temperature controlled goods and dangerous goods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Equipment may include:</w:t>
            </w:r>
          </w:p>
        </w:tc>
        <w:tc>
          <w:tcPr>
            <w:tcW w:w="6154" w:type="dxa"/>
            <w:tcBorders>
              <w:top w:val="nil"/>
              <w:left w:val="nil"/>
              <w:bottom w:val="nil"/>
              <w:right w:val="nil"/>
            </w:tcBorders>
            <w:tcMar>
              <w:top w:w="0" w:type="dxa"/>
              <w:left w:w="62" w:type="dxa"/>
              <w:bottom w:w="0" w:type="dxa"/>
              <w:right w:w="62" w:type="dxa"/>
            </w:tcMar>
          </w:tcPr>
          <w:p w:rsidR="00000000" w:rsidP="009B54F1">
            <w:pPr>
              <w:pStyle w:val="ListBullet"/>
              <w:rPr>
                <w:lang w:val="en-NZ"/>
              </w:rPr>
            </w:pPr>
            <w:r w:rsidRPr="009B54F1">
              <w:t>appropriate load shifting equipment normally in use at a terminal or wharf (but does not include gantry equipment, boom cranes, dozers o</w:t>
            </w:r>
            <w:r w:rsidRPr="009B54F1">
              <w:t>r specialised load shifting equipment which are covered by separate competency units)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chemicals</w:t>
            </w:r>
          </w:p>
          <w:p w:rsidR="00000000" w:rsidRPr="009B54F1" w:rsidP="009B54F1">
            <w:pPr>
              <w:pStyle w:val="ListBullet"/>
            </w:pPr>
            <w:r w:rsidRPr="009B54F1">
              <w:t>dangerous or hazardous substances</w:t>
            </w:r>
          </w:p>
          <w:p w:rsidR="00000000" w:rsidP="009B54F1">
            <w:pPr>
              <w:pStyle w:val="ListBullet"/>
              <w:rPr>
                <w:lang w:val="en-NZ"/>
              </w:rPr>
            </w:pPr>
            <w:r w:rsidRPr="009B54F1">
              <w:t>movements of equipment, goods, materials and vehicular traffic</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gloves</w:t>
            </w:r>
          </w:p>
          <w:p w:rsidR="00000000" w:rsidRPr="009B54F1" w:rsidP="009B54F1">
            <w:pPr>
              <w:pStyle w:val="ListBullet"/>
            </w:pPr>
            <w:r w:rsidRPr="009B54F1">
              <w:t>safety headwear and footwear</w:t>
            </w:r>
          </w:p>
          <w:p w:rsidR="00000000" w:rsidRPr="009B54F1" w:rsidP="009B54F1">
            <w:pPr>
              <w:pStyle w:val="ListBullet"/>
            </w:pPr>
            <w:r w:rsidRPr="009B54F1">
              <w:t>safety glasses</w:t>
            </w:r>
          </w:p>
          <w:p w:rsidR="00000000" w:rsidRPr="009B54F1" w:rsidP="009B54F1">
            <w:pPr>
              <w:pStyle w:val="ListBullet"/>
            </w:pPr>
            <w:r w:rsidRPr="009B54F1">
              <w:t>two-way radios</w:t>
            </w:r>
          </w:p>
          <w:p w:rsidR="00000000" w:rsidRPr="009B54F1" w:rsidP="009B54F1">
            <w:pPr>
              <w:pStyle w:val="ListBullet"/>
            </w:pPr>
            <w:r w:rsidRPr="009B54F1">
              <w:t>protective clothing</w:t>
            </w:r>
          </w:p>
          <w:p w:rsidR="00000000" w:rsidP="009B54F1">
            <w:pPr>
              <w:pStyle w:val="ListBullet"/>
              <w:rPr>
                <w:lang w:val="en-NZ"/>
              </w:rPr>
            </w:pPr>
            <w:r w:rsidRPr="009B54F1">
              <w:t>high visibility clothing</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phone</w:t>
            </w:r>
          </w:p>
          <w:p w:rsidR="00000000" w:rsidRPr="009B54F1" w:rsidP="009B54F1">
            <w:pPr>
              <w:pStyle w:val="ListBullet"/>
            </w:pPr>
            <w:r w:rsidRPr="009B54F1">
              <w:t>fax</w:t>
            </w:r>
          </w:p>
          <w:p w:rsidR="00000000" w:rsidRPr="009B54F1" w:rsidP="009B54F1">
            <w:pPr>
              <w:pStyle w:val="ListBullet"/>
            </w:pPr>
            <w:r w:rsidRPr="009B54F1">
              <w:t>email</w:t>
            </w:r>
          </w:p>
          <w:p w:rsidR="00000000" w:rsidRPr="009B54F1" w:rsidP="009B54F1">
            <w:pPr>
              <w:pStyle w:val="ListBullet"/>
            </w:pPr>
            <w:r w:rsidRPr="009B54F1">
              <w:t>electronic data transfer (EDI)</w:t>
            </w:r>
          </w:p>
          <w:p w:rsidR="00000000" w:rsidRPr="009B54F1" w:rsidP="009B54F1">
            <w:pPr>
              <w:pStyle w:val="ListBullet"/>
            </w:pPr>
            <w:r w:rsidRPr="009B54F1">
              <w:t>RF systems</w:t>
            </w:r>
          </w:p>
          <w:p w:rsidR="00000000" w:rsidRPr="009B54F1" w:rsidP="009B54F1">
            <w:pPr>
              <w:pStyle w:val="ListBullet"/>
            </w:pPr>
            <w:r w:rsidRPr="009B54F1">
              <w:t>radio</w:t>
            </w:r>
          </w:p>
          <w:p w:rsidR="00000000" w:rsidP="009B54F1">
            <w:pPr>
              <w:pStyle w:val="ListBullet"/>
              <w:rPr>
                <w:lang w:val="en-NZ"/>
              </w:rPr>
            </w:pPr>
            <w:r w:rsidRPr="009B54F1">
              <w:t>oral, aural or signed communications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workplace personnel</w:t>
            </w:r>
          </w:p>
          <w:p w:rsidR="00000000" w:rsidRPr="009B54F1" w:rsidP="009B54F1">
            <w:pPr>
              <w:pStyle w:val="ListBullet"/>
            </w:pPr>
            <w:r w:rsidRPr="009B54F1">
              <w:t>site visitors</w:t>
            </w:r>
          </w:p>
          <w:p w:rsidR="00000000" w:rsidRPr="009B54F1" w:rsidP="009B54F1">
            <w:pPr>
              <w:pStyle w:val="ListBullet"/>
            </w:pPr>
            <w:r w:rsidRPr="009B54F1">
              <w:t>contractors</w:t>
            </w:r>
          </w:p>
          <w:p w:rsidR="00000000" w:rsidP="009B54F1">
            <w:pPr>
              <w:pStyle w:val="ListBullet"/>
              <w:rPr>
                <w:lang w:val="en-NZ"/>
              </w:rPr>
            </w:pPr>
            <w:r w:rsidRPr="009B54F1">
              <w:t>official representatives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Depending on the type of organisation concerned and the local terminology used, workplace pr</w:t>
            </w:r>
            <w:r w:rsidRPr="009B54F1">
              <w:t>ocedures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company procedures</w:t>
            </w:r>
          </w:p>
          <w:p w:rsidR="00000000" w:rsidRPr="009B54F1" w:rsidP="009B54F1">
            <w:pPr>
              <w:pStyle w:val="ListBullet"/>
            </w:pPr>
            <w:r w:rsidRPr="009B54F1">
              <w:t>enterprise procedures</w:t>
            </w:r>
          </w:p>
          <w:p w:rsidR="00000000" w:rsidRPr="009B54F1" w:rsidP="009B54F1">
            <w:pPr>
              <w:pStyle w:val="ListBullet"/>
            </w:pPr>
            <w:r w:rsidRPr="009B54F1">
              <w:t>organisational procedures</w:t>
            </w:r>
          </w:p>
          <w:p w:rsidR="00000000" w:rsidP="009B54F1">
            <w:pPr>
              <w:pStyle w:val="ListBullet"/>
              <w:rPr>
                <w:lang w:val="en-NZ"/>
              </w:rPr>
            </w:pPr>
            <w:r w:rsidRPr="009B54F1">
              <w:t>established procedures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goods identification numbers and codes</w:t>
            </w:r>
          </w:p>
          <w:p w:rsidR="00000000" w:rsidRPr="009B54F1" w:rsidP="009B54F1">
            <w:pPr>
              <w:pStyle w:val="ListBullet"/>
            </w:pPr>
            <w:r w:rsidRPr="009B54F1">
              <w:t>manifests, bar codes, and container identification/serial number</w:t>
            </w:r>
          </w:p>
          <w:p w:rsidR="00000000" w:rsidRPr="009B54F1" w:rsidP="009B54F1">
            <w:pPr>
              <w:pStyle w:val="ListBullet"/>
            </w:pPr>
            <w:r w:rsidRPr="009B54F1">
              <w:t>Australian and international codes of practice and regulations relevant to the transfer of cargo</w:t>
            </w:r>
          </w:p>
          <w:p w:rsidR="00000000" w:rsidRPr="009B54F1" w:rsidP="009B54F1">
            <w:pPr>
              <w:pStyle w:val="ListBullet"/>
            </w:pPr>
            <w:r w:rsidRPr="009B54F1">
              <w:t>Australian and international regulations and codes of practice for the handling and transport of dangerous goods and hazardous substances</w:t>
            </w:r>
          </w:p>
          <w:p w:rsidR="00000000" w:rsidRPr="009B54F1" w:rsidP="009B54F1">
            <w:pPr>
              <w:pStyle w:val="ListBullet"/>
            </w:pPr>
            <w:r w:rsidRPr="009B54F1">
              <w:t>operations manuals, j</w:t>
            </w:r>
            <w:r w:rsidRPr="009B54F1">
              <w:t>ob specifications and induction documentation</w:t>
            </w:r>
          </w:p>
          <w:p w:rsidR="00000000" w:rsidRPr="009B54F1" w:rsidP="009B54F1">
            <w:pPr>
              <w:pStyle w:val="ListBullet"/>
            </w:pPr>
            <w:r w:rsidRPr="009B54F1">
              <w:t>manufacturers specifications for equipment</w:t>
            </w:r>
          </w:p>
          <w:p w:rsidR="00000000" w:rsidRPr="009B54F1" w:rsidP="009B54F1">
            <w:pPr>
              <w:pStyle w:val="ListBullet"/>
            </w:pPr>
            <w:r w:rsidRPr="009B54F1">
              <w:t>workplace procedures and policies</w:t>
            </w:r>
          </w:p>
          <w:p w:rsidR="00000000" w:rsidRPr="009B54F1" w:rsidP="009B54F1">
            <w:pPr>
              <w:pStyle w:val="ListBullet"/>
            </w:pPr>
            <w:r w:rsidRPr="009B54F1">
              <w:t>supplier and/or client instructions</w:t>
            </w:r>
          </w:p>
          <w:p w:rsidR="00000000" w:rsidRPr="009B54F1" w:rsidP="009B54F1">
            <w:pPr>
              <w:pStyle w:val="ListBullet"/>
            </w:pPr>
            <w:r w:rsidRPr="009B54F1">
              <w:t>dangerous goods declarations and material safety data sheets (where applicable)</w:t>
            </w:r>
          </w:p>
          <w:p w:rsidR="00000000" w:rsidRPr="009B54F1" w:rsidP="009B54F1">
            <w:pPr>
              <w:pStyle w:val="ListBullet"/>
            </w:pPr>
            <w:r w:rsidRPr="009B54F1">
              <w:t>award, enterprise</w:t>
            </w:r>
            <w:r w:rsidRPr="009B54F1">
              <w:t xml:space="preserve"> bargaining agreement, other industrial arrangements</w:t>
            </w:r>
          </w:p>
          <w:p w:rsidR="00000000" w:rsidRPr="009B54F1" w:rsidP="009B54F1">
            <w:pPr>
              <w:pStyle w:val="ListBullet"/>
            </w:pPr>
            <w:r w:rsidRPr="009B54F1">
              <w:t>relevant Australian standards and certification requirements</w:t>
            </w:r>
          </w:p>
          <w:p w:rsidR="00000000" w:rsidRPr="009B54F1" w:rsidP="009B54F1">
            <w:pPr>
              <w:pStyle w:val="ListBullet"/>
            </w:pPr>
            <w:r w:rsidRPr="009B54F1">
              <w:t>quality assurance procedures</w:t>
            </w:r>
          </w:p>
          <w:p w:rsidR="00000000" w:rsidP="009B54F1">
            <w:pPr>
              <w:pStyle w:val="ListBullet"/>
              <w:rPr>
                <w:lang w:val="en-NZ"/>
              </w:rPr>
            </w:pPr>
            <w:r w:rsidRPr="009B54F1">
              <w:t>emergency procedures</w:t>
            </w:r>
          </w:p>
        </w:tc>
      </w:tr>
      <w:tr w:rsidTr="002A7F9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B54F1" w:rsidP="009B54F1">
            <w:pPr>
              <w:pStyle w:val="ListBullet"/>
            </w:pPr>
            <w:r w:rsidRPr="009B54F1">
              <w:t>relevant codes and regulations for the transfer of cargo/freight</w:t>
            </w:r>
          </w:p>
          <w:p w:rsidR="00000000" w:rsidRPr="009B54F1" w:rsidP="009B54F1">
            <w:pPr>
              <w:pStyle w:val="ListBullet"/>
            </w:pPr>
            <w:r w:rsidRPr="009B54F1">
              <w:t>Australian and international regulations and codes of practice for the handling and transport of dangerous goods and hazardous substances, including:</w:t>
            </w:r>
          </w:p>
          <w:p w:rsidR="00000000" w:rsidRPr="009B54F1" w:rsidP="009B54F1">
            <w:pPr>
              <w:pStyle w:val="ListBullet2"/>
            </w:pPr>
            <w:r w:rsidRPr="009B54F1">
              <w:t>Australian and International Dangerous G</w:t>
            </w:r>
            <w:r w:rsidRPr="009B54F1">
              <w:t>oods Codes</w:t>
            </w:r>
          </w:p>
          <w:p w:rsidR="00000000" w:rsidRPr="009B54F1" w:rsidP="009B54F1">
            <w:pPr>
              <w:pStyle w:val="ListBullet2"/>
            </w:pPr>
            <w:r w:rsidRPr="009B54F1">
              <w:t>Australian Marine Orders and the International Maritime Dangerous Goods Code</w:t>
            </w:r>
          </w:p>
          <w:p w:rsidR="00000000" w:rsidRPr="009B54F1" w:rsidP="009B54F1">
            <w:pPr>
              <w:pStyle w:val="ListBullet2"/>
            </w:pPr>
            <w:r w:rsidRPr="009B54F1">
              <w:t>IATA Dangerous Goods by Air regulations</w:t>
            </w:r>
          </w:p>
          <w:p w:rsidR="00000000" w:rsidRPr="009B54F1" w:rsidP="009B54F1">
            <w:pPr>
              <w:pStyle w:val="ListBullet2"/>
            </w:pPr>
            <w:r w:rsidRPr="009B54F1">
              <w:t>Australian and International Explosives Codes</w:t>
            </w:r>
          </w:p>
          <w:p w:rsidR="00000000" w:rsidRPr="009B54F1" w:rsidP="009B54F1">
            <w:pPr>
              <w:pStyle w:val="ListBullet"/>
            </w:pPr>
            <w:r w:rsidRPr="009B54F1">
              <w:t>licence, patent or copyright arrangements</w:t>
            </w:r>
          </w:p>
          <w:p w:rsidR="00000000" w:rsidRPr="009B54F1" w:rsidP="009B54F1">
            <w:pPr>
              <w:pStyle w:val="ListBullet"/>
            </w:pPr>
            <w:r w:rsidRPr="009B54F1">
              <w:t>water and road use and licence arrangements</w:t>
            </w:r>
          </w:p>
          <w:p w:rsidR="00000000" w:rsidRPr="009B54F1" w:rsidP="009B54F1">
            <w:pPr>
              <w:pStyle w:val="ListBullet"/>
            </w:pPr>
            <w:r w:rsidRPr="009B54F1">
              <w:t>export/import/quarantine/bond requirements</w:t>
            </w:r>
          </w:p>
          <w:p w:rsidR="00000000" w:rsidRPr="009B54F1" w:rsidP="009B54F1">
            <w:pPr>
              <w:pStyle w:val="ListBullet"/>
            </w:pPr>
            <w:r w:rsidRPr="009B54F1">
              <w:t>marine orders</w:t>
            </w:r>
          </w:p>
          <w:p w:rsidR="00000000" w:rsidRPr="009B54F1" w:rsidP="009B54F1">
            <w:pPr>
              <w:pStyle w:val="ListBullet"/>
            </w:pPr>
            <w:r w:rsidRPr="009B54F1">
              <w:t>relevant state/territory OH&amp;S and environmental protection legislation</w:t>
            </w:r>
          </w:p>
          <w:p w:rsidR="00000000" w:rsidRPr="009B54F1" w:rsidP="009B54F1">
            <w:pPr>
              <w:pStyle w:val="ListBullet"/>
            </w:pPr>
            <w:r w:rsidRPr="009B54F1">
              <w:t>workplace relations regulations</w:t>
            </w:r>
          </w:p>
          <w:p w:rsidR="00000000" w:rsidRPr="009B54F1" w:rsidP="009B54F1">
            <w:pPr>
              <w:pStyle w:val="ListBullet"/>
            </w:pPr>
            <w:r w:rsidRPr="009B54F1">
              <w:t>workers compensation regulations</w:t>
            </w:r>
          </w:p>
        </w:tc>
      </w:tr>
    </w:tbl>
    <w:p w:rsidR="002A7F99" w:rsidP="009B54F1">
      <w:pPr>
        <w:pStyle w:val="BodyText"/>
      </w:pPr>
    </w:p>
    <w:p w:rsidR="002A7F99" w:rsidP="009B54F1">
      <w:pPr>
        <w:pStyle w:val="BodyText"/>
      </w:pPr>
    </w:p>
    <w:p w:rsidR="00000000" w:rsidRPr="009B54F1" w:rsidP="009B54F1">
      <w:pPr>
        <w:pStyle w:val="Heading1"/>
      </w:pPr>
      <w:bookmarkStart w:id="12" w:name="O_295576"/>
      <w:bookmarkEnd w:id="12"/>
      <w:r w:rsidRPr="009B54F1">
        <w:t>Unit Sector(s)</w:t>
      </w:r>
    </w:p>
    <w:p w:rsidR="00000000" w:rsidRPr="009B54F1" w:rsidP="009B54F1">
      <w:pPr>
        <w:pStyle w:val="BodyText"/>
      </w:pPr>
      <w:r w:rsidRPr="009B54F1">
        <w:t>Not Applicable</w:t>
      </w:r>
    </w:p>
    <w:p w:rsidR="00000000" w:rsidRPr="009B54F1" w:rsidP="009B54F1">
      <w:pPr>
        <w:pStyle w:val="AllowPageBreak"/>
      </w:pPr>
    </w:p>
    <w:p w:rsidR="00000000" w:rsidRPr="009B54F1" w:rsidP="009B54F1">
      <w:pPr>
        <w:pStyle w:val="Heading1"/>
      </w:pPr>
      <w:bookmarkStart w:id="13" w:name="O_222605"/>
      <w:bookmarkEnd w:id="13"/>
      <w:r w:rsidRPr="009B54F1">
        <w:t>Competency Field</w:t>
      </w:r>
    </w:p>
    <w:tbl>
      <w:tblPr>
        <w:tblW w:w="9640" w:type="dxa"/>
        <w:tblLayout w:type="fixed"/>
        <w:tblCellMar>
          <w:left w:w="62" w:type="dxa"/>
          <w:right w:w="62" w:type="dxa"/>
        </w:tblCellMar>
        <w:tblLook w:val="0000"/>
      </w:tblPr>
      <w:tblGrid>
        <w:gridCol w:w="2978"/>
        <w:gridCol w:w="6662"/>
      </w:tblGrid>
      <w:tr w:rsidTr="002A7F9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B54F1">
            <w:pPr>
              <w:pStyle w:val="BodyText"/>
              <w:rPr>
                <w:lang w:val="en-NZ"/>
              </w:rPr>
            </w:pPr>
            <w:r w:rsidRPr="009B54F1">
              <w:rPr>
                <w:rStyle w:val="SpecialBold"/>
              </w:rPr>
              <w:t>Competency Field</w:t>
            </w:r>
            <w:r w:rsidRPr="009B54F1">
              <w:t xml:space="preserve"> </w:t>
            </w:r>
          </w:p>
        </w:tc>
        <w:tc>
          <w:tcPr>
            <w:tcW w:w="6662" w:type="dxa"/>
            <w:tcBorders>
              <w:top w:val="nil"/>
              <w:left w:val="nil"/>
              <w:bottom w:val="nil"/>
              <w:right w:val="nil"/>
            </w:tcBorders>
            <w:tcMar>
              <w:top w:w="0" w:type="dxa"/>
              <w:left w:w="62" w:type="dxa"/>
              <w:bottom w:w="0" w:type="dxa"/>
              <w:right w:w="62" w:type="dxa"/>
            </w:tcMar>
          </w:tcPr>
          <w:p w:rsidR="00000000" w:rsidRPr="009B54F1" w:rsidP="009B54F1">
            <w:pPr>
              <w:pStyle w:val="BodyText"/>
            </w:pPr>
            <w:r w:rsidRPr="009B54F1">
              <w:t>A - Handling Cargo/Stock</w:t>
            </w:r>
          </w:p>
        </w:tc>
      </w:tr>
    </w:tbl>
    <w:p w:rsidR="002A7F99" w:rsidP="009B54F1">
      <w:pPr>
        <w:pStyle w:val="BodyText"/>
      </w:pPr>
    </w:p>
    <w:p w:rsidR="002A7F99" w:rsidP="009B54F1">
      <w:pPr>
        <w:pStyle w:val="BodyText"/>
      </w:pPr>
    </w:p>
    <w:p w:rsidR="00000000" w:rsidRPr="009B54F1" w:rsidP="009B54F1"/>
    <w:sectPr w:rsidSect="009B5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F99" w:rsidP="002A7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99" w:rsidP="009B5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7F99" w:rsidP="009B54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A7F99" w:rsidP="009B54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F99" w:rsidP="002A7F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99" w:rsidP="009B54F1">
    <w:pPr>
      <w:pStyle w:val="Header"/>
      <w:framePr w:wrap="around"/>
    </w:pPr>
    <w:r>
      <w:fldChar w:fldCharType="begin"/>
    </w:r>
    <w:r>
      <w:instrText xml:space="preserve"> TITLE   \* MERGEFORMAT </w:instrText>
    </w:r>
    <w:r>
      <w:fldChar w:fldCharType="separate"/>
    </w:r>
    <w:r>
      <w:t>TLIA3008A Transfer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7F99" w:rsidP="009B54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89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43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AA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4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4F1"/>
    <w:pPr>
      <w:spacing w:before="360" w:after="60"/>
      <w:outlineLvl w:val="0"/>
    </w:pPr>
    <w:rPr>
      <w:sz w:val="32"/>
    </w:rPr>
  </w:style>
  <w:style w:type="paragraph" w:styleId="Heading2">
    <w:name w:val="heading 2"/>
    <w:basedOn w:val="HeadingBase"/>
    <w:next w:val="BodyText"/>
    <w:link w:val="Heading2Char"/>
    <w:qFormat/>
    <w:rsid w:val="009B54F1"/>
    <w:pPr>
      <w:keepLines/>
      <w:spacing w:before="240" w:after="120"/>
      <w:outlineLvl w:val="1"/>
    </w:pPr>
    <w:rPr>
      <w:sz w:val="28"/>
      <w:szCs w:val="40"/>
    </w:rPr>
  </w:style>
  <w:style w:type="paragraph" w:styleId="Heading3">
    <w:name w:val="heading 3"/>
    <w:basedOn w:val="HeadingBase"/>
    <w:next w:val="BodyText"/>
    <w:link w:val="Heading3Char"/>
    <w:qFormat/>
    <w:rsid w:val="009B54F1"/>
    <w:pPr>
      <w:spacing w:before="180" w:after="120"/>
      <w:outlineLvl w:val="2"/>
    </w:pPr>
    <w:rPr>
      <w:spacing w:val="-10"/>
      <w:kern w:val="32"/>
    </w:rPr>
  </w:style>
  <w:style w:type="paragraph" w:styleId="Heading4">
    <w:name w:val="heading 4"/>
    <w:basedOn w:val="HeadingBase"/>
    <w:next w:val="BodyText"/>
    <w:link w:val="Heading4Char"/>
    <w:qFormat/>
    <w:rsid w:val="009B54F1"/>
    <w:pPr>
      <w:spacing w:before="160" w:after="120"/>
      <w:outlineLvl w:val="3"/>
    </w:pPr>
    <w:rPr>
      <w:sz w:val="22"/>
    </w:rPr>
  </w:style>
  <w:style w:type="paragraph" w:styleId="Heading5">
    <w:name w:val="heading 5"/>
    <w:basedOn w:val="HeadingBase"/>
    <w:next w:val="Normal"/>
    <w:link w:val="Heading5Char"/>
    <w:qFormat/>
    <w:rsid w:val="009B54F1"/>
    <w:pPr>
      <w:spacing w:before="80"/>
      <w:outlineLvl w:val="4"/>
    </w:pPr>
    <w:rPr>
      <w:color w:val="918585"/>
      <w:sz w:val="20"/>
    </w:rPr>
  </w:style>
  <w:style w:type="paragraph" w:styleId="Heading6">
    <w:name w:val="heading 6"/>
    <w:basedOn w:val="HeadingBase"/>
    <w:next w:val="Normal"/>
    <w:link w:val="Heading6Char"/>
    <w:qFormat/>
    <w:rsid w:val="009B54F1"/>
    <w:pPr>
      <w:spacing w:before="60"/>
      <w:outlineLvl w:val="5"/>
    </w:pPr>
    <w:rPr>
      <w:color w:val="918585"/>
      <w:sz w:val="20"/>
    </w:rPr>
  </w:style>
  <w:style w:type="paragraph" w:styleId="Heading7">
    <w:name w:val="heading 7"/>
    <w:basedOn w:val="Normal"/>
    <w:next w:val="Normal"/>
    <w:link w:val="Heading7Char"/>
    <w:qFormat/>
    <w:rsid w:val="009B54F1"/>
    <w:pPr>
      <w:ind w:left="720"/>
      <w:outlineLvl w:val="6"/>
    </w:pPr>
    <w:rPr>
      <w:i/>
    </w:rPr>
  </w:style>
  <w:style w:type="paragraph" w:styleId="Heading8">
    <w:name w:val="heading 8"/>
    <w:basedOn w:val="Normal"/>
    <w:next w:val="Normal"/>
    <w:link w:val="Heading8Char"/>
    <w:qFormat/>
    <w:rsid w:val="009B54F1"/>
    <w:pPr>
      <w:ind w:left="720"/>
      <w:outlineLvl w:val="7"/>
    </w:pPr>
    <w:rPr>
      <w:i/>
    </w:rPr>
  </w:style>
  <w:style w:type="paragraph" w:styleId="Heading9">
    <w:name w:val="heading 9"/>
    <w:basedOn w:val="Normal"/>
    <w:next w:val="Normal"/>
    <w:link w:val="Heading9Char"/>
    <w:qFormat/>
    <w:rsid w:val="009B54F1"/>
    <w:pPr>
      <w:ind w:left="720"/>
      <w:outlineLvl w:val="8"/>
    </w:pPr>
    <w:rPr>
      <w:i/>
    </w:rPr>
  </w:style>
  <w:style w:type="character" w:default="1" w:styleId="DefaultParagraphFont">
    <w:name w:val="Default Paragraph Font"/>
    <w:uiPriority w:val="1"/>
    <w:unhideWhenUsed/>
    <w:rsid w:val="009B5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4F1"/>
  </w:style>
  <w:style w:type="character" w:customStyle="1" w:styleId="Heading1Char">
    <w:name w:val="Heading 1 Char"/>
    <w:basedOn w:val="DefaultParagraphFont"/>
    <w:link w:val="Heading1"/>
    <w:rsid w:val="009B54F1"/>
    <w:rPr>
      <w:rFonts w:ascii="Times New Roman" w:eastAsia="Times New Roman" w:hAnsi="Times New Roman" w:cs="Times New Roman"/>
      <w:b/>
      <w:sz w:val="32"/>
      <w:szCs w:val="20"/>
      <w:lang w:eastAsia="en-US"/>
    </w:rPr>
  </w:style>
  <w:style w:type="paragraph" w:styleId="BodyText">
    <w:name w:val="Body Text"/>
    <w:basedOn w:val="Normal"/>
    <w:link w:val="BodyTextChar"/>
    <w:rsid w:val="009B54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4F1"/>
    <w:rPr>
      <w:rFonts w:ascii="Times New Roman" w:eastAsia="Times New Roman" w:hAnsi="Times New Roman" w:cs="Times New Roman"/>
      <w:sz w:val="24"/>
      <w:lang w:val="en-US" w:eastAsia="en-US"/>
    </w:rPr>
  </w:style>
  <w:style w:type="paragraph" w:styleId="Footer">
    <w:name w:val="footer"/>
    <w:basedOn w:val="Normal"/>
    <w:link w:val="FooterChar"/>
    <w:rsid w:val="009B5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4F1"/>
    <w:rPr>
      <w:rFonts w:ascii="Times New Roman" w:eastAsia="Times New Roman" w:hAnsi="Times New Roman" w:cs="Times New Roman"/>
      <w:sz w:val="16"/>
      <w:lang w:val="en-US" w:eastAsia="en-US"/>
    </w:rPr>
  </w:style>
  <w:style w:type="paragraph" w:styleId="List">
    <w:name w:val="List"/>
    <w:basedOn w:val="BodyText"/>
    <w:next w:val="BodyText"/>
    <w:rsid w:val="009B54F1"/>
    <w:pPr>
      <w:tabs>
        <w:tab w:val="left" w:pos="340"/>
      </w:tabs>
      <w:spacing w:before="60" w:after="60"/>
      <w:ind w:left="340" w:hanging="340"/>
    </w:pPr>
  </w:style>
  <w:style w:type="paragraph" w:styleId="ListBullet">
    <w:name w:val="List Bullet"/>
    <w:basedOn w:val="List"/>
    <w:rsid w:val="009B54F1"/>
    <w:pPr>
      <w:numPr>
        <w:numId w:val="13"/>
      </w:numPr>
      <w:tabs>
        <w:tab w:val="clear" w:pos="340"/>
      </w:tabs>
      <w:spacing w:before="40" w:after="40"/>
    </w:pPr>
  </w:style>
  <w:style w:type="character" w:customStyle="1" w:styleId="SpecialBold">
    <w:name w:val="Special Bold"/>
    <w:basedOn w:val="DefaultParagraphFont"/>
    <w:rsid w:val="009B54F1"/>
    <w:rPr>
      <w:b/>
      <w:spacing w:val="0"/>
    </w:rPr>
  </w:style>
  <w:style w:type="paragraph" w:styleId="ListBullet2">
    <w:name w:val="List Bullet 2"/>
    <w:basedOn w:val="List2"/>
    <w:rsid w:val="009B54F1"/>
    <w:pPr>
      <w:numPr>
        <w:numId w:val="14"/>
      </w:numPr>
      <w:tabs>
        <w:tab w:val="clear" w:pos="680"/>
      </w:tabs>
    </w:pPr>
  </w:style>
  <w:style w:type="paragraph" w:styleId="Header">
    <w:name w:val="header"/>
    <w:basedOn w:val="Normal"/>
    <w:link w:val="HeaderChar"/>
    <w:rsid w:val="009B5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4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54F1"/>
    <w:pPr>
      <w:spacing w:before="240" w:after="120"/>
      <w:outlineLvl w:val="0"/>
    </w:pPr>
    <w:rPr>
      <w:rFonts w:ascii="Times New Roman" w:hAnsi="Times New Roman"/>
      <w:b/>
      <w:sz w:val="28"/>
    </w:rPr>
  </w:style>
  <w:style w:type="paragraph" w:customStyle="1" w:styleId="AllowPageBreak">
    <w:name w:val="AllowPageBreak"/>
    <w:rsid w:val="009B5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4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4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4F1"/>
    <w:rPr>
      <w:rFonts w:ascii="Courier New" w:eastAsia="Times New Roman" w:hAnsi="Courier New" w:cs="Times New Roman"/>
      <w:i/>
      <w:szCs w:val="20"/>
      <w:lang w:val="en-US" w:eastAsia="en-US"/>
    </w:rPr>
  </w:style>
  <w:style w:type="paragraph" w:customStyle="1" w:styleId="HeadingBase">
    <w:name w:val="Heading Base"/>
    <w:rsid w:val="009B5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4F1"/>
    <w:pPr>
      <w:tabs>
        <w:tab w:val="right" w:leader="dot" w:pos="9072"/>
      </w:tabs>
      <w:ind w:left="567"/>
    </w:pPr>
    <w:rPr>
      <w:szCs w:val="22"/>
    </w:rPr>
  </w:style>
  <w:style w:type="paragraph" w:customStyle="1" w:styleId="TOCBase">
    <w:name w:val="TOC Base"/>
    <w:rsid w:val="009B5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4F1"/>
    <w:pPr>
      <w:tabs>
        <w:tab w:val="right" w:leader="dot" w:pos="9072"/>
      </w:tabs>
      <w:spacing w:before="40" w:after="40"/>
      <w:ind w:left="284"/>
    </w:pPr>
    <w:rPr>
      <w:rFonts w:ascii="Times New Roman" w:hAnsi="Times New Roman"/>
    </w:rPr>
  </w:style>
  <w:style w:type="paragraph" w:styleId="TOC1">
    <w:name w:val="toc 1"/>
    <w:basedOn w:val="TOCBase"/>
    <w:next w:val="Normal"/>
    <w:rsid w:val="009B54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4F1"/>
    <w:pPr>
      <w:spacing w:before="5040"/>
      <w:jc w:val="center"/>
    </w:pPr>
    <w:rPr>
      <w:sz w:val="48"/>
      <w:szCs w:val="72"/>
      <w:lang w:val="en-US"/>
    </w:rPr>
  </w:style>
  <w:style w:type="character" w:customStyle="1" w:styleId="TitleChar">
    <w:name w:val="Title Char"/>
    <w:basedOn w:val="DefaultParagraphFont"/>
    <w:link w:val="Title"/>
    <w:rsid w:val="009B5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4F1"/>
    <w:pPr>
      <w:tabs>
        <w:tab w:val="left" w:pos="3600"/>
        <w:tab w:val="left" w:pos="3958"/>
      </w:tabs>
    </w:pPr>
  </w:style>
  <w:style w:type="paragraph" w:customStyle="1" w:styleId="Note">
    <w:name w:val="Note"/>
    <w:basedOn w:val="BodyText"/>
    <w:rsid w:val="009B5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4F1"/>
    <w:pPr>
      <w:framePr w:wrap="auto" w:hAnchor="text" w:y="6049"/>
    </w:pPr>
    <w:rPr>
      <w:color w:val="000000"/>
      <w:sz w:val="40"/>
    </w:rPr>
  </w:style>
  <w:style w:type="paragraph" w:customStyle="1" w:styleId="TOCTitle">
    <w:name w:val="TOCTitle"/>
    <w:basedOn w:val="Heading1"/>
    <w:rsid w:val="009B54F1"/>
    <w:pPr>
      <w:spacing w:after="240"/>
      <w:jc w:val="center"/>
      <w:outlineLvl w:val="9"/>
    </w:pPr>
    <w:rPr>
      <w:caps/>
    </w:rPr>
  </w:style>
  <w:style w:type="paragraph" w:customStyle="1" w:styleId="Version">
    <w:name w:val="Version"/>
    <w:rsid w:val="009B5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4F1"/>
    <w:pPr>
      <w:keepNext w:val="0"/>
      <w:tabs>
        <w:tab w:val="right" w:pos="4176"/>
      </w:tabs>
      <w:ind w:left="198" w:hanging="198"/>
    </w:pPr>
    <w:rPr>
      <w:rFonts w:ascii="Garamond" w:hAnsi="Garamond"/>
    </w:rPr>
  </w:style>
  <w:style w:type="paragraph" w:styleId="IndexHeading">
    <w:name w:val="index heading"/>
    <w:basedOn w:val="Normal"/>
    <w:next w:val="Index1"/>
    <w:semiHidden/>
    <w:rsid w:val="009B54F1"/>
    <w:pPr>
      <w:spacing w:before="120" w:after="120"/>
    </w:pPr>
    <w:rPr>
      <w:rFonts w:ascii="Arial" w:hAnsi="Arial"/>
      <w:b/>
      <w:color w:val="918585"/>
      <w:sz w:val="24"/>
    </w:rPr>
  </w:style>
  <w:style w:type="paragraph" w:customStyle="1" w:styleId="Chapter">
    <w:name w:val="Chapter"/>
    <w:basedOn w:val="Normal"/>
    <w:rsid w:val="009B54F1"/>
    <w:pPr>
      <w:spacing w:before="240"/>
    </w:pPr>
    <w:rPr>
      <w:rFonts w:ascii="Times New Roman" w:hAnsi="Times New Roman"/>
      <w:smallCaps/>
      <w:spacing w:val="80"/>
      <w:sz w:val="28"/>
    </w:rPr>
  </w:style>
  <w:style w:type="paragraph" w:customStyle="1" w:styleId="InChapter">
    <w:name w:val="InChapter"/>
    <w:basedOn w:val="Heading3"/>
    <w:rsid w:val="009B54F1"/>
    <w:pPr>
      <w:spacing w:after="240"/>
      <w:outlineLvl w:val="9"/>
    </w:pPr>
    <w:rPr>
      <w:noProof/>
    </w:rPr>
  </w:style>
  <w:style w:type="paragraph" w:styleId="Index2">
    <w:name w:val="index 2"/>
    <w:basedOn w:val="Normal"/>
    <w:next w:val="Normal"/>
    <w:semiHidden/>
    <w:rsid w:val="009B54F1"/>
    <w:pPr>
      <w:tabs>
        <w:tab w:val="right" w:pos="4176"/>
      </w:tabs>
      <w:ind w:left="568" w:hanging="284"/>
    </w:pPr>
    <w:rPr>
      <w:rFonts w:ascii="Garamond" w:hAnsi="Garamond"/>
    </w:rPr>
  </w:style>
  <w:style w:type="paragraph" w:customStyle="1" w:styleId="Byline">
    <w:name w:val="Byline"/>
    <w:rsid w:val="009B5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4F1"/>
    <w:pPr>
      <w:tabs>
        <w:tab w:val="clear" w:pos="3600"/>
        <w:tab w:val="clear" w:pos="3958"/>
      </w:tabs>
      <w:jc w:val="right"/>
    </w:pPr>
  </w:style>
  <w:style w:type="character" w:styleId="Emphasis">
    <w:name w:val="Emphasis"/>
    <w:basedOn w:val="DefaultParagraphFont"/>
    <w:qFormat/>
    <w:rsid w:val="009B54F1"/>
    <w:rPr>
      <w:i/>
    </w:rPr>
  </w:style>
  <w:style w:type="paragraph" w:styleId="Caption">
    <w:name w:val="caption"/>
    <w:basedOn w:val="BodyText"/>
    <w:next w:val="Normal"/>
    <w:qFormat/>
    <w:rsid w:val="009B54F1"/>
    <w:pPr>
      <w:framePr w:w="2268" w:hSpace="181" w:vSpace="181" w:wrap="around" w:vAnchor="text" w:hAnchor="page" w:x="1135" w:y="285" w:anchorLock="1"/>
    </w:pPr>
    <w:rPr>
      <w:i/>
    </w:rPr>
  </w:style>
  <w:style w:type="paragraph" w:customStyle="1" w:styleId="MiniTOCTitle">
    <w:name w:val="MiniTOCTitle"/>
    <w:basedOn w:val="Heading4"/>
    <w:rsid w:val="009B54F1"/>
    <w:pPr>
      <w:spacing w:before="240"/>
      <w:outlineLvl w:val="9"/>
    </w:pPr>
    <w:rPr>
      <w:noProof/>
      <w:sz w:val="24"/>
    </w:rPr>
  </w:style>
  <w:style w:type="paragraph" w:customStyle="1" w:styleId="MiniTOCItem">
    <w:name w:val="MiniTOCItem"/>
    <w:basedOn w:val="ListBullet"/>
    <w:rsid w:val="009B54F1"/>
    <w:pPr>
      <w:numPr>
        <w:numId w:val="0"/>
      </w:numPr>
      <w:tabs>
        <w:tab w:val="right" w:leader="dot" w:pos="6521"/>
      </w:tabs>
      <w:spacing w:before="0" w:after="0"/>
    </w:pPr>
  </w:style>
  <w:style w:type="paragraph" w:customStyle="1" w:styleId="TOFTitle">
    <w:name w:val="TOFTitle"/>
    <w:basedOn w:val="TOCTitle"/>
    <w:rsid w:val="009B54F1"/>
  </w:style>
  <w:style w:type="paragraph" w:styleId="TableofFigures">
    <w:name w:val="table of figures"/>
    <w:basedOn w:val="Normal"/>
    <w:next w:val="Normal"/>
    <w:semiHidden/>
    <w:rsid w:val="009B54F1"/>
    <w:pPr>
      <w:tabs>
        <w:tab w:val="right" w:leader="dot" w:pos="9072"/>
      </w:tabs>
      <w:ind w:left="970" w:hanging="403"/>
    </w:pPr>
    <w:rPr>
      <w:rFonts w:ascii="Times New Roman" w:hAnsi="Times New Roman"/>
      <w:b/>
    </w:rPr>
  </w:style>
  <w:style w:type="paragraph" w:styleId="ListNumber">
    <w:name w:val="List Number"/>
    <w:basedOn w:val="List"/>
    <w:rsid w:val="009B54F1"/>
    <w:pPr>
      <w:numPr>
        <w:numId w:val="11"/>
      </w:numPr>
    </w:pPr>
  </w:style>
  <w:style w:type="character" w:customStyle="1" w:styleId="WingdingSymbols">
    <w:name w:val="Wingding Symbols"/>
    <w:rsid w:val="009B54F1"/>
    <w:rPr>
      <w:rFonts w:ascii="Wingdings" w:hAnsi="Wingdings"/>
    </w:rPr>
  </w:style>
  <w:style w:type="paragraph" w:customStyle="1" w:styleId="TableHeading">
    <w:name w:val="Table Heading"/>
    <w:basedOn w:val="HeadingBase"/>
    <w:rsid w:val="009B54F1"/>
    <w:pPr>
      <w:keepLines/>
      <w:pBdr>
        <w:bottom w:val="single" w:sz="6" w:space="1" w:color="918585"/>
      </w:pBdr>
      <w:spacing w:before="240"/>
    </w:pPr>
  </w:style>
  <w:style w:type="character" w:customStyle="1" w:styleId="HotSpot">
    <w:name w:val="HotSpot"/>
    <w:rsid w:val="009B54F1"/>
    <w:rPr>
      <w:color w:val="0033CC"/>
      <w:u w:val="none"/>
    </w:rPr>
  </w:style>
  <w:style w:type="paragraph" w:customStyle="1" w:styleId="BodyTextRight">
    <w:name w:val="Body Text Right"/>
    <w:basedOn w:val="BodyText"/>
    <w:rsid w:val="009B54F1"/>
    <w:pPr>
      <w:spacing w:before="0" w:after="0"/>
      <w:jc w:val="right"/>
    </w:pPr>
  </w:style>
  <w:style w:type="paragraph" w:styleId="Index3">
    <w:name w:val="index 3"/>
    <w:basedOn w:val="ListNumber2"/>
    <w:next w:val="Normal"/>
    <w:semiHidden/>
    <w:rsid w:val="009B54F1"/>
    <w:pPr>
      <w:numPr>
        <w:numId w:val="0"/>
      </w:numPr>
      <w:tabs>
        <w:tab w:val="right" w:leader="dot" w:pos="4176"/>
      </w:tabs>
    </w:pPr>
  </w:style>
  <w:style w:type="paragraph" w:styleId="ListNumber2">
    <w:name w:val="List Number 2"/>
    <w:basedOn w:val="List2"/>
    <w:rsid w:val="009B54F1"/>
    <w:pPr>
      <w:numPr>
        <w:numId w:val="10"/>
      </w:numPr>
      <w:tabs>
        <w:tab w:val="clear" w:pos="1060"/>
      </w:tabs>
    </w:pPr>
  </w:style>
  <w:style w:type="paragraph" w:customStyle="1" w:styleId="MarginNote">
    <w:name w:val="Margin Note"/>
    <w:basedOn w:val="BodyText"/>
    <w:rsid w:val="009B5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4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4F1"/>
    <w:rPr>
      <w:sz w:val="32"/>
    </w:rPr>
  </w:style>
  <w:style w:type="paragraph" w:customStyle="1" w:styleId="HeadingProcedure">
    <w:name w:val="Heading Procedure"/>
    <w:basedOn w:val="HeadingBase"/>
    <w:next w:val="Normal"/>
    <w:rsid w:val="009B54F1"/>
    <w:pPr>
      <w:tabs>
        <w:tab w:val="left" w:pos="0"/>
      </w:tabs>
      <w:spacing w:before="120" w:after="60"/>
    </w:pPr>
    <w:rPr>
      <w:i/>
      <w:color w:val="918585"/>
      <w:sz w:val="22"/>
    </w:rPr>
  </w:style>
  <w:style w:type="paragraph" w:customStyle="1" w:styleId="TableBodyText">
    <w:name w:val="Table Body Text"/>
    <w:basedOn w:val="BodyText"/>
    <w:rsid w:val="009B54F1"/>
    <w:pPr>
      <w:spacing w:before="60" w:after="60"/>
    </w:pPr>
  </w:style>
  <w:style w:type="paragraph" w:styleId="ListContinue">
    <w:name w:val="List Continue"/>
    <w:basedOn w:val="List"/>
    <w:rsid w:val="009B54F1"/>
    <w:pPr>
      <w:ind w:firstLine="0"/>
    </w:pPr>
  </w:style>
  <w:style w:type="paragraph" w:customStyle="1" w:styleId="ListNote">
    <w:name w:val="List Note"/>
    <w:basedOn w:val="List"/>
    <w:rsid w:val="009B54F1"/>
    <w:pPr>
      <w:pBdr>
        <w:top w:val="single" w:sz="6" w:space="2" w:color="918585"/>
        <w:bottom w:val="single" w:sz="6" w:space="2" w:color="918585"/>
      </w:pBdr>
      <w:tabs>
        <w:tab w:val="left" w:pos="1021"/>
      </w:tabs>
      <w:ind w:firstLine="0"/>
    </w:pPr>
  </w:style>
  <w:style w:type="paragraph" w:customStyle="1" w:styleId="Warning">
    <w:name w:val="Warning"/>
    <w:basedOn w:val="BodyText"/>
    <w:rsid w:val="009B54F1"/>
    <w:pPr>
      <w:shd w:val="clear" w:color="auto" w:fill="D9D9D9"/>
      <w:tabs>
        <w:tab w:val="left" w:pos="992"/>
      </w:tabs>
      <w:ind w:left="119" w:right="119"/>
    </w:pPr>
    <w:rPr>
      <w:sz w:val="20"/>
    </w:rPr>
  </w:style>
  <w:style w:type="paragraph" w:customStyle="1" w:styleId="MarginIcons">
    <w:name w:val="Margin Icons"/>
    <w:basedOn w:val="BodyText"/>
    <w:rsid w:val="009B5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4F1"/>
    <w:rPr>
      <w:rFonts w:ascii="Courier New" w:hAnsi="Courier New"/>
    </w:rPr>
  </w:style>
  <w:style w:type="paragraph" w:customStyle="1" w:styleId="NoteBullet">
    <w:name w:val="Note Bullet"/>
    <w:basedOn w:val="Note"/>
    <w:rsid w:val="009B54F1"/>
    <w:pPr>
      <w:tabs>
        <w:tab w:val="clear" w:pos="680"/>
      </w:tabs>
      <w:spacing w:before="60" w:after="60"/>
    </w:pPr>
  </w:style>
  <w:style w:type="paragraph" w:customStyle="1" w:styleId="SubHeading2">
    <w:name w:val="SubHeading2"/>
    <w:basedOn w:val="HeadingBase"/>
    <w:rsid w:val="009B54F1"/>
    <w:pPr>
      <w:spacing w:before="240" w:after="60"/>
    </w:pPr>
    <w:rPr>
      <w:sz w:val="20"/>
    </w:rPr>
  </w:style>
  <w:style w:type="paragraph" w:customStyle="1" w:styleId="SubHeading1">
    <w:name w:val="SubHeading1"/>
    <w:basedOn w:val="HeadingBase"/>
    <w:rsid w:val="009B54F1"/>
    <w:pPr>
      <w:spacing w:before="240" w:after="60"/>
    </w:pPr>
    <w:rPr>
      <w:color w:val="918585"/>
      <w:sz w:val="22"/>
    </w:rPr>
  </w:style>
  <w:style w:type="paragraph" w:customStyle="1" w:styleId="SideHeading">
    <w:name w:val="Side Heading"/>
    <w:basedOn w:val="HeadingBase"/>
    <w:rsid w:val="009B5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4F1"/>
    <w:pPr>
      <w:numPr>
        <w:numId w:val="12"/>
      </w:numPr>
    </w:pPr>
  </w:style>
  <w:style w:type="paragraph" w:styleId="PlainText">
    <w:name w:val="Plain Text"/>
    <w:basedOn w:val="Normal"/>
    <w:link w:val="PlainTextChar"/>
    <w:rsid w:val="009B54F1"/>
    <w:rPr>
      <w:sz w:val="20"/>
    </w:rPr>
  </w:style>
  <w:style w:type="character" w:customStyle="1" w:styleId="PlainTextChar">
    <w:name w:val="Plain Text Char"/>
    <w:basedOn w:val="DefaultParagraphFont"/>
    <w:link w:val="PlainText"/>
    <w:rsid w:val="009B54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4F1"/>
    <w:rPr>
      <w:b/>
      <w:smallCaps/>
    </w:rPr>
  </w:style>
  <w:style w:type="paragraph" w:customStyle="1" w:styleId="TableListNumber">
    <w:name w:val="Table List Number"/>
    <w:basedOn w:val="ListNumber"/>
    <w:rsid w:val="009B54F1"/>
    <w:pPr>
      <w:numPr>
        <w:numId w:val="0"/>
      </w:numPr>
    </w:pPr>
  </w:style>
  <w:style w:type="paragraph" w:styleId="TOC4">
    <w:name w:val="toc 4"/>
    <w:basedOn w:val="TOCBase"/>
    <w:next w:val="Normal"/>
    <w:semiHidden/>
    <w:rsid w:val="009B54F1"/>
    <w:pPr>
      <w:tabs>
        <w:tab w:val="right" w:leader="dot" w:pos="9071"/>
      </w:tabs>
      <w:ind w:left="1701"/>
    </w:pPr>
  </w:style>
  <w:style w:type="paragraph" w:customStyle="1" w:styleId="ListAlpha">
    <w:name w:val="List Alpha"/>
    <w:basedOn w:val="List"/>
    <w:rsid w:val="009B54F1"/>
    <w:pPr>
      <w:numPr>
        <w:numId w:val="9"/>
      </w:numPr>
    </w:pPr>
  </w:style>
  <w:style w:type="paragraph" w:customStyle="1" w:styleId="ListAlpha2">
    <w:name w:val="List Alpha 2"/>
    <w:basedOn w:val="List2"/>
    <w:rsid w:val="009B54F1"/>
    <w:pPr>
      <w:numPr>
        <w:numId w:val="8"/>
      </w:numPr>
    </w:pPr>
  </w:style>
  <w:style w:type="paragraph" w:styleId="List2">
    <w:name w:val="List 2"/>
    <w:basedOn w:val="BodyText"/>
    <w:rsid w:val="009B54F1"/>
    <w:pPr>
      <w:tabs>
        <w:tab w:val="left" w:pos="680"/>
      </w:tabs>
      <w:spacing w:before="60" w:after="60"/>
      <w:ind w:left="680" w:hanging="340"/>
    </w:pPr>
  </w:style>
  <w:style w:type="paragraph" w:styleId="List3">
    <w:name w:val="List 3"/>
    <w:basedOn w:val="BodyText"/>
    <w:rsid w:val="009B54F1"/>
    <w:pPr>
      <w:tabs>
        <w:tab w:val="left" w:pos="1021"/>
      </w:tabs>
      <w:spacing w:before="60" w:after="60"/>
      <w:ind w:left="1020" w:hanging="340"/>
    </w:pPr>
  </w:style>
  <w:style w:type="paragraph" w:styleId="List4">
    <w:name w:val="List 4"/>
    <w:basedOn w:val="BodyText"/>
    <w:rsid w:val="009B54F1"/>
    <w:pPr>
      <w:tabs>
        <w:tab w:val="left" w:pos="1361"/>
      </w:tabs>
      <w:spacing w:before="60" w:after="60"/>
      <w:ind w:left="1361" w:hanging="340"/>
    </w:pPr>
  </w:style>
  <w:style w:type="paragraph" w:styleId="List5">
    <w:name w:val="List 5"/>
    <w:basedOn w:val="BodyText"/>
    <w:rsid w:val="009B54F1"/>
    <w:pPr>
      <w:tabs>
        <w:tab w:val="left" w:pos="1701"/>
      </w:tabs>
      <w:spacing w:before="60" w:after="60"/>
      <w:ind w:left="1701" w:hanging="340"/>
    </w:pPr>
  </w:style>
  <w:style w:type="paragraph" w:styleId="ListBullet3">
    <w:name w:val="List Bullet 3"/>
    <w:basedOn w:val="List3"/>
    <w:rsid w:val="009B54F1"/>
    <w:pPr>
      <w:numPr>
        <w:numId w:val="15"/>
      </w:numPr>
      <w:tabs>
        <w:tab w:val="clear" w:pos="1021"/>
      </w:tabs>
      <w:ind w:left="1037" w:hanging="357"/>
    </w:pPr>
  </w:style>
  <w:style w:type="paragraph" w:styleId="ListBullet4">
    <w:name w:val="List Bullet 4"/>
    <w:basedOn w:val="List4"/>
    <w:rsid w:val="009B54F1"/>
    <w:pPr>
      <w:numPr>
        <w:numId w:val="3"/>
      </w:numPr>
    </w:pPr>
  </w:style>
  <w:style w:type="paragraph" w:styleId="ListBullet5">
    <w:name w:val="List Bullet 5"/>
    <w:basedOn w:val="List5"/>
    <w:rsid w:val="009B54F1"/>
    <w:pPr>
      <w:numPr>
        <w:numId w:val="4"/>
      </w:numPr>
    </w:pPr>
  </w:style>
  <w:style w:type="paragraph" w:styleId="ListContinue2">
    <w:name w:val="List Continue 2"/>
    <w:basedOn w:val="List2"/>
    <w:rsid w:val="009B54F1"/>
    <w:pPr>
      <w:ind w:firstLine="0"/>
    </w:pPr>
  </w:style>
  <w:style w:type="paragraph" w:styleId="ListContinue3">
    <w:name w:val="List Continue 3"/>
    <w:basedOn w:val="List3"/>
    <w:rsid w:val="009B54F1"/>
    <w:pPr>
      <w:ind w:left="1021" w:firstLine="0"/>
    </w:pPr>
  </w:style>
  <w:style w:type="paragraph" w:styleId="ListContinue4">
    <w:name w:val="List Continue 4"/>
    <w:basedOn w:val="List4"/>
    <w:rsid w:val="009B54F1"/>
    <w:pPr>
      <w:ind w:firstLine="0"/>
    </w:pPr>
  </w:style>
  <w:style w:type="paragraph" w:styleId="ListContinue5">
    <w:name w:val="List Continue 5"/>
    <w:basedOn w:val="List5"/>
    <w:rsid w:val="009B54F1"/>
    <w:pPr>
      <w:ind w:firstLine="0"/>
    </w:pPr>
  </w:style>
  <w:style w:type="paragraph" w:styleId="ListNumber3">
    <w:name w:val="List Number 3"/>
    <w:basedOn w:val="List3"/>
    <w:rsid w:val="009B54F1"/>
    <w:pPr>
      <w:numPr>
        <w:numId w:val="5"/>
      </w:numPr>
    </w:pPr>
  </w:style>
  <w:style w:type="paragraph" w:styleId="ListNumber4">
    <w:name w:val="List Number 4"/>
    <w:basedOn w:val="List4"/>
    <w:rsid w:val="009B54F1"/>
    <w:pPr>
      <w:numPr>
        <w:numId w:val="6"/>
      </w:numPr>
    </w:pPr>
  </w:style>
  <w:style w:type="paragraph" w:styleId="ListNumber5">
    <w:name w:val="List Number 5"/>
    <w:basedOn w:val="List5"/>
    <w:rsid w:val="009B54F1"/>
    <w:pPr>
      <w:numPr>
        <w:numId w:val="7"/>
      </w:numPr>
    </w:pPr>
  </w:style>
  <w:style w:type="paragraph" w:styleId="BlockText">
    <w:name w:val="Block Text"/>
    <w:basedOn w:val="Normal"/>
    <w:rsid w:val="009B54F1"/>
    <w:pPr>
      <w:spacing w:after="120"/>
      <w:ind w:left="1440" w:right="1440"/>
    </w:pPr>
  </w:style>
  <w:style w:type="character" w:customStyle="1" w:styleId="Subscript">
    <w:name w:val="Subscript"/>
    <w:basedOn w:val="DefaultParagraphFont"/>
    <w:rsid w:val="009B54F1"/>
    <w:rPr>
      <w:sz w:val="16"/>
      <w:vertAlign w:val="subscript"/>
    </w:rPr>
  </w:style>
  <w:style w:type="character" w:customStyle="1" w:styleId="Superscript">
    <w:name w:val="Superscript"/>
    <w:basedOn w:val="DefaultParagraphFont"/>
    <w:rsid w:val="009B54F1"/>
    <w:rPr>
      <w:sz w:val="16"/>
      <w:vertAlign w:val="superscript"/>
    </w:rPr>
  </w:style>
  <w:style w:type="character" w:customStyle="1" w:styleId="Symbols">
    <w:name w:val="Symbols"/>
    <w:basedOn w:val="DefaultParagraphFont"/>
    <w:rsid w:val="009B54F1"/>
    <w:rPr>
      <w:rFonts w:ascii="Symbol" w:hAnsi="Symbol"/>
    </w:rPr>
  </w:style>
  <w:style w:type="character" w:customStyle="1" w:styleId="MenuOptions">
    <w:name w:val="Menu Options"/>
    <w:basedOn w:val="DefaultParagraphFont"/>
    <w:rsid w:val="009B54F1"/>
    <w:rPr>
      <w:rFonts w:ascii="Arial Narrow" w:hAnsi="Arial Narrow"/>
      <w:smallCaps/>
    </w:rPr>
  </w:style>
  <w:style w:type="character" w:customStyle="1" w:styleId="Buttons">
    <w:name w:val="Buttons"/>
    <w:basedOn w:val="DefaultParagraphFont"/>
    <w:rsid w:val="009B54F1"/>
    <w:rPr>
      <w:b/>
    </w:rPr>
  </w:style>
  <w:style w:type="character" w:customStyle="1" w:styleId="Underlined">
    <w:name w:val="Underlined"/>
    <w:basedOn w:val="DefaultParagraphFont"/>
    <w:rsid w:val="009B54F1"/>
    <w:rPr>
      <w:u w:val="single"/>
    </w:rPr>
  </w:style>
  <w:style w:type="paragraph" w:customStyle="1" w:styleId="TableBodyTextRight">
    <w:name w:val="Table Body Text Right"/>
    <w:basedOn w:val="TableBodyText"/>
    <w:rsid w:val="009B54F1"/>
    <w:pPr>
      <w:widowControl w:val="0"/>
      <w:autoSpaceDE w:val="0"/>
      <w:autoSpaceDN w:val="0"/>
      <w:adjustRightInd w:val="0"/>
      <w:jc w:val="right"/>
    </w:pPr>
    <w:rPr>
      <w:rFonts w:cs="Arial"/>
      <w:szCs w:val="18"/>
    </w:rPr>
  </w:style>
  <w:style w:type="paragraph" w:customStyle="1" w:styleId="CopyrightText">
    <w:name w:val="Copyright Text"/>
    <w:basedOn w:val="BodyText"/>
    <w:rsid w:val="009B54F1"/>
    <w:rPr>
      <w:sz w:val="18"/>
    </w:rPr>
  </w:style>
  <w:style w:type="paragraph" w:customStyle="1" w:styleId="BodySmallRight">
    <w:name w:val="Body Small Right"/>
    <w:basedOn w:val="BodyTextRight"/>
    <w:rsid w:val="009B54F1"/>
    <w:rPr>
      <w:sz w:val="18"/>
      <w:szCs w:val="18"/>
    </w:rPr>
  </w:style>
  <w:style w:type="paragraph" w:customStyle="1" w:styleId="MarginEdition">
    <w:name w:val="Margin Edition"/>
    <w:basedOn w:val="MarginNote"/>
    <w:rsid w:val="009B54F1"/>
    <w:pPr>
      <w:spacing w:before="0" w:after="0"/>
    </w:pPr>
    <w:rPr>
      <w:rFonts w:ascii="Times New Roman" w:hAnsi="Times New Roman"/>
      <w:color w:val="999999"/>
    </w:rPr>
  </w:style>
  <w:style w:type="paragraph" w:customStyle="1" w:styleId="Spacer">
    <w:name w:val="Spacer"/>
    <w:basedOn w:val="Normal"/>
    <w:rsid w:val="009B54F1"/>
    <w:rPr>
      <w:sz w:val="2"/>
      <w:szCs w:val="2"/>
    </w:rPr>
  </w:style>
  <w:style w:type="character" w:customStyle="1" w:styleId="Small">
    <w:name w:val="Small"/>
    <w:basedOn w:val="DefaultParagraphFont"/>
    <w:rsid w:val="009B54F1"/>
    <w:rPr>
      <w:sz w:val="16"/>
    </w:rPr>
  </w:style>
  <w:style w:type="paragraph" w:customStyle="1" w:styleId="WideTable">
    <w:name w:val="Wide Table"/>
    <w:basedOn w:val="Normal"/>
    <w:rsid w:val="009B54F1"/>
    <w:pPr>
      <w:ind w:left="-1418"/>
    </w:pPr>
    <w:rPr>
      <w:sz w:val="2"/>
      <w:szCs w:val="2"/>
    </w:rPr>
  </w:style>
  <w:style w:type="character" w:styleId="PageNumber">
    <w:name w:val="page number"/>
    <w:basedOn w:val="DefaultParagraphFont"/>
    <w:rsid w:val="009B54F1"/>
  </w:style>
  <w:style w:type="paragraph" w:styleId="Quote">
    <w:name w:val="Quote"/>
    <w:basedOn w:val="Heading1"/>
    <w:link w:val="QuoteChar"/>
    <w:qFormat/>
    <w:rsid w:val="009B54F1"/>
    <w:rPr>
      <w:b w:val="0"/>
      <w:sz w:val="72"/>
      <w:szCs w:val="72"/>
      <w:lang w:val="en-NZ"/>
    </w:rPr>
  </w:style>
  <w:style w:type="character" w:customStyle="1" w:styleId="QuoteChar">
    <w:name w:val="Quote Char"/>
    <w:basedOn w:val="DefaultParagraphFont"/>
    <w:link w:val="Quote"/>
    <w:rsid w:val="009B5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4F1"/>
    <w:pPr>
      <w:pageBreakBefore/>
    </w:pPr>
  </w:style>
  <w:style w:type="paragraph" w:customStyle="1" w:styleId="Border">
    <w:name w:val="Border"/>
    <w:basedOn w:val="Normal"/>
    <w:qFormat/>
    <w:rsid w:val="009B5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4F1"/>
    <w:rPr>
      <w:b/>
      <w:bCs/>
      <w:i/>
      <w:iCs/>
      <w:color w:val="auto"/>
    </w:rPr>
  </w:style>
  <w:style w:type="paragraph" w:styleId="IntenseQuote">
    <w:name w:val="Intense Quote"/>
    <w:basedOn w:val="Normal"/>
    <w:next w:val="Normal"/>
    <w:link w:val="IntenseQuoteChar"/>
    <w:uiPriority w:val="30"/>
    <w:qFormat/>
    <w:rsid w:val="009B5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4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4F1"/>
    <w:rPr>
      <w:smallCaps/>
      <w:color w:val="auto"/>
      <w:u w:val="single"/>
    </w:rPr>
  </w:style>
  <w:style w:type="character" w:styleId="IntenseReference">
    <w:name w:val="Intense Reference"/>
    <w:basedOn w:val="DefaultParagraphFont"/>
    <w:uiPriority w:val="32"/>
    <w:qFormat/>
    <w:rsid w:val="009B54F1"/>
    <w:rPr>
      <w:b/>
      <w:bCs/>
      <w:smallCaps/>
      <w:color w:val="auto"/>
      <w:spacing w:val="5"/>
      <w:u w:val="single"/>
    </w:rPr>
  </w:style>
  <w:style w:type="paragraph" w:customStyle="1" w:styleId="2ColumnHeading">
    <w:name w:val="2Column Heading"/>
    <w:basedOn w:val="BodyText"/>
    <w:qFormat/>
    <w:rsid w:val="009B54F1"/>
    <w:pPr>
      <w:spacing w:after="60"/>
      <w:ind w:left="-2268"/>
    </w:pPr>
    <w:rPr>
      <w:b/>
    </w:rPr>
  </w:style>
  <w:style w:type="paragraph" w:customStyle="1" w:styleId="Heading1TOC">
    <w:name w:val="Heading1 TOC"/>
    <w:basedOn w:val="Normal"/>
    <w:qFormat/>
    <w:rsid w:val="009B54F1"/>
    <w:pPr>
      <w:spacing w:before="240" w:after="120"/>
    </w:pPr>
    <w:rPr>
      <w:rFonts w:ascii="Times New Roman" w:hAnsi="Times New Roman"/>
      <w:b/>
      <w:sz w:val="32"/>
    </w:rPr>
  </w:style>
  <w:style w:type="paragraph" w:customStyle="1" w:styleId="Heading2TOC">
    <w:name w:val="Heading2 TOC"/>
    <w:basedOn w:val="Normal"/>
    <w:qFormat/>
    <w:rsid w:val="009B54F1"/>
    <w:pPr>
      <w:spacing w:before="240" w:after="60"/>
    </w:pPr>
    <w:rPr>
      <w:rFonts w:ascii="Times New Roman" w:hAnsi="Times New Roman"/>
      <w:b/>
      <w:sz w:val="28"/>
    </w:rPr>
  </w:style>
  <w:style w:type="character" w:customStyle="1" w:styleId="Underline">
    <w:name w:val="Underline"/>
    <w:basedOn w:val="DefaultParagraphFont"/>
    <w:qFormat/>
    <w:rsid w:val="009B54F1"/>
    <w:rPr>
      <w:u w:val="single"/>
    </w:rPr>
  </w:style>
  <w:style w:type="character" w:customStyle="1" w:styleId="BoldandItalics">
    <w:name w:val="Bold and Italics"/>
    <w:qFormat/>
    <w:rsid w:val="009B54F1"/>
    <w:rPr>
      <w:b/>
      <w:i/>
      <w:u w:val="none"/>
    </w:rPr>
  </w:style>
  <w:style w:type="paragraph" w:styleId="BalloonText">
    <w:name w:val="Balloon Text"/>
    <w:basedOn w:val="Normal"/>
    <w:link w:val="BalloonTextChar"/>
    <w:rsid w:val="009B54F1"/>
    <w:rPr>
      <w:rFonts w:ascii="Tahoma" w:hAnsi="Tahoma" w:cs="Tahoma"/>
      <w:sz w:val="16"/>
      <w:szCs w:val="16"/>
    </w:rPr>
  </w:style>
  <w:style w:type="character" w:customStyle="1" w:styleId="BalloonTextChar">
    <w:name w:val="Balloon Text Char"/>
    <w:basedOn w:val="DefaultParagraphFont"/>
    <w:link w:val="BalloonText"/>
    <w:rsid w:val="009B54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4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4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9544</Characters>
  <Application>Microsoft Office Word</Application>
  <DocSecurity>0</DocSecurity>
  <Lines>303</Lines>
  <Paragraphs>179</Paragraphs>
  <ScaleCrop>false</ScaleCrop>
  <Company>Author-it Software Corporation Ltd.</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TLIA3008A Transfer cargo</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2012-05-27T03:22:00Z</dcterms:created>
  <dcterms:modified xsi:type="dcterms:W3CDTF">2012-05-27T03:22:00Z</dcterms:modified>
</cp:coreProperties>
</file>