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537" w:rsidP="00A97537">
      <w:pPr>
        <w:pStyle w:val="Title"/>
      </w:pPr>
      <w:bookmarkStart w:id="0" w:name="_GoBack"/>
      <w:bookmarkEnd w:id="0"/>
      <w:r>
        <w:fldChar w:fldCharType="begin"/>
      </w:r>
      <w:r>
        <w:instrText xml:space="preserve"> TITLE   \* MERGEFORMAT </w:instrText>
      </w:r>
      <w:r>
        <w:fldChar w:fldCharType="separate"/>
      </w:r>
      <w:r>
        <w:t>TLIA2049A Apply specialist permit requirements as part of customs broking activities</w:t>
      </w:r>
      <w:r>
        <w:fldChar w:fldCharType="end"/>
      </w:r>
    </w:p>
    <w:p w:rsidR="00A97537" w:rsidP="00A97537">
      <w:pPr>
        <w:pStyle w:val="Version"/>
        <w:sectPr w:rsidSect="00D25E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EE0" w:rsidP="00D25EE0">
      <w:pPr>
        <w:pStyle w:val="SuperHeading"/>
      </w:pPr>
      <w:r w:rsidRPr="00D25EE0">
        <w:t>TLIA2049A Apply specialist permit requirements as part of customs broking activities</w:t>
      </w:r>
    </w:p>
    <w:p w:rsidR="00000000" w:rsidRPr="00D25EE0" w:rsidP="00D25EE0">
      <w:pPr>
        <w:pStyle w:val="Heading1"/>
      </w:pPr>
      <w:bookmarkStart w:id="1" w:name="O_273879"/>
      <w:bookmarkEnd w:id="1"/>
      <w:r w:rsidRPr="00D25EE0">
        <w:t>Modification History</w:t>
      </w:r>
    </w:p>
    <w:p w:rsidR="00000000" w:rsidRPr="00D25EE0" w:rsidP="00D25EE0">
      <w:pPr>
        <w:pStyle w:val="BodyText"/>
      </w:pPr>
      <w:r w:rsidRPr="00D25EE0">
        <w:t>Not Applicable</w:t>
      </w:r>
    </w:p>
    <w:p w:rsidR="00000000" w:rsidRPr="00D25EE0" w:rsidP="00D25EE0">
      <w:pPr>
        <w:pStyle w:val="AllowPageBreak"/>
      </w:pPr>
    </w:p>
    <w:p w:rsidR="00000000" w:rsidRPr="00D25EE0" w:rsidP="00D25EE0">
      <w:pPr>
        <w:pStyle w:val="Heading1"/>
      </w:pPr>
      <w:bookmarkStart w:id="2" w:name="O_222590"/>
      <w:bookmarkEnd w:id="2"/>
      <w:r w:rsidRPr="00D25EE0">
        <w:t>Unit Descrip</w:t>
      </w:r>
      <w:r w:rsidRPr="00D25EE0">
        <w:t>tor</w:t>
      </w:r>
    </w:p>
    <w:tbl>
      <w:tblPr>
        <w:tblW w:w="9640" w:type="dxa"/>
        <w:tblLayout w:type="fixed"/>
        <w:tblCellMar>
          <w:left w:w="62" w:type="dxa"/>
          <w:right w:w="62" w:type="dxa"/>
        </w:tblCellMar>
        <w:tblLook w:val="0000"/>
      </w:tblPr>
      <w:tblGrid>
        <w:gridCol w:w="2978"/>
        <w:gridCol w:w="6662"/>
      </w:tblGrid>
      <w:tr w:rsidTr="00A975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BodyText"/>
            </w:pPr>
            <w:r w:rsidRPr="00D25EE0">
              <w:t>This unit involves the skills and knowledge required to apply specialist permit requirements as part of customs broking activities in accordance with Customs and related legislation and workplace requirements. It includes identifying re</w:t>
            </w:r>
            <w:r w:rsidRPr="00D25EE0">
              <w:t>quired permits; assessing permit applications; and facilitating the gaining of permits. Licensing, legislative, regulatory or certification requirements are applicable to this unit.</w:t>
            </w:r>
          </w:p>
        </w:tc>
      </w:tr>
    </w:tbl>
    <w:p w:rsidR="00A97537" w:rsidP="00D25EE0">
      <w:pPr>
        <w:pStyle w:val="BodyText"/>
      </w:pPr>
    </w:p>
    <w:p w:rsidR="00A97537" w:rsidP="00D25EE0">
      <w:pPr>
        <w:pStyle w:val="BodyText"/>
      </w:pPr>
    </w:p>
    <w:p w:rsidR="00000000" w:rsidRPr="00D25EE0" w:rsidP="00D25EE0">
      <w:pPr>
        <w:pStyle w:val="Heading1"/>
      </w:pPr>
      <w:bookmarkStart w:id="3" w:name="O_222592"/>
      <w:bookmarkEnd w:id="3"/>
      <w:r w:rsidRPr="00D25EE0">
        <w:t>Application of the Unit</w:t>
      </w:r>
    </w:p>
    <w:tbl>
      <w:tblPr>
        <w:tblW w:w="9640" w:type="dxa"/>
        <w:tblLayout w:type="fixed"/>
        <w:tblCellMar>
          <w:left w:w="62" w:type="dxa"/>
          <w:right w:w="62" w:type="dxa"/>
        </w:tblCellMar>
        <w:tblLook w:val="0000"/>
      </w:tblPr>
      <w:tblGrid>
        <w:gridCol w:w="2978"/>
        <w:gridCol w:w="6662"/>
      </w:tblGrid>
      <w:tr w:rsidTr="00A975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BodyText"/>
            </w:pPr>
            <w:r w:rsidRPr="00D25EE0">
              <w:t>This unit applies to individuals working as a customs broker. Work must be carried out in compliance with the relevant Customs and related legislation and workplace requirements concerning specialist permit requirements. Work is undertaken in a range of en</w:t>
            </w:r>
            <w:r w:rsidRPr="00D25EE0">
              <w:t>vironments including small to large worksites in the custom broking and international freight forwarding industries. Work at this level is performed under supervision, generally within a collaborative team environment.</w:t>
            </w:r>
          </w:p>
          <w:p w:rsidR="00000000" w:rsidRPr="00D25EE0" w:rsidP="00D25EE0">
            <w:pPr>
              <w:pStyle w:val="BodyText"/>
            </w:pPr>
            <w:r w:rsidRPr="00D25EE0">
              <w:t>This unit is normally packaged at AQF</w:t>
            </w:r>
            <w:r w:rsidRPr="00D25EE0">
              <w:t xml:space="preserve"> II or above.</w:t>
            </w:r>
          </w:p>
        </w:tc>
      </w:tr>
    </w:tbl>
    <w:p w:rsidR="00A97537" w:rsidP="00D25EE0">
      <w:pPr>
        <w:pStyle w:val="BodyText"/>
      </w:pPr>
    </w:p>
    <w:p w:rsidR="00A97537" w:rsidP="00D25EE0">
      <w:pPr>
        <w:pStyle w:val="BodyText"/>
      </w:pPr>
    </w:p>
    <w:p w:rsidR="00000000" w:rsidRPr="00D25EE0" w:rsidP="00D25EE0">
      <w:pPr>
        <w:pStyle w:val="Heading1"/>
      </w:pPr>
      <w:bookmarkStart w:id="4" w:name="O_282139"/>
      <w:bookmarkEnd w:id="4"/>
      <w:r w:rsidRPr="00D25EE0">
        <w:t>Licensing/Regulatory Information</w:t>
      </w:r>
    </w:p>
    <w:p w:rsidR="00000000" w:rsidRPr="00D25EE0" w:rsidP="00D25EE0">
      <w:pPr>
        <w:pStyle w:val="BodyText"/>
      </w:pPr>
      <w:r w:rsidRPr="00D25EE0">
        <w:t>Refer to Unit Descriptor</w:t>
      </w:r>
    </w:p>
    <w:p w:rsidR="00000000" w:rsidRPr="00D25EE0" w:rsidP="00D25EE0">
      <w:pPr>
        <w:pStyle w:val="AllowPageBreak"/>
      </w:pPr>
    </w:p>
    <w:p w:rsidR="00000000" w:rsidRPr="00D25EE0" w:rsidP="00D25EE0">
      <w:pPr>
        <w:pStyle w:val="Heading1"/>
      </w:pPr>
      <w:bookmarkStart w:id="5" w:name="O_284589"/>
      <w:bookmarkEnd w:id="5"/>
      <w:r w:rsidRPr="00D25EE0">
        <w:t>Pre-Requisites</w:t>
      </w:r>
    </w:p>
    <w:p w:rsidR="00000000" w:rsidRPr="00D25EE0" w:rsidP="00D25EE0">
      <w:pPr>
        <w:pStyle w:val="BodyText"/>
      </w:pPr>
      <w:r w:rsidRPr="00D25EE0">
        <w:t>Not Applicable</w:t>
      </w:r>
    </w:p>
    <w:p w:rsidR="00000000" w:rsidRPr="00D25EE0" w:rsidP="00D25EE0">
      <w:pPr>
        <w:pStyle w:val="AllowPageBreak"/>
      </w:pPr>
    </w:p>
    <w:p w:rsidR="00000000" w:rsidRPr="00D25EE0" w:rsidP="00D25EE0">
      <w:pPr>
        <w:pStyle w:val="Heading1"/>
      </w:pPr>
      <w:bookmarkStart w:id="6" w:name="O_222591"/>
      <w:bookmarkEnd w:id="6"/>
      <w:r w:rsidRPr="00D25EE0">
        <w:t>Employability Skills Information</w:t>
      </w:r>
    </w:p>
    <w:tbl>
      <w:tblPr>
        <w:tblW w:w="9640" w:type="dxa"/>
        <w:tblLayout w:type="fixed"/>
        <w:tblCellMar>
          <w:left w:w="62" w:type="dxa"/>
          <w:right w:w="62" w:type="dxa"/>
        </w:tblCellMar>
        <w:tblLook w:val="0000"/>
      </w:tblPr>
      <w:tblGrid>
        <w:gridCol w:w="2978"/>
        <w:gridCol w:w="6662"/>
      </w:tblGrid>
      <w:tr w:rsidTr="00A975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BodyText"/>
            </w:pPr>
            <w:r w:rsidRPr="00D25EE0">
              <w:t>This unit contains employability skills.</w:t>
            </w:r>
          </w:p>
        </w:tc>
      </w:tr>
    </w:tbl>
    <w:p w:rsidR="00A97537" w:rsidP="00D25EE0">
      <w:pPr>
        <w:pStyle w:val="BodyText"/>
      </w:pPr>
    </w:p>
    <w:p w:rsidR="00A97537" w:rsidP="00D25EE0">
      <w:pPr>
        <w:pStyle w:val="BodyText"/>
      </w:pPr>
    </w:p>
    <w:p w:rsidR="00000000" w:rsidRPr="00D25EE0" w:rsidP="00D25EE0">
      <w:pPr>
        <w:pStyle w:val="Heading1"/>
      </w:pPr>
      <w:bookmarkStart w:id="7" w:name="O_291925"/>
      <w:bookmarkEnd w:id="7"/>
      <w:r w:rsidRPr="00D25EE0">
        <w:t>Elements and Performance Criteria Pre-Content</w:t>
      </w:r>
    </w:p>
    <w:tbl>
      <w:tblPr>
        <w:tblW w:w="9640" w:type="dxa"/>
        <w:tblLayout w:type="fixed"/>
        <w:tblCellMar>
          <w:left w:w="62" w:type="dxa"/>
          <w:right w:w="62" w:type="dxa"/>
        </w:tblCellMar>
        <w:tblLook w:val="0000"/>
      </w:tblPr>
      <w:tblGrid>
        <w:gridCol w:w="2978"/>
        <w:gridCol w:w="6662"/>
      </w:tblGrid>
      <w:tr w:rsidTr="00A975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BodyText"/>
            </w:pPr>
            <w:r w:rsidRPr="00D25EE0">
              <w:t>Performance criteria describe the required performance needed to demonstrate achievement of the element. Assessment of performan</w:t>
            </w:r>
            <w:r w:rsidRPr="00D25EE0">
              <w:t>ce is to be consistent with the evidence guide.</w:t>
            </w:r>
          </w:p>
        </w:tc>
      </w:tr>
    </w:tbl>
    <w:p w:rsidR="00000000" w:rsidRPr="00D25EE0" w:rsidP="00D25EE0">
      <w:pPr>
        <w:pStyle w:val="BodyText"/>
      </w:pPr>
    </w:p>
    <w:p w:rsidR="00000000" w:rsidRPr="00D25EE0" w:rsidP="00D25EE0">
      <w:pPr>
        <w:pStyle w:val="AllowPageBreak"/>
      </w:pPr>
    </w:p>
    <w:p w:rsidR="00000000" w:rsidRPr="00D25EE0" w:rsidP="00D25EE0">
      <w:pPr>
        <w:pStyle w:val="Heading1"/>
      </w:pPr>
      <w:bookmarkStart w:id="8" w:name="O_238593"/>
      <w:bookmarkEnd w:id="8"/>
      <w:r w:rsidRPr="00D25EE0">
        <w:t>Elements and Performance Criteria</w:t>
      </w:r>
    </w:p>
    <w:tbl>
      <w:tblPr>
        <w:tblW w:w="9640" w:type="dxa"/>
        <w:tblLayout w:type="fixed"/>
        <w:tblCellMar>
          <w:left w:w="62" w:type="dxa"/>
          <w:right w:w="62" w:type="dxa"/>
        </w:tblCellMar>
        <w:tblLook w:val="0000"/>
      </w:tblPr>
      <w:tblGrid>
        <w:gridCol w:w="2978"/>
        <w:gridCol w:w="6662"/>
      </w:tblGrid>
      <w:tr w:rsidTr="00A975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25EE0" w:rsidP="00D25EE0">
            <w:pPr>
              <w:pStyle w:val="List"/>
            </w:pPr>
            <w:r w:rsidRPr="00D25EE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25EE0">
            <w:pPr>
              <w:pStyle w:val="List"/>
              <w:rPr>
                <w:lang w:val="en-NZ"/>
              </w:rPr>
            </w:pPr>
            <w:r w:rsidRPr="00D25EE0">
              <w:rPr>
                <w:rStyle w:val="SpecialBold"/>
              </w:rPr>
              <w:t>PERFORMANCE CRITERIA</w:t>
            </w:r>
          </w:p>
        </w:tc>
      </w:tr>
      <w:tr w:rsidTr="00A975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5EE0">
            <w:pPr>
              <w:pStyle w:val="List"/>
              <w:rPr>
                <w:lang w:val="en-NZ"/>
              </w:rPr>
            </w:pPr>
            <w:r w:rsidRPr="00D25EE0">
              <w:rPr>
                <w:rStyle w:val="SpecialBold"/>
              </w:rPr>
              <w:t>1</w:t>
            </w:r>
            <w:r w:rsidRPr="00D25EE0">
              <w:tab/>
            </w:r>
            <w:r w:rsidRPr="00D25EE0">
              <w:rPr>
                <w:rStyle w:val="SpecialBold"/>
              </w:rPr>
              <w:t>Identify required permits</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List"/>
            </w:pPr>
            <w:r w:rsidRPr="00D25EE0">
              <w:t>1.1</w:t>
            </w:r>
            <w:r w:rsidRPr="00D25EE0">
              <w:tab/>
              <w:t>Goods requiring permits are identified</w:t>
            </w:r>
          </w:p>
          <w:p w:rsidR="00000000" w:rsidRPr="00D25EE0" w:rsidP="00D25EE0">
            <w:pPr>
              <w:pStyle w:val="List"/>
            </w:pPr>
            <w:r w:rsidRPr="00D25EE0">
              <w:t>1.2</w:t>
            </w:r>
            <w:r w:rsidRPr="00D25EE0">
              <w:tab/>
            </w:r>
            <w:r w:rsidRPr="00D25EE0">
              <w:t>Correct permits are identified for import/export of goods</w:t>
            </w:r>
          </w:p>
          <w:p w:rsidR="00000000" w:rsidP="00D25EE0">
            <w:pPr>
              <w:pStyle w:val="List"/>
              <w:rPr>
                <w:lang w:val="en-NZ"/>
              </w:rPr>
            </w:pPr>
            <w:r w:rsidRPr="00D25EE0">
              <w:t>1.3</w:t>
            </w:r>
            <w:r w:rsidRPr="00D25EE0">
              <w:tab/>
              <w:t>Goods and commodities restricted/prohibited for import/export under the laws of Australia and other countries are identified</w:t>
            </w:r>
          </w:p>
        </w:tc>
      </w:tr>
      <w:tr w:rsidTr="00A975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5EE0">
            <w:pPr>
              <w:pStyle w:val="List"/>
              <w:rPr>
                <w:lang w:val="en-NZ"/>
              </w:rPr>
            </w:pPr>
            <w:r w:rsidRPr="00D25EE0">
              <w:rPr>
                <w:rStyle w:val="SpecialBold"/>
              </w:rPr>
              <w:t>2</w:t>
            </w:r>
            <w:r w:rsidRPr="00D25EE0">
              <w:tab/>
            </w:r>
            <w:r w:rsidRPr="00D25EE0">
              <w:rPr>
                <w:rStyle w:val="SpecialBold"/>
              </w:rPr>
              <w:t>Assess permit applications</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List"/>
            </w:pPr>
            <w:r w:rsidRPr="00D25EE0">
              <w:t>2.1</w:t>
            </w:r>
            <w:r w:rsidRPr="00D25EE0">
              <w:tab/>
              <w:t>Permit application process is under</w:t>
            </w:r>
            <w:r w:rsidRPr="00D25EE0">
              <w:t>stood and followed by the applicant</w:t>
            </w:r>
          </w:p>
          <w:p w:rsidR="00000000" w:rsidRPr="00D25EE0" w:rsidP="00D25EE0">
            <w:pPr>
              <w:pStyle w:val="List"/>
            </w:pPr>
            <w:r w:rsidRPr="00D25EE0">
              <w:t>2.2</w:t>
            </w:r>
            <w:r w:rsidRPr="00D25EE0">
              <w:tab/>
              <w:t>Specialist expertise is engaged to clarify permit application process as required</w:t>
            </w:r>
          </w:p>
          <w:p w:rsidR="00000000" w:rsidRPr="00D25EE0" w:rsidP="00D25EE0">
            <w:pPr>
              <w:pStyle w:val="List"/>
            </w:pPr>
            <w:r w:rsidRPr="00D25EE0">
              <w:t>2.3</w:t>
            </w:r>
            <w:r w:rsidRPr="00D25EE0">
              <w:tab/>
              <w:t>Information required for permit application is gathered and documented</w:t>
            </w:r>
          </w:p>
          <w:p w:rsidR="00000000" w:rsidRPr="00D25EE0" w:rsidP="00D25EE0">
            <w:pPr>
              <w:pStyle w:val="List"/>
            </w:pPr>
            <w:r w:rsidRPr="00D25EE0">
              <w:t>2.4</w:t>
            </w:r>
            <w:r w:rsidRPr="00D25EE0">
              <w:tab/>
              <w:t>Other required documentation is identified and gathered</w:t>
            </w:r>
          </w:p>
          <w:p w:rsidR="00000000" w:rsidRPr="00D25EE0" w:rsidP="00D25EE0">
            <w:pPr>
              <w:pStyle w:val="List"/>
            </w:pPr>
            <w:r w:rsidRPr="00D25EE0">
              <w:t>2.5</w:t>
            </w:r>
            <w:r w:rsidRPr="00D25EE0">
              <w:tab/>
              <w:t>Liaison is undertaken with client as required to facilitate completion of permit application</w:t>
            </w:r>
          </w:p>
          <w:p w:rsidR="00000000" w:rsidRPr="00D25EE0" w:rsidP="00D25EE0">
            <w:pPr>
              <w:pStyle w:val="List"/>
            </w:pPr>
            <w:r w:rsidRPr="00D25EE0">
              <w:t>2.6</w:t>
            </w:r>
            <w:r w:rsidRPr="00D25EE0">
              <w:tab/>
              <w:t>Permit application is checked</w:t>
            </w:r>
          </w:p>
          <w:p w:rsidR="00000000" w:rsidRPr="00D25EE0" w:rsidP="00D25EE0">
            <w:pPr>
              <w:pStyle w:val="List"/>
            </w:pPr>
            <w:r w:rsidRPr="00D25EE0">
              <w:t>2.7</w:t>
            </w:r>
            <w:r w:rsidRPr="00D25EE0">
              <w:tab/>
              <w:t>Permit application and other required documentation is lodged</w:t>
            </w:r>
          </w:p>
          <w:p w:rsidR="00000000" w:rsidP="00D25EE0">
            <w:pPr>
              <w:pStyle w:val="List"/>
              <w:rPr>
                <w:lang w:val="en-NZ"/>
              </w:rPr>
            </w:pPr>
            <w:r w:rsidRPr="00D25EE0">
              <w:t>2.8</w:t>
            </w:r>
            <w:r w:rsidRPr="00D25EE0">
              <w:tab/>
              <w:t xml:space="preserve">Client is kept informed about the application process </w:t>
            </w:r>
            <w:r w:rsidRPr="00D25EE0">
              <w:t>and progress</w:t>
            </w:r>
          </w:p>
        </w:tc>
      </w:tr>
      <w:tr w:rsidTr="00A975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25EE0">
            <w:pPr>
              <w:pStyle w:val="List"/>
              <w:rPr>
                <w:lang w:val="en-NZ"/>
              </w:rPr>
            </w:pPr>
            <w:r w:rsidRPr="00D25EE0">
              <w:rPr>
                <w:rStyle w:val="SpecialBold"/>
              </w:rPr>
              <w:t>3</w:t>
            </w:r>
            <w:r w:rsidRPr="00D25EE0">
              <w:tab/>
            </w:r>
            <w:r w:rsidRPr="00D25EE0">
              <w:rPr>
                <w:rStyle w:val="SpecialBold"/>
              </w:rPr>
              <w:t>Facilitate gaining of permits</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List"/>
            </w:pPr>
            <w:r w:rsidRPr="00D25EE0">
              <w:t>3.1</w:t>
            </w:r>
            <w:r w:rsidRPr="00D25EE0">
              <w:tab/>
              <w:t>Problems arising with application are identified and addressed</w:t>
            </w:r>
          </w:p>
          <w:p w:rsidR="00000000" w:rsidRPr="00D25EE0" w:rsidP="00D25EE0">
            <w:pPr>
              <w:pStyle w:val="List"/>
            </w:pPr>
            <w:r w:rsidRPr="00D25EE0">
              <w:t>3.2</w:t>
            </w:r>
            <w:r w:rsidRPr="00D25EE0">
              <w:tab/>
            </w:r>
            <w:r w:rsidRPr="00D25EE0">
              <w:t>Negotiations and discussions are entered into with clients, relevant personnel and permit issuing authorities to facilitate issuing of permits</w:t>
            </w:r>
          </w:p>
          <w:p w:rsidR="00000000" w:rsidRPr="00D25EE0" w:rsidP="00D25EE0">
            <w:pPr>
              <w:pStyle w:val="List"/>
            </w:pPr>
            <w:r w:rsidRPr="00D25EE0">
              <w:t>3.3</w:t>
            </w:r>
            <w:r w:rsidRPr="00D25EE0">
              <w:tab/>
              <w:t>Approved applications are reviewed to ensure compliance with client requirements</w:t>
            </w:r>
          </w:p>
          <w:p w:rsidR="00000000" w:rsidRPr="00D25EE0" w:rsidP="00D25EE0">
            <w:pPr>
              <w:pStyle w:val="List"/>
            </w:pPr>
            <w:r w:rsidRPr="00D25EE0">
              <w:t>3.4</w:t>
            </w:r>
            <w:r w:rsidRPr="00D25EE0">
              <w:tab/>
              <w:t xml:space="preserve">Permit requirements are </w:t>
            </w:r>
            <w:r w:rsidRPr="00D25EE0">
              <w:t>communicated to clients</w:t>
            </w:r>
          </w:p>
          <w:p w:rsidR="00000000" w:rsidRPr="00D25EE0" w:rsidP="00D25EE0">
            <w:pPr>
              <w:pStyle w:val="List"/>
            </w:pPr>
            <w:r w:rsidRPr="00D25EE0">
              <w:t>3.5</w:t>
            </w:r>
            <w:r w:rsidRPr="00D25EE0">
              <w:tab/>
              <w:t>Application and permit documentation is stored in accordance with workplace and relevant regulatory requirements</w:t>
            </w:r>
          </w:p>
        </w:tc>
      </w:tr>
    </w:tbl>
    <w:p w:rsidR="00A97537" w:rsidP="00D25EE0">
      <w:pPr>
        <w:pStyle w:val="BodyText"/>
      </w:pPr>
    </w:p>
    <w:p w:rsidR="00A97537" w:rsidP="00D25EE0">
      <w:pPr>
        <w:pStyle w:val="BodyText"/>
      </w:pPr>
    </w:p>
    <w:p w:rsidR="00000000" w:rsidRPr="00D25EE0" w:rsidP="00D25EE0">
      <w:pPr>
        <w:pStyle w:val="Heading1"/>
      </w:pPr>
      <w:bookmarkStart w:id="9" w:name="O_262384"/>
      <w:bookmarkEnd w:id="9"/>
      <w:r w:rsidRPr="00D25EE0">
        <w:t>Required Skills and Knowledge</w:t>
      </w:r>
    </w:p>
    <w:tbl>
      <w:tblPr>
        <w:tblW w:w="9640" w:type="dxa"/>
        <w:tblLayout w:type="fixed"/>
        <w:tblCellMar>
          <w:left w:w="62" w:type="dxa"/>
          <w:right w:w="62" w:type="dxa"/>
        </w:tblCellMar>
        <w:tblLook w:val="0000"/>
      </w:tblPr>
      <w:tblGrid>
        <w:gridCol w:w="9640"/>
      </w:tblGrid>
      <w:tr w:rsidTr="00A975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REQUIRED KNOWLEDGE AND SKILLS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This describes the essential knowledge and skills and their level required for this unit.</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Required knowledge</w:t>
            </w:r>
            <w:r w:rsidRPr="00D25EE0">
              <w:t>:</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Customs, quarantine and other legislation relevant to the application of specialist permit requirements, including the Prohibited Import Regulat</w:t>
            </w:r>
            <w:r w:rsidRPr="00D25EE0">
              <w:t>ions, Prohibited Export Regulations, Australian Dangerous Goods (ADG) Code and relevant wildlife conservation quarantine or other legislative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Relevant sections of national and state or territory regulatory requirements and codes of practice</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Relevant OH&amp;S and environmental procedures and regulations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Workplace procedures and policies for the application of specialist permit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Relevant specialist permit procedures and guidelines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Requirements for completing relevant documentation</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Focus of operation of work systems, equipment, management and site operating systems for the application of specialist permit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Problems that may occur when applying specialist permit requirements and appropriate action that can be taken to res</w:t>
            </w:r>
            <w:r w:rsidRPr="00D25EE0">
              <w:t>olve the problems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Code of practice for working collaboratively with others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Steps involved in planning work activities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Procedures to be followed in the event of an emergency</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 xml:space="preserve">Procedures for managing and controlling hazardous situations when carrying out </w:t>
            </w:r>
            <w:r w:rsidRPr="00D25EE0">
              <w:t>work activities</w:t>
            </w:r>
          </w:p>
        </w:tc>
      </w:tr>
    </w:tbl>
    <w:p w:rsidR="00000000" w:rsidRPr="00D25EE0" w:rsidP="00D25EE0">
      <w:pPr>
        <w:pStyle w:val="BodyText"/>
      </w:pPr>
    </w:p>
    <w:tbl>
      <w:tblPr>
        <w:tblW w:w="9640" w:type="dxa"/>
        <w:tblLayout w:type="fixed"/>
        <w:tblCellMar>
          <w:left w:w="62" w:type="dxa"/>
          <w:right w:w="62" w:type="dxa"/>
        </w:tblCellMar>
        <w:tblLook w:val="0000"/>
      </w:tblPr>
      <w:tblGrid>
        <w:gridCol w:w="9640"/>
      </w:tblGrid>
      <w:tr w:rsidTr="00A975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Required skills</w:t>
            </w:r>
            <w:r w:rsidRPr="00D25EE0">
              <w:t>:</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Negotiate, communicate and liaise effectively with customers and others when completing work activities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Read and interpret instructions, procedures and information relevant to the specialist permit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Interpret and follow operational instructions and prioritise work</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Complete documentation related to work activities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Select and use relevant computer/communication/office equipment when applying specialist permit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Work collaboratively as part</w:t>
            </w:r>
            <w:r w:rsidRPr="00D25EE0">
              <w:t xml:space="preserve"> of a customs broking/freight forwarding team</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Plan and organise work activities when applying specialist permit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Adapt appropriately to cultural differences in the workplace, including modes of behaviour and interactions with others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Promptly report and/or rectify any identified problems, faults or malfunctions in accordance with regulatory requirements and workplace procedures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Apply precautions and required action to minimise, control or eliminate hazards that may exist during work a</w:t>
            </w:r>
            <w:r w:rsidRPr="00D25EE0">
              <w:t>ctivities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Modify activities depending on differing workplace contexts, risk situations and environments, including taking appropriate initiatives within allowable limits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Solve problems that may arise when applying specialist permit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 xml:space="preserve">Present </w:t>
            </w:r>
            <w:r w:rsidRPr="00D25EE0">
              <w:t>information using appropriate media and technology</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Identify, interpret and learn skills and knowledge required for new developments in relevant permit requirements</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25EE0">
            <w:pPr>
              <w:pStyle w:val="ListBullet"/>
              <w:rPr>
                <w:lang w:val="en-NZ"/>
              </w:rPr>
            </w:pPr>
            <w:r w:rsidRPr="00D25EE0">
              <w:t>Work systematically with required attention to detail without injury to self or others, or</w:t>
            </w:r>
            <w:r w:rsidRPr="00D25EE0">
              <w:t xml:space="preserve"> damage to goods or equipment</w:t>
            </w:r>
          </w:p>
        </w:tc>
      </w:tr>
      <w:tr w:rsidTr="00A975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Select and use required personal protective equipment conforming to industry and OH&amp;S standards</w:t>
            </w:r>
          </w:p>
        </w:tc>
      </w:tr>
    </w:tbl>
    <w:p w:rsidR="00A97537" w:rsidP="00D25EE0">
      <w:pPr>
        <w:pStyle w:val="BodyText"/>
      </w:pPr>
    </w:p>
    <w:p w:rsidR="00A97537" w:rsidP="00D25EE0">
      <w:pPr>
        <w:pStyle w:val="BodyText"/>
      </w:pPr>
    </w:p>
    <w:p w:rsidR="00000000" w:rsidRPr="00D25EE0" w:rsidP="00D25EE0">
      <w:pPr>
        <w:pStyle w:val="Heading1"/>
      </w:pPr>
      <w:bookmarkStart w:id="10" w:name="O_246577"/>
      <w:bookmarkEnd w:id="10"/>
      <w:r w:rsidRPr="00D25EE0">
        <w:t>Evidence Guide</w:t>
      </w:r>
    </w:p>
    <w:tbl>
      <w:tblPr>
        <w:tblW w:w="9499" w:type="dxa"/>
        <w:tblLayout w:type="fixed"/>
        <w:tblCellMar>
          <w:left w:w="62" w:type="dxa"/>
          <w:right w:w="62" w:type="dxa"/>
        </w:tblCellMar>
        <w:tblLook w:val="0000"/>
      </w:tblPr>
      <w:tblGrid>
        <w:gridCol w:w="3524"/>
        <w:gridCol w:w="5975"/>
      </w:tblGrid>
      <w:tr w:rsidTr="00A9753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EVIDENCE GUIDE</w:t>
            </w:r>
          </w:p>
        </w:tc>
      </w:tr>
      <w:tr w:rsidTr="00A9753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The evidence guide provides advice on assessment and must be read in conjunction with the performance criteria, required knowledge and skills, the range statement and the assessment guidelines for this Training Package.</w:t>
            </w:r>
          </w:p>
        </w:tc>
      </w:tr>
      <w:tr w:rsidTr="00A975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Critical aspects for assessment an</w:t>
            </w:r>
            <w:r w:rsidRPr="00D25EE0">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 xml:space="preserve">The evidence required to demonstrate competency in this unit must be relevant to and satisfy all of the requirements of the elements and performance criteria of this unit and include demonstration </w:t>
            </w:r>
            <w:r w:rsidRPr="00D25EE0">
              <w:t>of:</w:t>
            </w:r>
          </w:p>
          <w:p w:rsidR="00000000" w:rsidRPr="00D25EE0" w:rsidP="00D25EE0">
            <w:pPr>
              <w:pStyle w:val="ListBullet2"/>
            </w:pPr>
            <w:r w:rsidRPr="00D25EE0">
              <w:t>identifying required permits</w:t>
            </w:r>
          </w:p>
          <w:p w:rsidR="00000000" w:rsidRPr="00D25EE0" w:rsidP="00D25EE0">
            <w:pPr>
              <w:pStyle w:val="ListBullet2"/>
            </w:pPr>
            <w:r w:rsidRPr="00D25EE0">
              <w:t>facilitating the gaining of permits</w:t>
            </w:r>
          </w:p>
          <w:p w:rsidR="00000000" w:rsidP="00D25EE0">
            <w:pPr>
              <w:pStyle w:val="ListBullet2"/>
              <w:rPr>
                <w:lang w:val="en-NZ"/>
              </w:rPr>
            </w:pPr>
            <w:r w:rsidRPr="00D25EE0">
              <w:t>communicating and negotiating with customers and agencies responsible for the issuing of permits</w:t>
            </w:r>
          </w:p>
        </w:tc>
      </w:tr>
      <w:tr w:rsidTr="00A975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Performance is demonstrated consistently over a period of time and in a suitable range of contexts</w:t>
            </w:r>
          </w:p>
          <w:p w:rsidR="00000000" w:rsidRPr="00D25EE0" w:rsidP="00D25EE0">
            <w:pPr>
              <w:pStyle w:val="ListBullet"/>
            </w:pPr>
            <w:r w:rsidRPr="00D25EE0">
              <w:t>Resources for assessment include:</w:t>
            </w:r>
          </w:p>
          <w:p w:rsidR="00000000" w:rsidRPr="00D25EE0" w:rsidP="00D25EE0">
            <w:pPr>
              <w:pStyle w:val="ListBullet2"/>
            </w:pPr>
            <w:r w:rsidRPr="00D25EE0">
              <w:t>a range of relevant exercises, case studies and/or other simulated practical and knowledge assessment, and/or</w:t>
            </w:r>
          </w:p>
          <w:p w:rsidR="00000000" w:rsidRPr="00D25EE0" w:rsidP="00D25EE0">
            <w:pPr>
              <w:pStyle w:val="ListBullet2"/>
            </w:pPr>
            <w:r w:rsidRPr="00D25EE0">
              <w:t>access to an</w:t>
            </w:r>
            <w:r w:rsidRPr="00D25EE0">
              <w:t xml:space="preserve"> appropriate range of relevant operational situations in the workplace</w:t>
            </w:r>
          </w:p>
          <w:p w:rsidR="00000000" w:rsidRPr="00D25EE0" w:rsidP="00D25EE0">
            <w:pPr>
              <w:pStyle w:val="ListBullet"/>
            </w:pPr>
            <w:r w:rsidRPr="00D25EE0">
              <w:t>In both real and simulated environments, access is required to:</w:t>
            </w:r>
          </w:p>
          <w:p w:rsidR="00000000" w:rsidRPr="00D25EE0" w:rsidP="00D25EE0">
            <w:pPr>
              <w:pStyle w:val="ListBullet2"/>
            </w:pPr>
            <w:r w:rsidRPr="00D25EE0">
              <w:t>relevant and appropriate materials and equipment, and</w:t>
            </w:r>
          </w:p>
          <w:p w:rsidR="00000000" w:rsidP="00D25EE0">
            <w:pPr>
              <w:pStyle w:val="ListBullet2"/>
              <w:rPr>
                <w:lang w:val="en-NZ"/>
              </w:rPr>
            </w:pPr>
            <w:r w:rsidRPr="00D25EE0">
              <w:t>applicable documentation including workplace procedures, regulatio</w:t>
            </w:r>
            <w:r w:rsidRPr="00D25EE0">
              <w:t>ns, codes of practice and operation manuals</w:t>
            </w:r>
          </w:p>
        </w:tc>
      </w:tr>
      <w:tr w:rsidTr="00A975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Assessment of this unit must be undertaken by a registered training organisation</w:t>
            </w:r>
          </w:p>
          <w:p w:rsidR="00000000" w:rsidRPr="00D25EE0" w:rsidP="00D25EE0">
            <w:pPr>
              <w:pStyle w:val="ListBullet"/>
            </w:pPr>
            <w:r w:rsidRPr="00D25EE0">
              <w:t>As a minimum, assessment of knowledge must be conducted through appropriate written/oral tests</w:t>
            </w:r>
          </w:p>
          <w:p w:rsidR="00000000" w:rsidRPr="00D25EE0" w:rsidP="00D25EE0">
            <w:pPr>
              <w:pStyle w:val="ListBullet"/>
            </w:pPr>
            <w:r w:rsidRPr="00D25EE0">
              <w:t>Practical assessment must occur:</w:t>
            </w:r>
          </w:p>
          <w:p w:rsidR="00000000" w:rsidRPr="00D25EE0" w:rsidP="00D25EE0">
            <w:pPr>
              <w:pStyle w:val="ListBullet2"/>
            </w:pPr>
            <w:r w:rsidRPr="00D25EE0">
              <w:t>through activities in an appropriately simulated environment at the registered training organisation, and/or</w:t>
            </w:r>
          </w:p>
          <w:p w:rsidR="00000000" w:rsidRPr="00D25EE0" w:rsidP="00D25EE0">
            <w:pPr>
              <w:pStyle w:val="ListBullet2"/>
            </w:pPr>
            <w:r w:rsidRPr="00D25EE0">
              <w:t>in an appropriate range of situations in the workplace</w:t>
            </w:r>
          </w:p>
        </w:tc>
      </w:tr>
    </w:tbl>
    <w:p w:rsidR="00A97537" w:rsidP="00D25EE0">
      <w:pPr>
        <w:pStyle w:val="BodyText"/>
      </w:pPr>
    </w:p>
    <w:p w:rsidR="00A97537" w:rsidP="00D25EE0">
      <w:pPr>
        <w:pStyle w:val="BodyText"/>
      </w:pPr>
    </w:p>
    <w:p w:rsidR="00000000" w:rsidRPr="00D25EE0" w:rsidP="00D25EE0">
      <w:pPr>
        <w:pStyle w:val="Heading1"/>
      </w:pPr>
      <w:bookmarkStart w:id="11" w:name="O_254560"/>
      <w:bookmarkEnd w:id="11"/>
      <w:r w:rsidRPr="00D25EE0">
        <w:t>Range Statement</w:t>
      </w:r>
    </w:p>
    <w:tbl>
      <w:tblPr>
        <w:tblW w:w="9640" w:type="dxa"/>
        <w:tblLayout w:type="fixed"/>
        <w:tblCellMar>
          <w:left w:w="62" w:type="dxa"/>
          <w:right w:w="62" w:type="dxa"/>
        </w:tblCellMar>
        <w:tblLook w:val="0000"/>
      </w:tblPr>
      <w:tblGrid>
        <w:gridCol w:w="3486"/>
        <w:gridCol w:w="6154"/>
      </w:tblGrid>
      <w:tr w:rsidTr="00A9753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RANGE STATEMENT</w:t>
            </w:r>
            <w:r w:rsidRPr="00D25EE0">
              <w:t xml:space="preserve"> </w:t>
            </w:r>
          </w:p>
        </w:tc>
      </w:tr>
      <w:tr w:rsidTr="00A9753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The range statement relates to the unit of competency as a whole. It allows for different work environments and situations that may affect performance.</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Restricted/prohibited goods/commodities subject to quarantine and wildlife conservation regulations or</w:t>
            </w:r>
            <w:r w:rsidRPr="00D25EE0">
              <w:t xml:space="preserve"> other regulatory and/or permit requirements may include: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livestock</w:t>
            </w:r>
          </w:p>
          <w:p w:rsidR="00000000" w:rsidRPr="00D25EE0" w:rsidP="00D25EE0">
            <w:pPr>
              <w:pStyle w:val="ListBullet"/>
            </w:pPr>
            <w:r w:rsidRPr="00D25EE0">
              <w:t>flora and fauna</w:t>
            </w:r>
          </w:p>
          <w:p w:rsidR="00000000" w:rsidRPr="00D25EE0" w:rsidP="00D25EE0">
            <w:pPr>
              <w:pStyle w:val="ListBullet"/>
            </w:pPr>
            <w:r w:rsidRPr="00D25EE0">
              <w:t>wines and spirits</w:t>
            </w:r>
          </w:p>
          <w:p w:rsidR="00000000" w:rsidRPr="00D25EE0" w:rsidP="00D25EE0">
            <w:pPr>
              <w:pStyle w:val="ListBullet"/>
            </w:pPr>
            <w:r w:rsidRPr="00D25EE0">
              <w:t>specified horticultural products</w:t>
            </w:r>
          </w:p>
          <w:p w:rsidR="00000000" w:rsidRPr="00D25EE0" w:rsidP="00D25EE0">
            <w:pPr>
              <w:pStyle w:val="ListBullet"/>
            </w:pPr>
            <w:r w:rsidRPr="00D25EE0">
              <w:t>plant and animal products from countries with known diseases, viruses and other contagious pathogens</w:t>
            </w:r>
          </w:p>
          <w:p w:rsidR="00000000" w:rsidRPr="00D25EE0" w:rsidP="00D25EE0">
            <w:pPr>
              <w:pStyle w:val="ListBullet"/>
            </w:pPr>
            <w:r w:rsidRPr="00D25EE0">
              <w:t>commodi</w:t>
            </w:r>
            <w:r w:rsidRPr="00D25EE0">
              <w:t>ties containing ozone-depleting substances</w:t>
            </w:r>
          </w:p>
          <w:p w:rsidR="00000000" w:rsidRPr="00D25EE0" w:rsidP="00D25EE0">
            <w:pPr>
              <w:pStyle w:val="ListBullet"/>
            </w:pPr>
            <w:r w:rsidRPr="00D25EE0">
              <w:t>therapeutic goods and complementary medicines</w:t>
            </w:r>
          </w:p>
          <w:p w:rsidR="00000000" w:rsidRPr="00D25EE0" w:rsidP="00D25EE0">
            <w:pPr>
              <w:pStyle w:val="ListBullet"/>
            </w:pPr>
            <w:r w:rsidRPr="00D25EE0">
              <w:t>hazardous waste</w:t>
            </w:r>
          </w:p>
          <w:p w:rsidR="00000000" w:rsidRPr="00D25EE0" w:rsidP="00D25EE0">
            <w:pPr>
              <w:pStyle w:val="ListBullet"/>
            </w:pPr>
            <w:r w:rsidRPr="00D25EE0">
              <w:t>heritage and cultural items</w:t>
            </w:r>
          </w:p>
          <w:p w:rsidR="00000000" w:rsidRPr="00D25EE0" w:rsidP="00D25EE0">
            <w:pPr>
              <w:pStyle w:val="ListBullet"/>
            </w:pPr>
            <w:r w:rsidRPr="00D25EE0">
              <w:t>dangerous goods, explosives, firearms and ammunition</w:t>
            </w:r>
          </w:p>
          <w:p w:rsidR="00000000" w:rsidRPr="00D25EE0" w:rsidP="00D25EE0">
            <w:pPr>
              <w:pStyle w:val="ListBullet"/>
            </w:pPr>
            <w:r w:rsidRPr="00D25EE0">
              <w:t>imported foods</w:t>
            </w:r>
          </w:p>
          <w:p w:rsidR="00000000" w:rsidRPr="00D25EE0" w:rsidP="00D25EE0">
            <w:pPr>
              <w:pStyle w:val="ListBullet"/>
            </w:pPr>
            <w:r w:rsidRPr="00D25EE0">
              <w:t>industrial chemicals</w:t>
            </w:r>
          </w:p>
          <w:p w:rsidR="00000000" w:rsidRPr="00D25EE0" w:rsidP="00D25EE0">
            <w:pPr>
              <w:pStyle w:val="ListBullet"/>
            </w:pPr>
            <w:r w:rsidRPr="00D25EE0">
              <w:t>goods and materials that may be us</w:t>
            </w:r>
            <w:r w:rsidRPr="00D25EE0">
              <w:t>ed to construct explosives or weapons of mass destruction (WMD) as determined by the Department of Foreign Affairs and Trade (DFAT)</w:t>
            </w:r>
          </w:p>
          <w:p w:rsidR="00000000" w:rsidP="00D25EE0">
            <w:pPr>
              <w:pStyle w:val="ListBullet"/>
              <w:rPr>
                <w:lang w:val="en-NZ"/>
              </w:rPr>
            </w:pPr>
            <w:r w:rsidRPr="00D25EE0">
              <w:t>other commodities subject to Australian and overseas government regulations and requiring specialist permits</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Information on</w:t>
            </w:r>
            <w:r w:rsidRPr="00D25EE0">
              <w:t xml:space="preserve"> relevant aspects of specialist permit requirements may include: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wildlife conservation requirements, such as:</w:t>
            </w:r>
          </w:p>
          <w:p w:rsidR="00000000" w:rsidRPr="00D25EE0" w:rsidP="00D25EE0">
            <w:pPr>
              <w:pStyle w:val="ListBullet2"/>
            </w:pPr>
            <w:r w:rsidRPr="00D25EE0">
              <w:t>wildlife conservation in Australia</w:t>
            </w:r>
          </w:p>
          <w:p w:rsidR="00000000" w:rsidRPr="00D25EE0" w:rsidP="00D25EE0">
            <w:pPr>
              <w:pStyle w:val="ListBullet2"/>
            </w:pPr>
            <w:r w:rsidRPr="00D25EE0">
              <w:t>international treaties for wildlife conservation</w:t>
            </w:r>
          </w:p>
          <w:p w:rsidR="00000000" w:rsidRPr="00D25EE0" w:rsidP="00D25EE0">
            <w:pPr>
              <w:pStyle w:val="ListBullet2"/>
            </w:pPr>
            <w:r w:rsidRPr="00D25EE0">
              <w:t>export/import regulations for wildlife</w:t>
            </w:r>
          </w:p>
          <w:p w:rsidR="00000000" w:rsidRPr="00D25EE0" w:rsidP="00D25EE0">
            <w:pPr>
              <w:pStyle w:val="ListBullet2"/>
            </w:pPr>
            <w:r w:rsidRPr="00D25EE0">
              <w:t>permit validation for exports to the USA</w:t>
            </w:r>
          </w:p>
          <w:p w:rsidR="00000000" w:rsidRPr="00D25EE0" w:rsidP="00D25EE0">
            <w:pPr>
              <w:pStyle w:val="ListBullet2"/>
            </w:pPr>
            <w:r w:rsidRPr="00D25EE0">
              <w:t>acquittals and specimen export records (SER)</w:t>
            </w:r>
          </w:p>
          <w:p w:rsidR="00000000" w:rsidRPr="00D25EE0" w:rsidP="00D25EE0">
            <w:pPr>
              <w:pStyle w:val="ListBullet"/>
            </w:pPr>
            <w:r w:rsidRPr="00D25EE0">
              <w:t>quarantine permit requirements, such as:</w:t>
            </w:r>
          </w:p>
          <w:p w:rsidR="00000000" w:rsidRPr="00D25EE0" w:rsidP="00D25EE0">
            <w:pPr>
              <w:pStyle w:val="ListBullet2"/>
            </w:pPr>
            <w:r w:rsidRPr="00D25EE0">
              <w:t>quarantine treatment</w:t>
            </w:r>
          </w:p>
          <w:p w:rsidR="00000000" w:rsidRPr="00D25EE0" w:rsidP="00D25EE0">
            <w:pPr>
              <w:pStyle w:val="ListBullet2"/>
            </w:pPr>
            <w:r w:rsidRPr="00D25EE0">
              <w:t>AQIS approved premises</w:t>
            </w:r>
          </w:p>
          <w:p w:rsidR="00000000" w:rsidRPr="00D25EE0" w:rsidP="00D25EE0">
            <w:pPr>
              <w:pStyle w:val="ListBullet2"/>
            </w:pPr>
            <w:r w:rsidRPr="00D25EE0">
              <w:t>cargo clearance</w:t>
            </w:r>
          </w:p>
          <w:p w:rsidR="00000000" w:rsidRPr="00D25EE0" w:rsidP="00D25EE0">
            <w:pPr>
              <w:pStyle w:val="ListBullet2"/>
            </w:pPr>
            <w:r w:rsidRPr="00D25EE0">
              <w:t>pests and diseases</w:t>
            </w:r>
          </w:p>
          <w:p w:rsidR="00000000" w:rsidRPr="00D25EE0" w:rsidP="00D25EE0">
            <w:pPr>
              <w:pStyle w:val="ListBullet2"/>
            </w:pPr>
            <w:r w:rsidRPr="00D25EE0">
              <w:t>plant quarantine</w:t>
            </w:r>
          </w:p>
          <w:p w:rsidR="00000000" w:rsidRPr="00D25EE0" w:rsidP="00D25EE0">
            <w:pPr>
              <w:pStyle w:val="ListBullet2"/>
            </w:pPr>
            <w:r w:rsidRPr="00D25EE0">
              <w:t>animal quarantine</w:t>
            </w:r>
          </w:p>
          <w:p w:rsidR="00000000" w:rsidRPr="00D25EE0" w:rsidP="00D25EE0">
            <w:pPr>
              <w:pStyle w:val="ListBullet2"/>
            </w:pPr>
            <w:r w:rsidRPr="00D25EE0">
              <w:t>plant and anim</w:t>
            </w:r>
            <w:r w:rsidRPr="00D25EE0">
              <w:t>al exports</w:t>
            </w:r>
          </w:p>
          <w:p w:rsidR="00000000" w:rsidRPr="00D25EE0" w:rsidP="00D25EE0">
            <w:pPr>
              <w:pStyle w:val="ListBullet"/>
            </w:pPr>
            <w:r w:rsidRPr="00D25EE0">
              <w:t>other specialist permit requirements, such as:</w:t>
            </w:r>
          </w:p>
          <w:p w:rsidR="00000000" w:rsidRPr="00D25EE0" w:rsidP="00D25EE0">
            <w:pPr>
              <w:pStyle w:val="ListBullet2"/>
            </w:pPr>
            <w:r w:rsidRPr="00D25EE0">
              <w:t>wines and spirits</w:t>
            </w:r>
          </w:p>
          <w:p w:rsidR="00000000" w:rsidRPr="00D25EE0" w:rsidP="00D25EE0">
            <w:pPr>
              <w:pStyle w:val="ListBullet2"/>
            </w:pPr>
            <w:r w:rsidRPr="00D25EE0">
              <w:t>prescribed amounts of cash</w:t>
            </w:r>
          </w:p>
          <w:p w:rsidR="00000000" w:rsidRPr="00D25EE0" w:rsidP="00D25EE0">
            <w:pPr>
              <w:pStyle w:val="ListBullet2"/>
            </w:pPr>
            <w:r w:rsidRPr="00D25EE0">
              <w:t>commodities containing ozone-depleting substances</w:t>
            </w:r>
          </w:p>
          <w:p w:rsidR="00000000" w:rsidRPr="00D25EE0" w:rsidP="00D25EE0">
            <w:pPr>
              <w:pStyle w:val="ListBullet2"/>
            </w:pPr>
            <w:r w:rsidRPr="00D25EE0">
              <w:t>requirements for Therapeutic Goods Administration Permits (TGP))</w:t>
            </w:r>
          </w:p>
          <w:p w:rsidR="00000000" w:rsidRPr="00D25EE0" w:rsidP="00D25EE0">
            <w:pPr>
              <w:pStyle w:val="ListBullet2"/>
            </w:pPr>
            <w:r w:rsidRPr="00D25EE0">
              <w:t>hazardous waste</w:t>
            </w:r>
          </w:p>
          <w:p w:rsidR="00000000" w:rsidRPr="00D25EE0" w:rsidP="00D25EE0">
            <w:pPr>
              <w:pStyle w:val="ListBullet2"/>
            </w:pPr>
            <w:r w:rsidRPr="00D25EE0">
              <w:t>heritage and cultural items</w:t>
            </w:r>
          </w:p>
          <w:p w:rsidR="00000000" w:rsidRPr="00D25EE0" w:rsidP="00D25EE0">
            <w:pPr>
              <w:pStyle w:val="ListBullet2"/>
            </w:pPr>
            <w:r w:rsidRPr="00D25EE0">
              <w:t>dangerous goods, explosives, firearms, ammunition, and chemical, biological and radioactive weapons materials and components and other prohibited imports and exports</w:t>
            </w:r>
          </w:p>
          <w:p w:rsidR="00000000" w:rsidRPr="00D25EE0" w:rsidP="00D25EE0">
            <w:pPr>
              <w:pStyle w:val="ListBullet2"/>
            </w:pPr>
            <w:r w:rsidRPr="00D25EE0">
              <w:t>imported food program and permit regulations</w:t>
            </w:r>
          </w:p>
          <w:p w:rsidR="00000000" w:rsidRPr="00D25EE0" w:rsidP="00D25EE0">
            <w:pPr>
              <w:pStyle w:val="ListBullet2"/>
            </w:pPr>
            <w:r w:rsidRPr="00D25EE0">
              <w:t>requirements of t</w:t>
            </w:r>
            <w:r w:rsidRPr="00D25EE0">
              <w:t>he National Industrial Chemicals Notification and Assessment Scheme (NICNAS)</w:t>
            </w:r>
          </w:p>
          <w:p w:rsidR="00000000" w:rsidRPr="00D25EE0" w:rsidP="00D25EE0">
            <w:pPr>
              <w:pStyle w:val="ListBullet2"/>
            </w:pPr>
            <w:r w:rsidRPr="00D25EE0">
              <w:t xml:space="preserve">regulations and permits pertaining to goods and materials that may be used to construct explosives or weapons of mass destruction (WMD) as determined by the Department of Foreign </w:t>
            </w:r>
            <w:r w:rsidRPr="00D25EE0">
              <w:t>Affairs and Trade</w:t>
            </w:r>
          </w:p>
          <w:p w:rsidR="00000000" w:rsidP="00D25EE0">
            <w:pPr>
              <w:pStyle w:val="ListBullet2"/>
              <w:rPr>
                <w:lang w:val="en-NZ"/>
              </w:rPr>
            </w:pPr>
            <w:r w:rsidRPr="00D25EE0">
              <w:t>dual use goods covered by the WMD Act</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Agencies from which permits may be obtained may include: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Australian Quarantine and Inspection Service</w:t>
            </w:r>
          </w:p>
          <w:p w:rsidR="00000000" w:rsidRPr="00D25EE0" w:rsidP="00D25EE0">
            <w:pPr>
              <w:pStyle w:val="ListBullet"/>
            </w:pPr>
            <w:r w:rsidRPr="00D25EE0">
              <w:t>Australian Custom Service</w:t>
            </w:r>
          </w:p>
          <w:p w:rsidR="00000000" w:rsidRPr="00D25EE0" w:rsidP="00D25EE0">
            <w:pPr>
              <w:pStyle w:val="ListBullet"/>
            </w:pPr>
            <w:r w:rsidRPr="00D25EE0">
              <w:t>Department of the Environment Water, Heritage and the Arts (DEWHA)</w:t>
            </w:r>
          </w:p>
          <w:p w:rsidR="00000000" w:rsidRPr="00D25EE0" w:rsidP="00D25EE0">
            <w:pPr>
              <w:pStyle w:val="ListBullet"/>
            </w:pPr>
            <w:r w:rsidRPr="00D25EE0">
              <w:t>Department of Agriculture, Fisheries and Forestry</w:t>
            </w:r>
          </w:p>
          <w:p w:rsidR="00000000" w:rsidRPr="00D25EE0" w:rsidP="00D25EE0">
            <w:pPr>
              <w:pStyle w:val="ListBullet"/>
            </w:pPr>
            <w:r w:rsidRPr="00D25EE0">
              <w:t>Department of Innovation, Industry, Science and Research</w:t>
            </w:r>
          </w:p>
          <w:p w:rsidR="00000000" w:rsidRPr="00D25EE0" w:rsidP="00D25EE0">
            <w:pPr>
              <w:pStyle w:val="ListBullet"/>
            </w:pPr>
            <w:r w:rsidRPr="00D25EE0">
              <w:t>Department of Health and Ageing</w:t>
            </w:r>
          </w:p>
          <w:p w:rsidR="00000000" w:rsidRPr="00D25EE0" w:rsidP="00D25EE0">
            <w:pPr>
              <w:pStyle w:val="ListBullet"/>
            </w:pPr>
            <w:r w:rsidRPr="00D25EE0">
              <w:t>Department of Defence</w:t>
            </w:r>
          </w:p>
          <w:p w:rsidR="00000000" w:rsidRPr="00D25EE0" w:rsidP="00D25EE0">
            <w:pPr>
              <w:pStyle w:val="ListBullet"/>
            </w:pPr>
            <w:r w:rsidRPr="00D25EE0">
              <w:t>Department of Foreign Affairs and Trade</w:t>
            </w:r>
          </w:p>
          <w:p w:rsidR="00000000" w:rsidRPr="00D25EE0" w:rsidP="00D25EE0">
            <w:pPr>
              <w:pStyle w:val="ListBullet"/>
            </w:pPr>
            <w:r w:rsidRPr="00D25EE0">
              <w:t>Australian Federal Police</w:t>
            </w:r>
          </w:p>
          <w:p w:rsidR="00000000" w:rsidRPr="00D25EE0" w:rsidP="00D25EE0">
            <w:pPr>
              <w:pStyle w:val="ListBullet"/>
            </w:pPr>
            <w:r w:rsidRPr="00D25EE0">
              <w:t>Australian Wine and Brandy Co</w:t>
            </w:r>
            <w:r w:rsidRPr="00D25EE0">
              <w:t>rporation</w:t>
            </w:r>
          </w:p>
          <w:p w:rsidR="00000000" w:rsidRPr="00D25EE0" w:rsidP="00D25EE0">
            <w:pPr>
              <w:pStyle w:val="ListBullet"/>
            </w:pPr>
            <w:r w:rsidRPr="00D25EE0">
              <w:t>Health Insurance Commission</w:t>
            </w:r>
          </w:p>
          <w:p w:rsidR="00000000" w:rsidRPr="00D25EE0" w:rsidP="00D25EE0">
            <w:pPr>
              <w:pStyle w:val="ListBullet"/>
            </w:pPr>
            <w:r w:rsidRPr="00D25EE0">
              <w:t>Wheat Export Authority</w:t>
            </w:r>
          </w:p>
          <w:p w:rsidR="00000000" w:rsidRPr="00D25EE0" w:rsidP="00D25EE0">
            <w:pPr>
              <w:pStyle w:val="ListBullet"/>
            </w:pPr>
            <w:r w:rsidRPr="00D25EE0">
              <w:t>Attorney Generals Department</w:t>
            </w:r>
          </w:p>
          <w:p w:rsidR="00000000" w:rsidRPr="00D25EE0" w:rsidP="00D25EE0">
            <w:pPr>
              <w:pStyle w:val="ListBullet"/>
            </w:pPr>
            <w:r w:rsidRPr="00D25EE0">
              <w:t>Department of Prime Minister and Cabinet</w:t>
            </w:r>
          </w:p>
          <w:p w:rsidR="00000000" w:rsidP="00D25EE0">
            <w:pPr>
              <w:pStyle w:val="ListBullet"/>
              <w:rPr>
                <w:lang w:val="en-NZ"/>
              </w:rPr>
            </w:pPr>
            <w:r w:rsidRPr="00D25EE0">
              <w:t>Department of Infrastructure, Transport and Regional Development and Local Government</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 xml:space="preserve">Checks made during permit application </w:t>
            </w:r>
            <w:r w:rsidRPr="00D25EE0">
              <w:t>may include: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accuracy checks</w:t>
            </w:r>
          </w:p>
          <w:p w:rsidR="00000000" w:rsidRPr="00D25EE0" w:rsidP="00D25EE0">
            <w:pPr>
              <w:pStyle w:val="ListBullet"/>
            </w:pPr>
            <w:r w:rsidRPr="00D25EE0">
              <w:t>checks for missing information</w:t>
            </w:r>
          </w:p>
          <w:p w:rsidR="00000000" w:rsidRPr="00D25EE0" w:rsidP="00D25EE0">
            <w:pPr>
              <w:pStyle w:val="ListBullet"/>
            </w:pPr>
            <w:r w:rsidRPr="00D25EE0">
              <w:t>checks for unfulfilled requirements</w:t>
            </w:r>
          </w:p>
          <w:p w:rsidR="00000000" w:rsidP="00D25EE0">
            <w:pPr>
              <w:pStyle w:val="ListBullet"/>
              <w:rPr>
                <w:lang w:val="en-NZ"/>
              </w:rPr>
            </w:pPr>
            <w:r w:rsidRPr="00D25EE0">
              <w:t>whether supplementary documents are required</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standard operating procedures (SOPs)</w:t>
            </w:r>
          </w:p>
          <w:p w:rsidR="00000000" w:rsidRPr="00D25EE0" w:rsidP="00D25EE0">
            <w:pPr>
              <w:pStyle w:val="ListBullet"/>
            </w:pPr>
            <w:r w:rsidRPr="00D25EE0">
              <w:t>company procedures</w:t>
            </w:r>
          </w:p>
          <w:p w:rsidR="00000000" w:rsidRPr="00D25EE0" w:rsidP="00D25EE0">
            <w:pPr>
              <w:pStyle w:val="ListBullet"/>
            </w:pPr>
            <w:r w:rsidRPr="00D25EE0">
              <w:t>enterprise procedures</w:t>
            </w:r>
          </w:p>
          <w:p w:rsidR="00000000" w:rsidRPr="00D25EE0" w:rsidP="00D25EE0">
            <w:pPr>
              <w:pStyle w:val="ListBullet"/>
            </w:pPr>
            <w:r w:rsidRPr="00D25EE0">
              <w:t>organisational procedures</w:t>
            </w:r>
          </w:p>
          <w:p w:rsidR="00000000" w:rsidP="00D25EE0">
            <w:pPr>
              <w:pStyle w:val="ListBullet"/>
              <w:rPr>
                <w:lang w:val="en-NZ"/>
              </w:rPr>
            </w:pPr>
            <w:r w:rsidRPr="00D25EE0">
              <w:t>established procedures</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phone</w:t>
            </w:r>
          </w:p>
          <w:p w:rsidR="00000000" w:rsidRPr="00D25EE0" w:rsidP="00D25EE0">
            <w:pPr>
              <w:pStyle w:val="ListBullet"/>
            </w:pPr>
            <w:r w:rsidRPr="00D25EE0">
              <w:t>electronic data interchange (EDI)</w:t>
            </w:r>
          </w:p>
          <w:p w:rsidR="00000000" w:rsidRPr="00D25EE0" w:rsidP="00D25EE0">
            <w:pPr>
              <w:pStyle w:val="ListBullet"/>
            </w:pPr>
            <w:r w:rsidRPr="00D25EE0">
              <w:t>fax</w:t>
            </w:r>
          </w:p>
          <w:p w:rsidR="00000000" w:rsidRPr="00D25EE0" w:rsidP="00D25EE0">
            <w:pPr>
              <w:pStyle w:val="ListBullet"/>
            </w:pPr>
            <w:r w:rsidRPr="00D25EE0">
              <w:t>email</w:t>
            </w:r>
          </w:p>
          <w:p w:rsidR="00000000" w:rsidRPr="00D25EE0" w:rsidP="00D25EE0">
            <w:pPr>
              <w:pStyle w:val="ListBullet"/>
            </w:pPr>
            <w:r w:rsidRPr="00D25EE0">
              <w:t>internet</w:t>
            </w:r>
          </w:p>
          <w:p w:rsidR="00000000" w:rsidRPr="00D25EE0" w:rsidP="00D25EE0">
            <w:pPr>
              <w:pStyle w:val="ListBullet"/>
            </w:pPr>
            <w:r w:rsidRPr="00D25EE0">
              <w:t>RF systems</w:t>
            </w:r>
          </w:p>
          <w:p w:rsidR="00000000" w:rsidP="00D25EE0">
            <w:pPr>
              <w:pStyle w:val="ListBullet"/>
              <w:rPr>
                <w:lang w:val="en-NZ"/>
              </w:rPr>
            </w:pPr>
            <w:r w:rsidRPr="00D25EE0">
              <w:t>oral, aural or signed communications</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 xml:space="preserve">Consultative </w:t>
            </w:r>
            <w:r w:rsidRPr="00D25EE0">
              <w:t>processes may involve: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other employees and supervisors</w:t>
            </w:r>
          </w:p>
          <w:p w:rsidR="00000000" w:rsidRPr="00D25EE0" w:rsidP="00D25EE0">
            <w:pPr>
              <w:pStyle w:val="ListBullet"/>
            </w:pPr>
            <w:r w:rsidRPr="00D25EE0">
              <w:t>suppliers of specialist permits</w:t>
            </w:r>
          </w:p>
          <w:p w:rsidR="00000000" w:rsidRPr="00D25EE0" w:rsidP="00D25EE0">
            <w:pPr>
              <w:pStyle w:val="ListBullet"/>
            </w:pPr>
            <w:r w:rsidRPr="00D25EE0">
              <w:t>relevant authorities and institutions</w:t>
            </w:r>
          </w:p>
          <w:p w:rsidR="00000000" w:rsidRPr="00D25EE0" w:rsidP="00D25EE0">
            <w:pPr>
              <w:pStyle w:val="ListBullet"/>
            </w:pPr>
            <w:r w:rsidRPr="00D25EE0">
              <w:t>management and union representatives</w:t>
            </w:r>
          </w:p>
          <w:p w:rsidR="00000000" w:rsidP="00D25EE0">
            <w:pPr>
              <w:pStyle w:val="ListBullet"/>
              <w:rPr>
                <w:lang w:val="en-NZ"/>
              </w:rPr>
            </w:pPr>
            <w:r w:rsidRPr="00D25EE0">
              <w:t>industrial relations and OH&amp;S specialists</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Documentation and records may include: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regulations and codes of practice relevant to import and export procedures</w:t>
            </w:r>
          </w:p>
          <w:p w:rsidR="00000000" w:rsidRPr="00D25EE0" w:rsidP="00D25EE0">
            <w:pPr>
              <w:pStyle w:val="ListBullet"/>
            </w:pPr>
            <w:r w:rsidRPr="00D25EE0">
              <w:t>relevant OH&amp;S and environmental protection regulations</w:t>
            </w:r>
          </w:p>
          <w:p w:rsidR="00000000" w:rsidRPr="00D25EE0" w:rsidP="00D25EE0">
            <w:pPr>
              <w:pStyle w:val="ListBullet"/>
            </w:pPr>
            <w:r w:rsidRPr="00D25EE0">
              <w:t>workplace policies and procedures related to specialist permit requirements</w:t>
            </w:r>
          </w:p>
          <w:p w:rsidR="00000000" w:rsidRPr="00D25EE0" w:rsidP="00D25EE0">
            <w:pPr>
              <w:pStyle w:val="ListBullet"/>
            </w:pPr>
            <w:r w:rsidRPr="00D25EE0">
              <w:t>quality assurance procedures</w:t>
            </w:r>
          </w:p>
          <w:p w:rsidR="00000000" w:rsidRPr="00D25EE0" w:rsidP="00D25EE0">
            <w:pPr>
              <w:pStyle w:val="ListBullet"/>
            </w:pPr>
            <w:r w:rsidRPr="00D25EE0">
              <w:t>emergency procedures</w:t>
            </w:r>
          </w:p>
          <w:p w:rsidR="00000000" w:rsidRPr="00D25EE0" w:rsidP="00D25EE0">
            <w:pPr>
              <w:pStyle w:val="ListBullet"/>
            </w:pPr>
            <w:r w:rsidRPr="00D25EE0">
              <w:t>operations manuals, job specifications and induction documentation</w:t>
            </w:r>
          </w:p>
          <w:p w:rsidR="00000000" w:rsidRPr="00D25EE0" w:rsidP="00D25EE0">
            <w:pPr>
              <w:pStyle w:val="ListBullet"/>
            </w:pPr>
            <w:r w:rsidRPr="00D25EE0">
              <w:t>dangerous goods declarations and material safety data sheets, where applicable</w:t>
            </w:r>
          </w:p>
          <w:p w:rsidR="00000000" w:rsidRPr="00D25EE0" w:rsidP="00D25EE0">
            <w:pPr>
              <w:pStyle w:val="ListBullet"/>
            </w:pPr>
            <w:r w:rsidRPr="00D25EE0">
              <w:t>goods manifest</w:t>
            </w:r>
          </w:p>
          <w:p w:rsidR="00000000" w:rsidRPr="00D25EE0" w:rsidP="00D25EE0">
            <w:pPr>
              <w:pStyle w:val="ListBullet"/>
            </w:pPr>
            <w:r w:rsidRPr="00D25EE0">
              <w:t>relevant Australian Standards and certification requirements</w:t>
            </w:r>
          </w:p>
          <w:p w:rsidR="00000000" w:rsidP="00D25EE0">
            <w:pPr>
              <w:pStyle w:val="ListBullet"/>
              <w:rPr>
                <w:lang w:val="en-NZ"/>
              </w:rPr>
            </w:pPr>
            <w:r w:rsidRPr="00D25EE0">
              <w:t>other government documentation cov</w:t>
            </w:r>
            <w:r w:rsidRPr="00D25EE0">
              <w:t>ering regulated trade (including online)</w:t>
            </w:r>
          </w:p>
        </w:tc>
      </w:tr>
      <w:tr w:rsidTr="00A975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25EE0" w:rsidP="00D25EE0">
            <w:pPr>
              <w:pStyle w:val="ListBullet"/>
            </w:pPr>
            <w:r w:rsidRPr="00D25EE0">
              <w:t>relevant codes and regulations for the issuing of specialist permits</w:t>
            </w:r>
          </w:p>
          <w:p w:rsidR="00000000" w:rsidRPr="00D25EE0" w:rsidP="00D25EE0">
            <w:pPr>
              <w:pStyle w:val="ListBullet"/>
            </w:pPr>
            <w:r w:rsidRPr="00D25EE0">
              <w:t>Customs and related legislation</w:t>
            </w:r>
          </w:p>
          <w:p w:rsidR="00000000" w:rsidRPr="00D25EE0" w:rsidP="00D25EE0">
            <w:pPr>
              <w:pStyle w:val="ListBullet"/>
            </w:pPr>
            <w:r w:rsidRPr="00D25EE0">
              <w:t>export/import/quarantine/bond requirements</w:t>
            </w:r>
          </w:p>
          <w:p w:rsidR="00000000" w:rsidRPr="00D25EE0" w:rsidP="00D25EE0">
            <w:pPr>
              <w:pStyle w:val="ListBullet"/>
            </w:pPr>
            <w:r w:rsidRPr="00D25EE0">
              <w:t>Australian and international regulations and codes of practice for the transport of dangerous goods and hazardous substances</w:t>
            </w:r>
          </w:p>
          <w:p w:rsidR="00000000" w:rsidRPr="00D25EE0" w:rsidP="00D25EE0">
            <w:pPr>
              <w:pStyle w:val="ListBullet"/>
            </w:pPr>
            <w:r w:rsidRPr="00D25EE0">
              <w:t>other Australian legislation relating to restrictions and prohibitions on imports and exports and related permit requirements</w:t>
            </w:r>
          </w:p>
          <w:p w:rsidR="00000000" w:rsidRPr="00D25EE0" w:rsidP="00D25EE0">
            <w:pPr>
              <w:pStyle w:val="ListBullet"/>
            </w:pPr>
            <w:r w:rsidRPr="00D25EE0">
              <w:t>relev</w:t>
            </w:r>
            <w:r w:rsidRPr="00D25EE0">
              <w:t>ant state/territory OH&amp;S and environmental protection legislation</w:t>
            </w:r>
          </w:p>
          <w:p w:rsidR="00000000" w:rsidRPr="00D25EE0" w:rsidP="00D25EE0">
            <w:pPr>
              <w:pStyle w:val="ListBullet"/>
            </w:pPr>
            <w:r w:rsidRPr="00D25EE0">
              <w:t>Customs Act 1901</w:t>
            </w:r>
          </w:p>
          <w:p w:rsidR="00000000" w:rsidRPr="00D25EE0" w:rsidP="00D25EE0">
            <w:pPr>
              <w:pStyle w:val="ListBullet"/>
            </w:pPr>
            <w:r w:rsidRPr="00D25EE0">
              <w:t>Environmental Protection and Biodiversity Conservation Act 1999</w:t>
            </w:r>
          </w:p>
          <w:p w:rsidR="00000000" w:rsidRPr="00D25EE0" w:rsidP="00D25EE0">
            <w:pPr>
              <w:pStyle w:val="ListBullet"/>
            </w:pPr>
            <w:r w:rsidRPr="00D25EE0">
              <w:t>workplace relations regulations</w:t>
            </w:r>
          </w:p>
          <w:p w:rsidR="00000000" w:rsidRPr="00D25EE0" w:rsidP="00D25EE0">
            <w:pPr>
              <w:pStyle w:val="ListBullet"/>
            </w:pPr>
            <w:r w:rsidRPr="00D25EE0">
              <w:t>equal opportunity legislation</w:t>
            </w:r>
          </w:p>
          <w:p w:rsidR="00000000" w:rsidRPr="00D25EE0" w:rsidP="00D25EE0">
            <w:pPr>
              <w:pStyle w:val="ListBullet"/>
            </w:pPr>
            <w:r w:rsidRPr="00D25EE0">
              <w:t>equal employment opportunity and affirmative ac</w:t>
            </w:r>
            <w:r w:rsidRPr="00D25EE0">
              <w:t xml:space="preserve">tion legislation  </w:t>
            </w:r>
          </w:p>
          <w:p w:rsidR="00000000" w:rsidRPr="00D25EE0" w:rsidP="00D25EE0">
            <w:pPr>
              <w:pStyle w:val="ListBullet"/>
            </w:pPr>
            <w:r w:rsidRPr="00D25EE0">
              <w:t>workers compensation regulations</w:t>
            </w:r>
          </w:p>
          <w:p w:rsidR="00000000" w:rsidRPr="00D25EE0" w:rsidP="00D25EE0">
            <w:pPr>
              <w:pStyle w:val="ListBullet"/>
            </w:pPr>
          </w:p>
        </w:tc>
      </w:tr>
    </w:tbl>
    <w:p w:rsidR="00A97537" w:rsidP="00D25EE0">
      <w:pPr>
        <w:pStyle w:val="BodyText"/>
      </w:pPr>
    </w:p>
    <w:p w:rsidR="00A97537" w:rsidP="00D25EE0">
      <w:pPr>
        <w:pStyle w:val="BodyText"/>
      </w:pPr>
    </w:p>
    <w:p w:rsidR="00000000" w:rsidRPr="00D25EE0" w:rsidP="00D25EE0">
      <w:pPr>
        <w:pStyle w:val="Heading1"/>
      </w:pPr>
      <w:bookmarkStart w:id="12" w:name="O_295573"/>
      <w:bookmarkEnd w:id="12"/>
      <w:r w:rsidRPr="00D25EE0">
        <w:t>Unit Sector(s)</w:t>
      </w:r>
    </w:p>
    <w:p w:rsidR="00000000" w:rsidRPr="00D25EE0" w:rsidP="00D25EE0">
      <w:pPr>
        <w:pStyle w:val="BodyText"/>
      </w:pPr>
      <w:r w:rsidRPr="00D25EE0">
        <w:t>Not Applicable</w:t>
      </w:r>
    </w:p>
    <w:p w:rsidR="00000000" w:rsidRPr="00D25EE0" w:rsidP="00D25EE0">
      <w:pPr>
        <w:pStyle w:val="AllowPageBreak"/>
      </w:pPr>
    </w:p>
    <w:p w:rsidR="00000000" w:rsidRPr="00D25EE0" w:rsidP="00D25EE0">
      <w:pPr>
        <w:pStyle w:val="Heading1"/>
      </w:pPr>
      <w:bookmarkStart w:id="13" w:name="O_222593"/>
      <w:bookmarkEnd w:id="13"/>
      <w:r w:rsidRPr="00D25EE0">
        <w:t>Competency Field</w:t>
      </w:r>
    </w:p>
    <w:tbl>
      <w:tblPr>
        <w:tblW w:w="9640" w:type="dxa"/>
        <w:tblLayout w:type="fixed"/>
        <w:tblCellMar>
          <w:left w:w="62" w:type="dxa"/>
          <w:right w:w="62" w:type="dxa"/>
        </w:tblCellMar>
        <w:tblLook w:val="0000"/>
      </w:tblPr>
      <w:tblGrid>
        <w:gridCol w:w="2978"/>
        <w:gridCol w:w="6662"/>
      </w:tblGrid>
      <w:tr w:rsidTr="00A975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25EE0">
            <w:pPr>
              <w:pStyle w:val="BodyText"/>
              <w:rPr>
                <w:lang w:val="en-NZ"/>
              </w:rPr>
            </w:pPr>
            <w:r w:rsidRPr="00D25EE0">
              <w:rPr>
                <w:rStyle w:val="SpecialBold"/>
              </w:rPr>
              <w:t>Competency Field</w:t>
            </w:r>
            <w:r w:rsidRPr="00D25EE0">
              <w:t xml:space="preserve"> </w:t>
            </w:r>
          </w:p>
        </w:tc>
        <w:tc>
          <w:tcPr>
            <w:tcW w:w="6662" w:type="dxa"/>
            <w:tcBorders>
              <w:top w:val="nil"/>
              <w:left w:val="nil"/>
              <w:bottom w:val="nil"/>
              <w:right w:val="nil"/>
            </w:tcBorders>
            <w:tcMar>
              <w:top w:w="0" w:type="dxa"/>
              <w:left w:w="62" w:type="dxa"/>
              <w:bottom w:w="0" w:type="dxa"/>
              <w:right w:w="62" w:type="dxa"/>
            </w:tcMar>
          </w:tcPr>
          <w:p w:rsidR="00000000" w:rsidRPr="00D25EE0" w:rsidP="00D25EE0">
            <w:pPr>
              <w:pStyle w:val="BodyText"/>
            </w:pPr>
            <w:r w:rsidRPr="00D25EE0">
              <w:t>A - Handling Cargo/Stock</w:t>
            </w:r>
          </w:p>
        </w:tc>
      </w:tr>
    </w:tbl>
    <w:p w:rsidR="00A97537" w:rsidP="00D25EE0">
      <w:pPr>
        <w:pStyle w:val="BodyText"/>
      </w:pPr>
    </w:p>
    <w:p w:rsidR="00A97537" w:rsidP="00D25EE0">
      <w:pPr>
        <w:pStyle w:val="BodyText"/>
      </w:pPr>
    </w:p>
    <w:p w:rsidR="00000000" w:rsidRPr="00D25EE0" w:rsidP="00D25EE0"/>
    <w:sectPr w:rsidSect="00D25E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537" w:rsidP="00A975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37" w:rsidP="00D25E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7537" w:rsidP="00D25E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97537" w:rsidP="00D25E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E0" w:rsidRPr="00A97537" w:rsidP="00A975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537" w:rsidRPr="002D2AF8" w:rsidP="00D25EE0">
    <w:pPr>
      <w:pStyle w:val="Header"/>
      <w:framePr w:wrap="around"/>
    </w:pPr>
    <w:r>
      <w:fldChar w:fldCharType="begin"/>
    </w:r>
    <w:r>
      <w:instrText xml:space="preserve"> TITLE   \* MERGEFORMAT </w:instrText>
    </w:r>
    <w:r>
      <w:fldChar w:fldCharType="separate"/>
    </w:r>
    <w:r>
      <w:t>TLIA2049A Apply specialist permit requirements as part of customs broking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97537" w:rsidP="00D25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84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8C3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F0F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5EE0"/>
    <w:pPr>
      <w:spacing w:before="360" w:after="60"/>
      <w:outlineLvl w:val="0"/>
    </w:pPr>
    <w:rPr>
      <w:sz w:val="32"/>
    </w:rPr>
  </w:style>
  <w:style w:type="paragraph" w:styleId="Heading2">
    <w:name w:val="heading 2"/>
    <w:basedOn w:val="HeadingBase"/>
    <w:next w:val="BodyText"/>
    <w:link w:val="Heading2Char"/>
    <w:qFormat/>
    <w:rsid w:val="00D25EE0"/>
    <w:pPr>
      <w:keepLines/>
      <w:spacing w:before="240" w:after="120"/>
      <w:outlineLvl w:val="1"/>
    </w:pPr>
    <w:rPr>
      <w:sz w:val="28"/>
      <w:szCs w:val="40"/>
    </w:rPr>
  </w:style>
  <w:style w:type="paragraph" w:styleId="Heading3">
    <w:name w:val="heading 3"/>
    <w:basedOn w:val="HeadingBase"/>
    <w:next w:val="BodyText"/>
    <w:link w:val="Heading3Char"/>
    <w:qFormat/>
    <w:rsid w:val="00D25EE0"/>
    <w:pPr>
      <w:spacing w:before="180" w:after="120"/>
      <w:outlineLvl w:val="2"/>
    </w:pPr>
    <w:rPr>
      <w:spacing w:val="-10"/>
      <w:kern w:val="32"/>
    </w:rPr>
  </w:style>
  <w:style w:type="paragraph" w:styleId="Heading4">
    <w:name w:val="heading 4"/>
    <w:basedOn w:val="HeadingBase"/>
    <w:next w:val="BodyText"/>
    <w:link w:val="Heading4Char"/>
    <w:qFormat/>
    <w:rsid w:val="00D25EE0"/>
    <w:pPr>
      <w:spacing w:before="160" w:after="120"/>
      <w:outlineLvl w:val="3"/>
    </w:pPr>
    <w:rPr>
      <w:sz w:val="22"/>
    </w:rPr>
  </w:style>
  <w:style w:type="paragraph" w:styleId="Heading5">
    <w:name w:val="heading 5"/>
    <w:basedOn w:val="HeadingBase"/>
    <w:next w:val="Normal"/>
    <w:link w:val="Heading5Char"/>
    <w:qFormat/>
    <w:rsid w:val="00D25EE0"/>
    <w:pPr>
      <w:spacing w:before="80"/>
      <w:outlineLvl w:val="4"/>
    </w:pPr>
    <w:rPr>
      <w:color w:val="918585"/>
      <w:sz w:val="20"/>
    </w:rPr>
  </w:style>
  <w:style w:type="paragraph" w:styleId="Heading6">
    <w:name w:val="heading 6"/>
    <w:basedOn w:val="HeadingBase"/>
    <w:next w:val="Normal"/>
    <w:link w:val="Heading6Char"/>
    <w:qFormat/>
    <w:rsid w:val="00D25EE0"/>
    <w:pPr>
      <w:spacing w:before="60"/>
      <w:outlineLvl w:val="5"/>
    </w:pPr>
    <w:rPr>
      <w:color w:val="918585"/>
      <w:sz w:val="20"/>
    </w:rPr>
  </w:style>
  <w:style w:type="paragraph" w:styleId="Heading7">
    <w:name w:val="heading 7"/>
    <w:basedOn w:val="Normal"/>
    <w:next w:val="Normal"/>
    <w:link w:val="Heading7Char"/>
    <w:qFormat/>
    <w:rsid w:val="00D25EE0"/>
    <w:pPr>
      <w:ind w:left="720"/>
      <w:outlineLvl w:val="6"/>
    </w:pPr>
    <w:rPr>
      <w:i/>
    </w:rPr>
  </w:style>
  <w:style w:type="paragraph" w:styleId="Heading8">
    <w:name w:val="heading 8"/>
    <w:basedOn w:val="Normal"/>
    <w:next w:val="Normal"/>
    <w:link w:val="Heading8Char"/>
    <w:qFormat/>
    <w:rsid w:val="00D25EE0"/>
    <w:pPr>
      <w:ind w:left="720"/>
      <w:outlineLvl w:val="7"/>
    </w:pPr>
    <w:rPr>
      <w:i/>
    </w:rPr>
  </w:style>
  <w:style w:type="paragraph" w:styleId="Heading9">
    <w:name w:val="heading 9"/>
    <w:basedOn w:val="Normal"/>
    <w:next w:val="Normal"/>
    <w:link w:val="Heading9Char"/>
    <w:qFormat/>
    <w:rsid w:val="00D25EE0"/>
    <w:pPr>
      <w:ind w:left="720"/>
      <w:outlineLvl w:val="8"/>
    </w:pPr>
    <w:rPr>
      <w:i/>
    </w:rPr>
  </w:style>
  <w:style w:type="character" w:default="1" w:styleId="DefaultParagraphFont">
    <w:name w:val="Default Paragraph Font"/>
    <w:uiPriority w:val="1"/>
    <w:unhideWhenUsed/>
    <w:rsid w:val="00D25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EE0"/>
  </w:style>
  <w:style w:type="character" w:customStyle="1" w:styleId="Heading1Char">
    <w:name w:val="Heading 1 Char"/>
    <w:basedOn w:val="DefaultParagraphFont"/>
    <w:link w:val="Heading1"/>
    <w:rsid w:val="00D25EE0"/>
    <w:rPr>
      <w:rFonts w:ascii="Times New Roman" w:eastAsia="Times New Roman" w:hAnsi="Times New Roman" w:cs="Times New Roman"/>
      <w:b/>
      <w:sz w:val="32"/>
      <w:szCs w:val="20"/>
      <w:lang w:eastAsia="en-US"/>
    </w:rPr>
  </w:style>
  <w:style w:type="paragraph" w:styleId="BodyText">
    <w:name w:val="Body Text"/>
    <w:basedOn w:val="Normal"/>
    <w:link w:val="BodyTextChar"/>
    <w:rsid w:val="00D25E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5EE0"/>
    <w:rPr>
      <w:rFonts w:ascii="Times New Roman" w:eastAsia="Times New Roman" w:hAnsi="Times New Roman" w:cs="Times New Roman"/>
      <w:sz w:val="24"/>
      <w:lang w:eastAsia="en-US"/>
    </w:rPr>
  </w:style>
  <w:style w:type="paragraph" w:styleId="Footer">
    <w:name w:val="footer"/>
    <w:basedOn w:val="Normal"/>
    <w:link w:val="FooterChar"/>
    <w:rsid w:val="00D25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5EE0"/>
    <w:rPr>
      <w:rFonts w:ascii="Times New Roman" w:eastAsia="Times New Roman" w:hAnsi="Times New Roman" w:cs="Times New Roman"/>
      <w:sz w:val="16"/>
      <w:lang w:eastAsia="en-US"/>
    </w:rPr>
  </w:style>
  <w:style w:type="paragraph" w:styleId="List">
    <w:name w:val="List"/>
    <w:basedOn w:val="BodyText"/>
    <w:next w:val="BodyText"/>
    <w:rsid w:val="00D25EE0"/>
    <w:pPr>
      <w:tabs>
        <w:tab w:val="left" w:pos="340"/>
      </w:tabs>
      <w:spacing w:before="60" w:after="60"/>
      <w:ind w:left="340" w:hanging="340"/>
    </w:pPr>
  </w:style>
  <w:style w:type="paragraph" w:styleId="ListBullet">
    <w:name w:val="List Bullet"/>
    <w:basedOn w:val="List"/>
    <w:rsid w:val="00D25EE0"/>
    <w:pPr>
      <w:numPr>
        <w:numId w:val="13"/>
      </w:numPr>
      <w:tabs>
        <w:tab w:val="clear" w:pos="340"/>
      </w:tabs>
      <w:spacing w:before="40" w:after="40"/>
    </w:pPr>
  </w:style>
  <w:style w:type="character" w:customStyle="1" w:styleId="SpecialBold">
    <w:name w:val="Special Bold"/>
    <w:basedOn w:val="DefaultParagraphFont"/>
    <w:rsid w:val="00D25EE0"/>
    <w:rPr>
      <w:b/>
      <w:spacing w:val="0"/>
    </w:rPr>
  </w:style>
  <w:style w:type="paragraph" w:styleId="ListBullet2">
    <w:name w:val="List Bullet 2"/>
    <w:basedOn w:val="List2"/>
    <w:rsid w:val="00D25EE0"/>
    <w:pPr>
      <w:numPr>
        <w:numId w:val="14"/>
      </w:numPr>
      <w:tabs>
        <w:tab w:val="clear" w:pos="680"/>
      </w:tabs>
    </w:pPr>
  </w:style>
  <w:style w:type="paragraph" w:customStyle="1" w:styleId="SuperHeading">
    <w:name w:val="SuperHeading"/>
    <w:basedOn w:val="Normal"/>
    <w:rsid w:val="00D25EE0"/>
    <w:pPr>
      <w:spacing w:before="240" w:after="120"/>
      <w:outlineLvl w:val="0"/>
    </w:pPr>
    <w:rPr>
      <w:rFonts w:ascii="Times New Roman" w:hAnsi="Times New Roman"/>
      <w:b/>
      <w:sz w:val="28"/>
    </w:rPr>
  </w:style>
  <w:style w:type="paragraph" w:customStyle="1" w:styleId="AllowPageBreak">
    <w:name w:val="AllowPageBreak"/>
    <w:rsid w:val="00D25E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5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5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5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5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5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5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5EE0"/>
    <w:rPr>
      <w:rFonts w:ascii="Courier New" w:eastAsia="Times New Roman" w:hAnsi="Courier New" w:cs="Times New Roman"/>
      <w:i/>
      <w:szCs w:val="20"/>
      <w:lang w:eastAsia="en-US"/>
    </w:rPr>
  </w:style>
  <w:style w:type="paragraph" w:customStyle="1" w:styleId="HeadingBase">
    <w:name w:val="Heading Base"/>
    <w:rsid w:val="00D25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EE0"/>
    <w:pPr>
      <w:tabs>
        <w:tab w:val="right" w:leader="dot" w:pos="9072"/>
      </w:tabs>
      <w:ind w:left="567"/>
    </w:pPr>
    <w:rPr>
      <w:szCs w:val="22"/>
    </w:rPr>
  </w:style>
  <w:style w:type="paragraph" w:customStyle="1" w:styleId="TOCBase">
    <w:name w:val="TOC Base"/>
    <w:rsid w:val="00D25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EE0"/>
    <w:pPr>
      <w:tabs>
        <w:tab w:val="right" w:leader="dot" w:pos="9072"/>
      </w:tabs>
      <w:spacing w:before="40" w:after="40"/>
      <w:ind w:left="284"/>
    </w:pPr>
    <w:rPr>
      <w:rFonts w:ascii="Times New Roman" w:hAnsi="Times New Roman"/>
    </w:rPr>
  </w:style>
  <w:style w:type="paragraph" w:styleId="TOC1">
    <w:name w:val="toc 1"/>
    <w:basedOn w:val="TOCBase"/>
    <w:next w:val="Normal"/>
    <w:rsid w:val="00D25E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EE0"/>
    <w:pPr>
      <w:spacing w:before="5040"/>
      <w:jc w:val="center"/>
    </w:pPr>
    <w:rPr>
      <w:sz w:val="48"/>
      <w:szCs w:val="72"/>
      <w:lang w:val="en-US"/>
    </w:rPr>
  </w:style>
  <w:style w:type="character" w:customStyle="1" w:styleId="TitleChar">
    <w:name w:val="Title Char"/>
    <w:basedOn w:val="DefaultParagraphFont"/>
    <w:link w:val="Title"/>
    <w:rsid w:val="00D25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EE0"/>
    <w:pPr>
      <w:tabs>
        <w:tab w:val="left" w:pos="3600"/>
        <w:tab w:val="left" w:pos="3958"/>
      </w:tabs>
    </w:pPr>
  </w:style>
  <w:style w:type="paragraph" w:customStyle="1" w:styleId="Note">
    <w:name w:val="Note"/>
    <w:basedOn w:val="BodyText"/>
    <w:rsid w:val="00D25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EE0"/>
    <w:pPr>
      <w:framePr w:wrap="auto" w:hAnchor="text" w:y="6049"/>
    </w:pPr>
    <w:rPr>
      <w:color w:val="000000"/>
      <w:sz w:val="40"/>
    </w:rPr>
  </w:style>
  <w:style w:type="paragraph" w:customStyle="1" w:styleId="TOCTitle">
    <w:name w:val="TOCTitle"/>
    <w:basedOn w:val="Heading1"/>
    <w:rsid w:val="00D25EE0"/>
    <w:pPr>
      <w:spacing w:after="240"/>
      <w:jc w:val="center"/>
      <w:outlineLvl w:val="9"/>
    </w:pPr>
    <w:rPr>
      <w:caps/>
    </w:rPr>
  </w:style>
  <w:style w:type="paragraph" w:customStyle="1" w:styleId="Version">
    <w:name w:val="Version"/>
    <w:rsid w:val="00D25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EE0"/>
    <w:pPr>
      <w:keepNext w:val="0"/>
      <w:tabs>
        <w:tab w:val="right" w:pos="4176"/>
      </w:tabs>
      <w:ind w:left="198" w:hanging="198"/>
    </w:pPr>
    <w:rPr>
      <w:rFonts w:ascii="Garamond" w:hAnsi="Garamond"/>
    </w:rPr>
  </w:style>
  <w:style w:type="paragraph" w:styleId="IndexHeading">
    <w:name w:val="index heading"/>
    <w:basedOn w:val="Normal"/>
    <w:next w:val="Index1"/>
    <w:semiHidden/>
    <w:rsid w:val="00D25EE0"/>
    <w:pPr>
      <w:spacing w:before="120" w:after="120"/>
    </w:pPr>
    <w:rPr>
      <w:rFonts w:ascii="Arial" w:hAnsi="Arial"/>
      <w:b/>
      <w:color w:val="918585"/>
      <w:sz w:val="24"/>
    </w:rPr>
  </w:style>
  <w:style w:type="paragraph" w:styleId="Header">
    <w:name w:val="header"/>
    <w:basedOn w:val="Normal"/>
    <w:link w:val="HeaderChar"/>
    <w:rsid w:val="00D25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5EE0"/>
    <w:rPr>
      <w:rFonts w:ascii="Times New Roman" w:eastAsia="Times New Roman" w:hAnsi="Times New Roman" w:cs="Times New Roman"/>
      <w:sz w:val="16"/>
      <w:szCs w:val="20"/>
      <w:lang w:val="en-GB" w:eastAsia="en-US"/>
    </w:rPr>
  </w:style>
  <w:style w:type="paragraph" w:customStyle="1" w:styleId="Chapter">
    <w:name w:val="Chapter"/>
    <w:basedOn w:val="Normal"/>
    <w:rsid w:val="00D25EE0"/>
    <w:pPr>
      <w:spacing w:before="240"/>
    </w:pPr>
    <w:rPr>
      <w:rFonts w:ascii="Times New Roman" w:hAnsi="Times New Roman"/>
      <w:smallCaps/>
      <w:spacing w:val="80"/>
      <w:sz w:val="28"/>
    </w:rPr>
  </w:style>
  <w:style w:type="paragraph" w:customStyle="1" w:styleId="InChapter">
    <w:name w:val="InChapter"/>
    <w:basedOn w:val="Heading3"/>
    <w:rsid w:val="00D25EE0"/>
    <w:pPr>
      <w:spacing w:after="240"/>
      <w:outlineLvl w:val="9"/>
    </w:pPr>
    <w:rPr>
      <w:noProof/>
    </w:rPr>
  </w:style>
  <w:style w:type="paragraph" w:styleId="Index2">
    <w:name w:val="index 2"/>
    <w:basedOn w:val="Normal"/>
    <w:next w:val="Normal"/>
    <w:semiHidden/>
    <w:rsid w:val="00D25EE0"/>
    <w:pPr>
      <w:tabs>
        <w:tab w:val="right" w:pos="4176"/>
      </w:tabs>
      <w:ind w:left="568" w:hanging="284"/>
    </w:pPr>
    <w:rPr>
      <w:rFonts w:ascii="Garamond" w:hAnsi="Garamond"/>
    </w:rPr>
  </w:style>
  <w:style w:type="paragraph" w:customStyle="1" w:styleId="Byline">
    <w:name w:val="Byline"/>
    <w:rsid w:val="00D25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EE0"/>
    <w:pPr>
      <w:tabs>
        <w:tab w:val="clear" w:pos="3600"/>
        <w:tab w:val="clear" w:pos="3958"/>
      </w:tabs>
      <w:jc w:val="right"/>
    </w:pPr>
  </w:style>
  <w:style w:type="character" w:styleId="Emphasis">
    <w:name w:val="Emphasis"/>
    <w:basedOn w:val="DefaultParagraphFont"/>
    <w:qFormat/>
    <w:rsid w:val="00D25EE0"/>
    <w:rPr>
      <w:i/>
    </w:rPr>
  </w:style>
  <w:style w:type="paragraph" w:styleId="Caption">
    <w:name w:val="caption"/>
    <w:basedOn w:val="BodyText"/>
    <w:next w:val="Normal"/>
    <w:qFormat/>
    <w:rsid w:val="00D25EE0"/>
    <w:pPr>
      <w:framePr w:w="2268" w:hSpace="181" w:vSpace="181" w:wrap="around" w:vAnchor="text" w:hAnchor="page" w:x="1135" w:y="285" w:anchorLock="1"/>
    </w:pPr>
    <w:rPr>
      <w:i/>
    </w:rPr>
  </w:style>
  <w:style w:type="paragraph" w:customStyle="1" w:styleId="MiniTOCTitle">
    <w:name w:val="MiniTOCTitle"/>
    <w:basedOn w:val="Heading4"/>
    <w:rsid w:val="00D25EE0"/>
    <w:pPr>
      <w:spacing w:before="240"/>
      <w:outlineLvl w:val="9"/>
    </w:pPr>
    <w:rPr>
      <w:noProof/>
      <w:sz w:val="24"/>
    </w:rPr>
  </w:style>
  <w:style w:type="paragraph" w:customStyle="1" w:styleId="MiniTOCItem">
    <w:name w:val="MiniTOCItem"/>
    <w:basedOn w:val="ListBullet"/>
    <w:rsid w:val="00D25EE0"/>
    <w:pPr>
      <w:numPr>
        <w:numId w:val="0"/>
      </w:numPr>
      <w:tabs>
        <w:tab w:val="right" w:leader="dot" w:pos="6521"/>
      </w:tabs>
      <w:spacing w:before="0" w:after="0"/>
    </w:pPr>
  </w:style>
  <w:style w:type="paragraph" w:customStyle="1" w:styleId="TOFTitle">
    <w:name w:val="TOFTitle"/>
    <w:basedOn w:val="TOCTitle"/>
    <w:rsid w:val="00D25EE0"/>
  </w:style>
  <w:style w:type="paragraph" w:styleId="TableofFigures">
    <w:name w:val="table of figures"/>
    <w:basedOn w:val="Normal"/>
    <w:next w:val="Normal"/>
    <w:semiHidden/>
    <w:rsid w:val="00D25EE0"/>
    <w:pPr>
      <w:tabs>
        <w:tab w:val="right" w:leader="dot" w:pos="9072"/>
      </w:tabs>
      <w:ind w:left="970" w:hanging="403"/>
    </w:pPr>
    <w:rPr>
      <w:rFonts w:ascii="Times New Roman" w:hAnsi="Times New Roman"/>
      <w:b/>
    </w:rPr>
  </w:style>
  <w:style w:type="paragraph" w:styleId="ListNumber">
    <w:name w:val="List Number"/>
    <w:basedOn w:val="List"/>
    <w:rsid w:val="00D25EE0"/>
    <w:pPr>
      <w:numPr>
        <w:numId w:val="11"/>
      </w:numPr>
    </w:pPr>
  </w:style>
  <w:style w:type="character" w:customStyle="1" w:styleId="WingdingSymbols">
    <w:name w:val="Wingding Symbols"/>
    <w:rsid w:val="00D25EE0"/>
    <w:rPr>
      <w:rFonts w:ascii="Wingdings" w:hAnsi="Wingdings"/>
    </w:rPr>
  </w:style>
  <w:style w:type="paragraph" w:customStyle="1" w:styleId="TableHeading">
    <w:name w:val="Table Heading"/>
    <w:basedOn w:val="HeadingBase"/>
    <w:rsid w:val="00D25EE0"/>
    <w:pPr>
      <w:keepLines/>
      <w:pBdr>
        <w:bottom w:val="single" w:sz="6" w:space="1" w:color="918585"/>
      </w:pBdr>
      <w:spacing w:before="240"/>
    </w:pPr>
  </w:style>
  <w:style w:type="character" w:customStyle="1" w:styleId="HotSpot">
    <w:name w:val="HotSpot"/>
    <w:rsid w:val="00D25EE0"/>
    <w:rPr>
      <w:color w:val="0033CC"/>
      <w:u w:val="none"/>
    </w:rPr>
  </w:style>
  <w:style w:type="paragraph" w:customStyle="1" w:styleId="BodyTextRight">
    <w:name w:val="Body Text Right"/>
    <w:basedOn w:val="BodyText"/>
    <w:rsid w:val="00D25EE0"/>
    <w:pPr>
      <w:spacing w:before="0" w:after="0"/>
      <w:jc w:val="right"/>
    </w:pPr>
  </w:style>
  <w:style w:type="paragraph" w:styleId="Index3">
    <w:name w:val="index 3"/>
    <w:basedOn w:val="ListNumber2"/>
    <w:next w:val="Normal"/>
    <w:semiHidden/>
    <w:rsid w:val="00D25EE0"/>
    <w:pPr>
      <w:numPr>
        <w:numId w:val="0"/>
      </w:numPr>
      <w:tabs>
        <w:tab w:val="right" w:leader="dot" w:pos="4176"/>
      </w:tabs>
    </w:pPr>
  </w:style>
  <w:style w:type="paragraph" w:styleId="ListNumber2">
    <w:name w:val="List Number 2"/>
    <w:basedOn w:val="List2"/>
    <w:rsid w:val="00D25EE0"/>
    <w:pPr>
      <w:numPr>
        <w:numId w:val="10"/>
      </w:numPr>
      <w:tabs>
        <w:tab w:val="clear" w:pos="1060"/>
      </w:tabs>
    </w:pPr>
  </w:style>
  <w:style w:type="paragraph" w:customStyle="1" w:styleId="MarginNote">
    <w:name w:val="Margin Note"/>
    <w:basedOn w:val="BodyText"/>
    <w:rsid w:val="00D25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5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5EE0"/>
    <w:rPr>
      <w:sz w:val="32"/>
    </w:rPr>
  </w:style>
  <w:style w:type="paragraph" w:customStyle="1" w:styleId="HeadingProcedure">
    <w:name w:val="Heading Procedure"/>
    <w:basedOn w:val="HeadingBase"/>
    <w:next w:val="Normal"/>
    <w:rsid w:val="00D25EE0"/>
    <w:pPr>
      <w:tabs>
        <w:tab w:val="left" w:pos="0"/>
      </w:tabs>
      <w:spacing w:before="120" w:after="60"/>
    </w:pPr>
    <w:rPr>
      <w:i/>
      <w:color w:val="918585"/>
      <w:sz w:val="22"/>
    </w:rPr>
  </w:style>
  <w:style w:type="paragraph" w:customStyle="1" w:styleId="TableBodyText">
    <w:name w:val="Table Body Text"/>
    <w:basedOn w:val="BodyText"/>
    <w:rsid w:val="00D25EE0"/>
    <w:pPr>
      <w:spacing w:before="60" w:after="60"/>
    </w:pPr>
  </w:style>
  <w:style w:type="paragraph" w:styleId="ListContinue">
    <w:name w:val="List Continue"/>
    <w:basedOn w:val="List"/>
    <w:rsid w:val="00D25EE0"/>
    <w:pPr>
      <w:ind w:firstLine="0"/>
    </w:pPr>
  </w:style>
  <w:style w:type="paragraph" w:customStyle="1" w:styleId="ListNote">
    <w:name w:val="List Note"/>
    <w:basedOn w:val="List"/>
    <w:rsid w:val="00D25EE0"/>
    <w:pPr>
      <w:pBdr>
        <w:top w:val="single" w:sz="6" w:space="2" w:color="918585"/>
        <w:bottom w:val="single" w:sz="6" w:space="2" w:color="918585"/>
      </w:pBdr>
      <w:tabs>
        <w:tab w:val="left" w:pos="1021"/>
      </w:tabs>
      <w:ind w:firstLine="0"/>
    </w:pPr>
  </w:style>
  <w:style w:type="paragraph" w:customStyle="1" w:styleId="Warning">
    <w:name w:val="Warning"/>
    <w:basedOn w:val="BodyText"/>
    <w:rsid w:val="00D25EE0"/>
    <w:pPr>
      <w:shd w:val="clear" w:color="auto" w:fill="D9D9D9"/>
      <w:tabs>
        <w:tab w:val="left" w:pos="992"/>
      </w:tabs>
      <w:ind w:left="119" w:right="119"/>
    </w:pPr>
    <w:rPr>
      <w:sz w:val="20"/>
    </w:rPr>
  </w:style>
  <w:style w:type="paragraph" w:customStyle="1" w:styleId="MarginIcons">
    <w:name w:val="Margin Icons"/>
    <w:basedOn w:val="BodyText"/>
    <w:rsid w:val="00D25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5EE0"/>
    <w:rPr>
      <w:rFonts w:ascii="Courier New" w:hAnsi="Courier New"/>
    </w:rPr>
  </w:style>
  <w:style w:type="paragraph" w:customStyle="1" w:styleId="NoteBullet">
    <w:name w:val="Note Bullet"/>
    <w:basedOn w:val="Note"/>
    <w:rsid w:val="00D25EE0"/>
    <w:pPr>
      <w:tabs>
        <w:tab w:val="clear" w:pos="680"/>
      </w:tabs>
      <w:spacing w:before="60" w:after="60"/>
    </w:pPr>
  </w:style>
  <w:style w:type="paragraph" w:customStyle="1" w:styleId="SubHeading2">
    <w:name w:val="SubHeading2"/>
    <w:basedOn w:val="HeadingBase"/>
    <w:rsid w:val="00D25EE0"/>
    <w:pPr>
      <w:spacing w:before="240" w:after="60"/>
    </w:pPr>
    <w:rPr>
      <w:sz w:val="20"/>
    </w:rPr>
  </w:style>
  <w:style w:type="paragraph" w:customStyle="1" w:styleId="SubHeading1">
    <w:name w:val="SubHeading1"/>
    <w:basedOn w:val="HeadingBase"/>
    <w:rsid w:val="00D25EE0"/>
    <w:pPr>
      <w:spacing w:before="240" w:after="60"/>
    </w:pPr>
    <w:rPr>
      <w:color w:val="918585"/>
      <w:sz w:val="22"/>
    </w:rPr>
  </w:style>
  <w:style w:type="paragraph" w:customStyle="1" w:styleId="SideHeading">
    <w:name w:val="Side Heading"/>
    <w:basedOn w:val="HeadingBase"/>
    <w:rsid w:val="00D25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EE0"/>
    <w:pPr>
      <w:numPr>
        <w:numId w:val="12"/>
      </w:numPr>
    </w:pPr>
  </w:style>
  <w:style w:type="paragraph" w:styleId="PlainText">
    <w:name w:val="Plain Text"/>
    <w:basedOn w:val="Normal"/>
    <w:link w:val="PlainTextChar"/>
    <w:rsid w:val="00D25EE0"/>
    <w:rPr>
      <w:sz w:val="20"/>
    </w:rPr>
  </w:style>
  <w:style w:type="character" w:customStyle="1" w:styleId="PlainTextChar">
    <w:name w:val="Plain Text Char"/>
    <w:basedOn w:val="DefaultParagraphFont"/>
    <w:link w:val="PlainText"/>
    <w:rsid w:val="00D25EE0"/>
    <w:rPr>
      <w:rFonts w:ascii="Courier New" w:eastAsia="Times New Roman" w:hAnsi="Courier New" w:cs="Times New Roman"/>
      <w:sz w:val="20"/>
      <w:szCs w:val="20"/>
      <w:lang w:eastAsia="en-US"/>
    </w:rPr>
  </w:style>
  <w:style w:type="character" w:customStyle="1" w:styleId="MenuOption">
    <w:name w:val="Menu Option"/>
    <w:basedOn w:val="DefaultParagraphFont"/>
    <w:rsid w:val="00D25EE0"/>
    <w:rPr>
      <w:b/>
      <w:smallCaps/>
    </w:rPr>
  </w:style>
  <w:style w:type="paragraph" w:customStyle="1" w:styleId="TableListNumber">
    <w:name w:val="Table List Number"/>
    <w:basedOn w:val="ListNumber"/>
    <w:rsid w:val="00D25EE0"/>
    <w:pPr>
      <w:numPr>
        <w:numId w:val="0"/>
      </w:numPr>
    </w:pPr>
  </w:style>
  <w:style w:type="paragraph" w:styleId="TOC4">
    <w:name w:val="toc 4"/>
    <w:basedOn w:val="TOCBase"/>
    <w:next w:val="Normal"/>
    <w:semiHidden/>
    <w:rsid w:val="00D25EE0"/>
    <w:pPr>
      <w:tabs>
        <w:tab w:val="right" w:leader="dot" w:pos="9071"/>
      </w:tabs>
      <w:ind w:left="1701"/>
    </w:pPr>
  </w:style>
  <w:style w:type="paragraph" w:customStyle="1" w:styleId="ListAlpha">
    <w:name w:val="List Alpha"/>
    <w:basedOn w:val="List"/>
    <w:rsid w:val="00D25EE0"/>
    <w:pPr>
      <w:numPr>
        <w:numId w:val="9"/>
      </w:numPr>
    </w:pPr>
  </w:style>
  <w:style w:type="paragraph" w:customStyle="1" w:styleId="ListAlpha2">
    <w:name w:val="List Alpha 2"/>
    <w:basedOn w:val="List2"/>
    <w:rsid w:val="00D25EE0"/>
    <w:pPr>
      <w:numPr>
        <w:numId w:val="8"/>
      </w:numPr>
    </w:pPr>
  </w:style>
  <w:style w:type="paragraph" w:styleId="List2">
    <w:name w:val="List 2"/>
    <w:basedOn w:val="BodyText"/>
    <w:rsid w:val="00D25EE0"/>
    <w:pPr>
      <w:tabs>
        <w:tab w:val="left" w:pos="680"/>
      </w:tabs>
      <w:spacing w:before="60" w:after="60"/>
      <w:ind w:left="680" w:hanging="340"/>
    </w:pPr>
  </w:style>
  <w:style w:type="paragraph" w:styleId="List3">
    <w:name w:val="List 3"/>
    <w:basedOn w:val="BodyText"/>
    <w:rsid w:val="00D25EE0"/>
    <w:pPr>
      <w:tabs>
        <w:tab w:val="left" w:pos="1021"/>
      </w:tabs>
      <w:spacing w:before="60" w:after="60"/>
      <w:ind w:left="1020" w:hanging="340"/>
    </w:pPr>
  </w:style>
  <w:style w:type="paragraph" w:styleId="List4">
    <w:name w:val="List 4"/>
    <w:basedOn w:val="BodyText"/>
    <w:rsid w:val="00D25EE0"/>
    <w:pPr>
      <w:tabs>
        <w:tab w:val="left" w:pos="1361"/>
      </w:tabs>
      <w:spacing w:before="60" w:after="60"/>
      <w:ind w:left="1361" w:hanging="340"/>
    </w:pPr>
  </w:style>
  <w:style w:type="paragraph" w:styleId="List5">
    <w:name w:val="List 5"/>
    <w:basedOn w:val="BodyText"/>
    <w:rsid w:val="00D25EE0"/>
    <w:pPr>
      <w:tabs>
        <w:tab w:val="left" w:pos="1701"/>
      </w:tabs>
      <w:spacing w:before="60" w:after="60"/>
      <w:ind w:left="1701" w:hanging="340"/>
    </w:pPr>
  </w:style>
  <w:style w:type="paragraph" w:styleId="ListBullet3">
    <w:name w:val="List Bullet 3"/>
    <w:basedOn w:val="List3"/>
    <w:rsid w:val="00D25EE0"/>
    <w:pPr>
      <w:numPr>
        <w:numId w:val="15"/>
      </w:numPr>
      <w:tabs>
        <w:tab w:val="clear" w:pos="1021"/>
      </w:tabs>
      <w:ind w:left="1037" w:hanging="357"/>
    </w:pPr>
  </w:style>
  <w:style w:type="paragraph" w:styleId="ListBullet4">
    <w:name w:val="List Bullet 4"/>
    <w:basedOn w:val="List4"/>
    <w:rsid w:val="00D25EE0"/>
    <w:pPr>
      <w:numPr>
        <w:numId w:val="3"/>
      </w:numPr>
    </w:pPr>
  </w:style>
  <w:style w:type="paragraph" w:styleId="ListBullet5">
    <w:name w:val="List Bullet 5"/>
    <w:basedOn w:val="List5"/>
    <w:rsid w:val="00D25EE0"/>
    <w:pPr>
      <w:numPr>
        <w:numId w:val="4"/>
      </w:numPr>
    </w:pPr>
  </w:style>
  <w:style w:type="paragraph" w:styleId="ListContinue2">
    <w:name w:val="List Continue 2"/>
    <w:basedOn w:val="List2"/>
    <w:rsid w:val="00D25EE0"/>
    <w:pPr>
      <w:ind w:firstLine="0"/>
    </w:pPr>
  </w:style>
  <w:style w:type="paragraph" w:styleId="ListContinue3">
    <w:name w:val="List Continue 3"/>
    <w:basedOn w:val="List3"/>
    <w:rsid w:val="00D25EE0"/>
    <w:pPr>
      <w:ind w:left="1021" w:firstLine="0"/>
    </w:pPr>
  </w:style>
  <w:style w:type="paragraph" w:styleId="ListContinue4">
    <w:name w:val="List Continue 4"/>
    <w:basedOn w:val="List4"/>
    <w:rsid w:val="00D25EE0"/>
    <w:pPr>
      <w:ind w:firstLine="0"/>
    </w:pPr>
  </w:style>
  <w:style w:type="paragraph" w:styleId="ListContinue5">
    <w:name w:val="List Continue 5"/>
    <w:basedOn w:val="List5"/>
    <w:rsid w:val="00D25EE0"/>
    <w:pPr>
      <w:ind w:firstLine="0"/>
    </w:pPr>
  </w:style>
  <w:style w:type="paragraph" w:styleId="ListNumber3">
    <w:name w:val="List Number 3"/>
    <w:basedOn w:val="List3"/>
    <w:rsid w:val="00D25EE0"/>
    <w:pPr>
      <w:numPr>
        <w:numId w:val="5"/>
      </w:numPr>
    </w:pPr>
  </w:style>
  <w:style w:type="paragraph" w:styleId="ListNumber4">
    <w:name w:val="List Number 4"/>
    <w:basedOn w:val="List4"/>
    <w:rsid w:val="00D25EE0"/>
    <w:pPr>
      <w:numPr>
        <w:numId w:val="6"/>
      </w:numPr>
    </w:pPr>
  </w:style>
  <w:style w:type="paragraph" w:styleId="ListNumber5">
    <w:name w:val="List Number 5"/>
    <w:basedOn w:val="List5"/>
    <w:rsid w:val="00D25EE0"/>
    <w:pPr>
      <w:numPr>
        <w:numId w:val="7"/>
      </w:numPr>
    </w:pPr>
  </w:style>
  <w:style w:type="paragraph" w:styleId="BlockText">
    <w:name w:val="Block Text"/>
    <w:basedOn w:val="Normal"/>
    <w:rsid w:val="00D25EE0"/>
    <w:pPr>
      <w:spacing w:after="120"/>
      <w:ind w:left="1440" w:right="1440"/>
    </w:pPr>
  </w:style>
  <w:style w:type="character" w:customStyle="1" w:styleId="Subscript">
    <w:name w:val="Subscript"/>
    <w:basedOn w:val="DefaultParagraphFont"/>
    <w:rsid w:val="00D25EE0"/>
    <w:rPr>
      <w:sz w:val="16"/>
      <w:vertAlign w:val="subscript"/>
    </w:rPr>
  </w:style>
  <w:style w:type="character" w:customStyle="1" w:styleId="Superscript">
    <w:name w:val="Superscript"/>
    <w:basedOn w:val="DefaultParagraphFont"/>
    <w:rsid w:val="00D25EE0"/>
    <w:rPr>
      <w:sz w:val="16"/>
      <w:vertAlign w:val="superscript"/>
    </w:rPr>
  </w:style>
  <w:style w:type="character" w:customStyle="1" w:styleId="Symbols">
    <w:name w:val="Symbols"/>
    <w:basedOn w:val="DefaultParagraphFont"/>
    <w:rsid w:val="00D25EE0"/>
    <w:rPr>
      <w:rFonts w:ascii="Symbol" w:hAnsi="Symbol"/>
    </w:rPr>
  </w:style>
  <w:style w:type="character" w:customStyle="1" w:styleId="MenuOptions">
    <w:name w:val="Menu Options"/>
    <w:basedOn w:val="DefaultParagraphFont"/>
    <w:rsid w:val="00D25EE0"/>
    <w:rPr>
      <w:rFonts w:ascii="Arial Narrow" w:hAnsi="Arial Narrow"/>
      <w:smallCaps/>
    </w:rPr>
  </w:style>
  <w:style w:type="character" w:customStyle="1" w:styleId="Buttons">
    <w:name w:val="Buttons"/>
    <w:basedOn w:val="DefaultParagraphFont"/>
    <w:rsid w:val="00D25EE0"/>
    <w:rPr>
      <w:b/>
    </w:rPr>
  </w:style>
  <w:style w:type="character" w:customStyle="1" w:styleId="Underlined">
    <w:name w:val="Underlined"/>
    <w:basedOn w:val="DefaultParagraphFont"/>
    <w:rsid w:val="00D25EE0"/>
    <w:rPr>
      <w:u w:val="single"/>
    </w:rPr>
  </w:style>
  <w:style w:type="paragraph" w:customStyle="1" w:styleId="TableBodyTextRight">
    <w:name w:val="Table Body Text Right"/>
    <w:basedOn w:val="TableBodyText"/>
    <w:rsid w:val="00D25EE0"/>
    <w:pPr>
      <w:widowControl w:val="0"/>
      <w:autoSpaceDE w:val="0"/>
      <w:autoSpaceDN w:val="0"/>
      <w:adjustRightInd w:val="0"/>
      <w:jc w:val="right"/>
    </w:pPr>
    <w:rPr>
      <w:rFonts w:cs="Arial"/>
      <w:szCs w:val="18"/>
    </w:rPr>
  </w:style>
  <w:style w:type="paragraph" w:customStyle="1" w:styleId="CopyrightText">
    <w:name w:val="Copyright Text"/>
    <w:basedOn w:val="BodyText"/>
    <w:rsid w:val="00D25EE0"/>
    <w:rPr>
      <w:sz w:val="18"/>
    </w:rPr>
  </w:style>
  <w:style w:type="paragraph" w:customStyle="1" w:styleId="BodySmallRight">
    <w:name w:val="Body Small Right"/>
    <w:basedOn w:val="BodyTextRight"/>
    <w:rsid w:val="00D25EE0"/>
    <w:rPr>
      <w:sz w:val="18"/>
      <w:szCs w:val="18"/>
    </w:rPr>
  </w:style>
  <w:style w:type="paragraph" w:customStyle="1" w:styleId="MarginEdition">
    <w:name w:val="Margin Edition"/>
    <w:basedOn w:val="MarginNote"/>
    <w:rsid w:val="00D25EE0"/>
    <w:pPr>
      <w:spacing w:before="0" w:after="0"/>
    </w:pPr>
    <w:rPr>
      <w:rFonts w:ascii="Times New Roman" w:hAnsi="Times New Roman"/>
      <w:color w:val="999999"/>
    </w:rPr>
  </w:style>
  <w:style w:type="paragraph" w:customStyle="1" w:styleId="Spacer">
    <w:name w:val="Spacer"/>
    <w:basedOn w:val="Normal"/>
    <w:rsid w:val="00D25EE0"/>
    <w:rPr>
      <w:sz w:val="2"/>
      <w:szCs w:val="2"/>
    </w:rPr>
  </w:style>
  <w:style w:type="character" w:customStyle="1" w:styleId="Small">
    <w:name w:val="Small"/>
    <w:basedOn w:val="DefaultParagraphFont"/>
    <w:rsid w:val="00D25EE0"/>
    <w:rPr>
      <w:sz w:val="16"/>
    </w:rPr>
  </w:style>
  <w:style w:type="paragraph" w:customStyle="1" w:styleId="WideTable">
    <w:name w:val="Wide Table"/>
    <w:basedOn w:val="Normal"/>
    <w:rsid w:val="00D25EE0"/>
    <w:pPr>
      <w:ind w:left="-1418"/>
    </w:pPr>
    <w:rPr>
      <w:sz w:val="2"/>
      <w:szCs w:val="2"/>
    </w:rPr>
  </w:style>
  <w:style w:type="character" w:styleId="PageNumber">
    <w:name w:val="page number"/>
    <w:basedOn w:val="DefaultParagraphFont"/>
    <w:rsid w:val="00D25EE0"/>
  </w:style>
  <w:style w:type="paragraph" w:styleId="Quote">
    <w:name w:val="Quote"/>
    <w:basedOn w:val="Heading1"/>
    <w:link w:val="QuoteChar"/>
    <w:qFormat/>
    <w:rsid w:val="00D25EE0"/>
    <w:rPr>
      <w:b w:val="0"/>
      <w:sz w:val="72"/>
      <w:szCs w:val="72"/>
      <w:lang w:val="en-NZ"/>
    </w:rPr>
  </w:style>
  <w:style w:type="character" w:customStyle="1" w:styleId="QuoteChar">
    <w:name w:val="Quote Char"/>
    <w:basedOn w:val="DefaultParagraphFont"/>
    <w:link w:val="Quote"/>
    <w:rsid w:val="00D25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EE0"/>
    <w:pPr>
      <w:pageBreakBefore/>
    </w:pPr>
  </w:style>
  <w:style w:type="paragraph" w:customStyle="1" w:styleId="Border">
    <w:name w:val="Border"/>
    <w:basedOn w:val="Normal"/>
    <w:qFormat/>
    <w:rsid w:val="00D25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5EE0"/>
    <w:rPr>
      <w:b/>
      <w:bCs/>
      <w:i/>
      <w:iCs/>
      <w:color w:val="auto"/>
    </w:rPr>
  </w:style>
  <w:style w:type="paragraph" w:styleId="IntenseQuote">
    <w:name w:val="Intense Quote"/>
    <w:basedOn w:val="Normal"/>
    <w:next w:val="Normal"/>
    <w:link w:val="IntenseQuoteChar"/>
    <w:uiPriority w:val="30"/>
    <w:qFormat/>
    <w:rsid w:val="00D25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5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5EE0"/>
    <w:rPr>
      <w:smallCaps/>
      <w:color w:val="auto"/>
      <w:u w:val="single"/>
    </w:rPr>
  </w:style>
  <w:style w:type="character" w:styleId="IntenseReference">
    <w:name w:val="Intense Reference"/>
    <w:basedOn w:val="DefaultParagraphFont"/>
    <w:uiPriority w:val="32"/>
    <w:qFormat/>
    <w:rsid w:val="00D25EE0"/>
    <w:rPr>
      <w:b/>
      <w:bCs/>
      <w:smallCaps/>
      <w:color w:val="auto"/>
      <w:spacing w:val="5"/>
      <w:u w:val="single"/>
    </w:rPr>
  </w:style>
  <w:style w:type="paragraph" w:customStyle="1" w:styleId="2ColumnHeading">
    <w:name w:val="2Column Heading"/>
    <w:basedOn w:val="BodyText"/>
    <w:qFormat/>
    <w:rsid w:val="00D25EE0"/>
    <w:pPr>
      <w:spacing w:after="60"/>
      <w:ind w:left="-2268"/>
    </w:pPr>
    <w:rPr>
      <w:b/>
    </w:rPr>
  </w:style>
  <w:style w:type="paragraph" w:customStyle="1" w:styleId="Heading1TOC">
    <w:name w:val="Heading1 TOC"/>
    <w:basedOn w:val="Normal"/>
    <w:qFormat/>
    <w:rsid w:val="00D25EE0"/>
    <w:pPr>
      <w:spacing w:before="240" w:after="120"/>
    </w:pPr>
    <w:rPr>
      <w:rFonts w:ascii="Times New Roman" w:hAnsi="Times New Roman"/>
      <w:b/>
      <w:sz w:val="32"/>
    </w:rPr>
  </w:style>
  <w:style w:type="paragraph" w:customStyle="1" w:styleId="Heading2TOC">
    <w:name w:val="Heading2 TOC"/>
    <w:basedOn w:val="Normal"/>
    <w:qFormat/>
    <w:rsid w:val="00D25EE0"/>
    <w:pPr>
      <w:spacing w:before="240" w:after="60"/>
    </w:pPr>
    <w:rPr>
      <w:rFonts w:ascii="Times New Roman" w:hAnsi="Times New Roman"/>
      <w:b/>
      <w:sz w:val="28"/>
    </w:rPr>
  </w:style>
  <w:style w:type="character" w:customStyle="1" w:styleId="Underline">
    <w:name w:val="Underline"/>
    <w:basedOn w:val="DefaultParagraphFont"/>
    <w:qFormat/>
    <w:rsid w:val="00D25EE0"/>
    <w:rPr>
      <w:u w:val="single"/>
    </w:rPr>
  </w:style>
  <w:style w:type="character" w:customStyle="1" w:styleId="BoldandItalics">
    <w:name w:val="Bold and Italics"/>
    <w:qFormat/>
    <w:rsid w:val="00D25EE0"/>
    <w:rPr>
      <w:b/>
      <w:i/>
      <w:u w:val="none"/>
    </w:rPr>
  </w:style>
  <w:style w:type="paragraph" w:styleId="BalloonText">
    <w:name w:val="Balloon Text"/>
    <w:basedOn w:val="Normal"/>
    <w:link w:val="BalloonTextChar"/>
    <w:rsid w:val="00D25EE0"/>
    <w:rPr>
      <w:rFonts w:ascii="Tahoma" w:hAnsi="Tahoma" w:cs="Tahoma"/>
      <w:sz w:val="16"/>
      <w:szCs w:val="16"/>
    </w:rPr>
  </w:style>
  <w:style w:type="character" w:customStyle="1" w:styleId="BalloonTextChar">
    <w:name w:val="Balloon Text Char"/>
    <w:basedOn w:val="DefaultParagraphFont"/>
    <w:link w:val="BalloonText"/>
    <w:rsid w:val="00D25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5E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5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5EE0"/>
    <w:rPr>
      <w:b/>
      <w:color w:val="660033"/>
      <w:spacing w:val="0"/>
    </w:rPr>
  </w:style>
  <w:style w:type="paragraph" w:customStyle="1" w:styleId="Nameditemlist">
    <w:name w:val="Named item list"/>
    <w:basedOn w:val="BodyText"/>
    <w:qFormat/>
    <w:rsid w:val="00D25E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1696</Words>
  <Characters>11424</Characters>
  <Application>Microsoft Office Word</Application>
  <DocSecurity>0</DocSecurity>
  <Lines>356</Lines>
  <Paragraphs>214</Paragraphs>
  <ScaleCrop>false</ScaleCrop>
  <Company>Author-it Software Corporation Ltd.</Company>
  <LinksUpToDate>false</LinksUpToDate>
  <CharactersWithSpaces>13052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TLIA2049A Apply specialist permit requirements as part of customs broking activities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2012-10-11T18:26:00Z</dcterms:created>
  <dcterms:modified xsi:type="dcterms:W3CDTF">2012-10-11T18:26:00Z</dcterms:modified>
</cp:coreProperties>
</file>