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E2F" w:rsidP="001A0E2F">
      <w:pPr>
        <w:pStyle w:val="Title"/>
      </w:pPr>
      <w:r>
        <w:fldChar w:fldCharType="begin"/>
      </w:r>
      <w:r>
        <w:instrText xml:space="preserve"> TITLE   \* MERGEFORMAT </w:instrText>
      </w:r>
      <w:r>
        <w:fldChar w:fldCharType="separate"/>
      </w:r>
      <w:r>
        <w:t>TLIR107C Monitor supplier performance</w:t>
      </w:r>
      <w:r>
        <w:fldChar w:fldCharType="end"/>
      </w:r>
    </w:p>
    <w:p w:rsidR="001A0E2F" w:rsidP="001A0E2F">
      <w:pPr>
        <w:pStyle w:val="Version"/>
        <w:sectPr w:rsidSect="00C43D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D74" w:rsidP="00C43D74">
      <w:pPr>
        <w:pStyle w:val="SuperHeading"/>
      </w:pPr>
      <w:r w:rsidRPr="00C43D74">
        <w:t>TLIR107C Monitor supplier performance</w:t>
      </w:r>
    </w:p>
    <w:p w:rsidR="00000000" w:rsidRPr="00C43D74" w:rsidP="00C43D74">
      <w:pPr>
        <w:pStyle w:val="Heading1"/>
      </w:pPr>
      <w:bookmarkStart w:id="1" w:name="O_317225"/>
      <w:bookmarkEnd w:id="1"/>
      <w:r w:rsidRPr="00C43D74">
        <w:t>Modification History</w:t>
      </w:r>
    </w:p>
    <w:p w:rsidR="00000000" w:rsidRPr="00C43D74" w:rsidP="00C43D74">
      <w:pPr>
        <w:pStyle w:val="BodyText"/>
      </w:pPr>
      <w:r w:rsidRPr="00C43D74">
        <w:t>Not applicable.</w:t>
      </w:r>
    </w:p>
    <w:p w:rsidR="00000000" w:rsidRPr="00C43D74" w:rsidP="00C43D74">
      <w:pPr>
        <w:pStyle w:val="AllowPageBreak"/>
      </w:pPr>
    </w:p>
    <w:p w:rsidR="00000000" w:rsidRPr="00C43D74" w:rsidP="00C43D74">
      <w:pPr>
        <w:pStyle w:val="Heading1"/>
      </w:pPr>
      <w:bookmarkStart w:id="2" w:name="O_317224"/>
      <w:bookmarkEnd w:id="2"/>
      <w:r w:rsidRPr="00C43D74">
        <w:t>Unit Descriptor</w:t>
      </w:r>
    </w:p>
    <w:p w:rsidR="00000000" w:rsidRPr="00C43D74" w:rsidP="00C43D74">
      <w:pPr>
        <w:pStyle w:val="BodyText"/>
      </w:pPr>
      <w:r w:rsidRPr="00C43D74">
        <w:t>This unit involves the skills and knowledge required to monitor the performance of contracted suppliers of goods/materials/servic</w:t>
      </w:r>
      <w:r w:rsidRPr="00C43D74">
        <w:t>es including administering the supplier contract, assessing for conformity to contracted requirements, and completing all required documentation concerning the contract.</w:t>
      </w:r>
    </w:p>
    <w:p w:rsidR="00000000" w:rsidRPr="00C43D74" w:rsidP="00C43D74">
      <w:pPr>
        <w:pStyle w:val="AllowPageBreak"/>
      </w:pPr>
    </w:p>
    <w:p w:rsidR="00000000" w:rsidRPr="00C43D74" w:rsidP="00C43D74">
      <w:pPr>
        <w:pStyle w:val="Heading1"/>
      </w:pPr>
      <w:bookmarkStart w:id="3" w:name="O_317223"/>
      <w:bookmarkEnd w:id="3"/>
      <w:r w:rsidRPr="00C43D74">
        <w:t>Application of the Unit</w:t>
      </w:r>
    </w:p>
    <w:p w:rsidR="00000000" w:rsidRPr="00C43D74" w:rsidP="00C43D74">
      <w:pPr>
        <w:pStyle w:val="BodyText"/>
      </w:pPr>
      <w:r w:rsidRPr="00C43D74">
        <w:t>Work is performed under general guidance on p</w:t>
      </w:r>
      <w:r w:rsidRPr="00C43D74">
        <w:t>rogress and outcomes of work. It involves discretion and judgement for self and others in monitoring supplier performance. This includes the application of workplace procedures to specified workplace operations to monitor and report on the performance of s</w:t>
      </w:r>
      <w:r w:rsidRPr="00C43D74">
        <w:t>upply contractors.</w:t>
      </w:r>
    </w:p>
    <w:p w:rsidR="00000000" w:rsidRPr="00C43D74" w:rsidP="00C43D74">
      <w:pPr>
        <w:pStyle w:val="BodyText"/>
      </w:pPr>
      <w:r w:rsidRPr="00C43D74">
        <w:t>A range of opportunities may be used to develop the work area and to support the development of work systems and innovative strategies to deal with contingencies and to encourage the achievement of the organisations goals and key perform</w:t>
      </w:r>
      <w:r w:rsidRPr="00C43D74">
        <w:t>ance objectives by the work area and the individuals and teams within it.</w:t>
      </w:r>
    </w:p>
    <w:p w:rsidR="00000000" w:rsidRPr="00C43D74" w:rsidP="00C43D74">
      <w:pPr>
        <w:pStyle w:val="BodyText"/>
      </w:pPr>
      <w:r w:rsidRPr="00C43D74">
        <w:t>Work involves responsibility for resource coordination and allocation and the provision of leadership of others either individually or in teams.</w:t>
      </w:r>
    </w:p>
    <w:p w:rsidR="00000000" w:rsidRPr="00C43D74" w:rsidP="00C43D74">
      <w:pPr>
        <w:pStyle w:val="AllowPageBreak"/>
      </w:pPr>
    </w:p>
    <w:p w:rsidR="00000000" w:rsidRPr="00C43D74" w:rsidP="00C43D74">
      <w:pPr>
        <w:pStyle w:val="Heading1"/>
      </w:pPr>
      <w:bookmarkStart w:id="4" w:name="O_317222"/>
      <w:bookmarkEnd w:id="4"/>
      <w:r w:rsidRPr="00C43D74">
        <w:t>Licensing/Regulatory Information</w:t>
      </w:r>
    </w:p>
    <w:p w:rsidR="00000000" w:rsidRPr="00C43D74" w:rsidP="00C43D74">
      <w:pPr>
        <w:pStyle w:val="BodyText"/>
      </w:pPr>
      <w:r w:rsidRPr="00C43D74">
        <w:t>Not applicable.</w:t>
      </w:r>
    </w:p>
    <w:p w:rsidR="00000000" w:rsidRPr="00C43D74" w:rsidP="00C43D74">
      <w:pPr>
        <w:pStyle w:val="AllowPageBreak"/>
      </w:pPr>
    </w:p>
    <w:p w:rsidR="00000000" w:rsidRPr="00C43D74" w:rsidP="00C43D74">
      <w:pPr>
        <w:pStyle w:val="Heading1"/>
      </w:pPr>
      <w:bookmarkStart w:id="5" w:name="O_317221"/>
      <w:bookmarkEnd w:id="5"/>
      <w:r w:rsidRPr="00C43D74">
        <w:t>Pre-Requisites</w:t>
      </w:r>
    </w:p>
    <w:p w:rsidR="00000000" w:rsidRPr="00C43D74" w:rsidP="00C43D74">
      <w:pPr>
        <w:pStyle w:val="BodyText"/>
      </w:pPr>
      <w:r w:rsidRPr="00C43D74">
        <w:t>Not applicable.</w:t>
      </w:r>
    </w:p>
    <w:p w:rsidR="00000000" w:rsidRPr="00C43D74" w:rsidP="00C43D74">
      <w:pPr>
        <w:pStyle w:val="AllowPageBreak"/>
      </w:pPr>
    </w:p>
    <w:p w:rsidR="00000000" w:rsidRPr="00C43D74" w:rsidP="00C43D74">
      <w:pPr>
        <w:pStyle w:val="Heading1"/>
      </w:pPr>
      <w:bookmarkStart w:id="6" w:name="O_317214"/>
      <w:bookmarkEnd w:id="6"/>
      <w:r w:rsidRPr="00C43D74">
        <w:t>Employability Skills Information</w:t>
      </w:r>
    </w:p>
    <w:p w:rsidR="00000000" w:rsidRPr="00C43D74" w:rsidP="00C43D74">
      <w:pPr>
        <w:pStyle w:val="BodyText"/>
      </w:pPr>
      <w:r w:rsidRPr="00C43D74">
        <w:t>The required outcomes described in this unit of competency contain applicable facets of Employability Skills.</w:t>
      </w:r>
      <w:r w:rsidRPr="00C43D74">
        <w:t xml:space="preserve"> The Employability Skills Summary of the qualification in which this competency is packaged will assist in identifying employability skill requirements.</w:t>
      </w:r>
    </w:p>
    <w:p w:rsidR="00000000" w:rsidRPr="00C43D74" w:rsidP="00C43D74">
      <w:pPr>
        <w:pStyle w:val="AllowPageBreak"/>
      </w:pPr>
    </w:p>
    <w:p w:rsidR="00000000" w:rsidRPr="00C43D74" w:rsidP="00C43D74">
      <w:pPr>
        <w:pStyle w:val="Heading1"/>
      </w:pPr>
      <w:bookmarkStart w:id="7" w:name="O_317220"/>
      <w:bookmarkEnd w:id="7"/>
      <w:r w:rsidRPr="00C43D74">
        <w:t>Elements and Performance Criteria Pre-Content</w:t>
      </w:r>
    </w:p>
    <w:p w:rsidR="00000000" w:rsidRPr="00C43D74" w:rsidP="00C43D74">
      <w:pPr>
        <w:pStyle w:val="BodyText"/>
      </w:pPr>
      <w:r w:rsidRPr="00C43D74">
        <w:t>Elements describe the essential outcomes of a unit of competency.</w:t>
      </w:r>
    </w:p>
    <w:p w:rsidR="00000000" w:rsidRPr="00C43D74" w:rsidP="00C43D74">
      <w:pPr>
        <w:pStyle w:val="BodyText"/>
      </w:pPr>
      <w:r w:rsidRPr="00C43D74">
        <w:t>Performance criteria describe the required performance needed to demonstrate achievement of the element. Assessment of performance is to be consistent with the evidence guide.</w:t>
      </w:r>
    </w:p>
    <w:p w:rsidR="00000000" w:rsidRPr="00C43D74" w:rsidP="00C43D74">
      <w:pPr>
        <w:pStyle w:val="AllowPageBreak"/>
      </w:pPr>
    </w:p>
    <w:p w:rsidR="00000000" w:rsidRPr="00C43D74" w:rsidP="00C43D74">
      <w:pPr>
        <w:pStyle w:val="Heading1"/>
      </w:pPr>
      <w:bookmarkStart w:id="8" w:name="O_317226"/>
      <w:bookmarkEnd w:id="8"/>
      <w:r w:rsidRPr="00C43D7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A0E2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Elements and Performance Criteria</w:t>
            </w:r>
          </w:p>
        </w:tc>
      </w:tr>
      <w:tr w:rsidTr="001A0E2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Performance Criteria</w:t>
            </w:r>
          </w:p>
        </w:tc>
      </w:tr>
      <w:tr w:rsidTr="001A0E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1</w:t>
            </w:r>
          </w:p>
        </w:tc>
        <w:tc>
          <w:tcPr>
            <w:tcW w:w="3000" w:type="dxa"/>
            <w:vMerge w:val="restart"/>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Administer supplier contract</w:t>
            </w:r>
          </w:p>
        </w:tc>
        <w:tc>
          <w:tcPr>
            <w:tcW w:w="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1.1</w:t>
            </w:r>
          </w:p>
        </w:tc>
        <w:tc>
          <w:tcPr>
            <w:tcW w:w="51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Procedures for the receival of supplied goods/materials/services are documented and implemented within the workplace</w:t>
            </w:r>
          </w:p>
        </w:tc>
      </w:tr>
      <w:tr w:rsidTr="001A0E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1.2</w:t>
            </w:r>
          </w:p>
        </w:tc>
        <w:tc>
          <w:tcPr>
            <w:tcW w:w="51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Supplied goods/material/services are assessed for conformity to contracted requirements including price, quantity, quality and deliv</w:t>
            </w:r>
            <w:r w:rsidRPr="00C43D74">
              <w:t>ery schedules</w:t>
            </w:r>
          </w:p>
        </w:tc>
      </w:tr>
      <w:tr w:rsidTr="001A0E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1.3</w:t>
            </w:r>
          </w:p>
        </w:tc>
        <w:tc>
          <w:tcPr>
            <w:tcW w:w="51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Non-conformance of supplier with contracted requirements is accurately detailed</w:t>
            </w:r>
          </w:p>
        </w:tc>
      </w:tr>
      <w:tr w:rsidTr="001A0E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1.4</w:t>
            </w:r>
          </w:p>
        </w:tc>
        <w:tc>
          <w:tcPr>
            <w:tcW w:w="51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Actions to rectify non-conformance are undertaken in accordance with enterprise procedures and within scope of authority</w:t>
            </w:r>
          </w:p>
        </w:tc>
      </w:tr>
      <w:tr w:rsidTr="001A0E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1.5</w:t>
            </w:r>
          </w:p>
        </w:tc>
        <w:tc>
          <w:tcPr>
            <w:tcW w:w="51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Issues of non-conformance beyond scope of authority are referred to designated personnel in accordance with enterprise operating procedures</w:t>
            </w:r>
          </w:p>
        </w:tc>
      </w:tr>
      <w:tr w:rsidTr="001A0E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2</w:t>
            </w:r>
          </w:p>
        </w:tc>
        <w:tc>
          <w:tcPr>
            <w:tcW w:w="3000" w:type="dxa"/>
            <w:vMerge w:val="restart"/>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2.1</w:t>
            </w:r>
          </w:p>
        </w:tc>
        <w:tc>
          <w:tcPr>
            <w:tcW w:w="51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Annotations and performance assessment/evaluations are completed and appended to suppl</w:t>
            </w:r>
            <w:r w:rsidRPr="00C43D74">
              <w:t>ier file</w:t>
            </w:r>
          </w:p>
        </w:tc>
      </w:tr>
      <w:tr w:rsidTr="001A0E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2.2</w:t>
            </w:r>
          </w:p>
        </w:tc>
        <w:tc>
          <w:tcPr>
            <w:tcW w:w="51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Action taken in regard to non-conformance of contracted requirements is documented and appended to supplier file</w:t>
            </w:r>
          </w:p>
        </w:tc>
      </w:tr>
      <w:tr w:rsidTr="001A0E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2.3</w:t>
            </w:r>
          </w:p>
        </w:tc>
        <w:tc>
          <w:tcPr>
            <w:tcW w:w="51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System records are maintained and updated in accordance with enterprise information management system and, where applicable, regulatory requirements</w:t>
            </w:r>
          </w:p>
        </w:tc>
      </w:tr>
    </w:tbl>
    <w:p w:rsidR="00000000" w:rsidRPr="00C43D74" w:rsidP="00C43D74">
      <w:pPr>
        <w:pStyle w:val="BodyText"/>
      </w:pPr>
    </w:p>
    <w:p w:rsidR="00000000" w:rsidRPr="00C43D74" w:rsidP="00C43D74">
      <w:pPr>
        <w:pStyle w:val="AllowPageBreak"/>
      </w:pPr>
    </w:p>
    <w:p w:rsidR="00000000" w:rsidRPr="00C43D74" w:rsidP="00C43D74">
      <w:pPr>
        <w:pStyle w:val="Heading1"/>
      </w:pPr>
      <w:bookmarkStart w:id="9" w:name="O_317219"/>
      <w:bookmarkEnd w:id="9"/>
      <w:r w:rsidRPr="00C43D74">
        <w:t>Required Skills and Knowledge</w:t>
      </w:r>
    </w:p>
    <w:tbl>
      <w:tblPr>
        <w:tblW w:w="0" w:type="auto"/>
        <w:tblLayout w:type="fixed"/>
        <w:tblCellMar>
          <w:left w:w="62" w:type="dxa"/>
          <w:right w:w="62" w:type="dxa"/>
        </w:tblCellMar>
        <w:tblLook w:val="0000"/>
      </w:tblPr>
      <w:tblGrid>
        <w:gridCol w:w="9000"/>
      </w:tblGrid>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REQUIRED KNOWLEDGE AND SKILLS</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This describes the essential knowledge and skills and their level required for this unit.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Required knowledge</w:t>
            </w:r>
            <w:r w:rsidRPr="00C43D74">
              <w:t xml:space="preserve">: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Relevant regulatory and code requirements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Relevant OH&amp;S responsibilities and procedures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Workplace protocols and procedures for monitoring </w:t>
            </w:r>
            <w:r w:rsidRPr="00C43D74">
              <w:t xml:space="preserve">the performance of supply contractors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Workplace contract performance and disputation policies and procedures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Workplace business policies and plans as they relate to supply contracts, including procedures for maintenance of confidentiality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Focus of op</w:t>
            </w:r>
            <w:r w:rsidRPr="00C43D74">
              <w:t xml:space="preserve">eration of recording, reporting and statistical analysis systems and resources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Resource availability including the processing capacity of equipment and software systems for statistical analysis of data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Typical problems that can occur with supply contra</w:t>
            </w:r>
            <w:r w:rsidRPr="00C43D74">
              <w:t xml:space="preserve">cts and related appropriate action that can be taken </w:t>
            </w:r>
          </w:p>
        </w:tc>
      </w:tr>
    </w:tbl>
    <w:p w:rsidR="00000000" w:rsidRPr="00C43D74" w:rsidP="00C43D74">
      <w:pPr>
        <w:pStyle w:val="BodyText"/>
      </w:pPr>
    </w:p>
    <w:tbl>
      <w:tblPr>
        <w:tblW w:w="0" w:type="auto"/>
        <w:tblLayout w:type="fixed"/>
        <w:tblCellMar>
          <w:left w:w="62" w:type="dxa"/>
          <w:right w:w="62" w:type="dxa"/>
        </w:tblCellMar>
        <w:tblLook w:val="0000"/>
      </w:tblPr>
      <w:tblGrid>
        <w:gridCol w:w="9000"/>
      </w:tblGrid>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Required skills</w:t>
            </w:r>
            <w:r w:rsidRPr="00C43D74">
              <w:t>:</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Communicate effectively with others when monitoring supplier performance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Read and interpret instructions, procedures and information relevant to the monitoring of supplier performance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Interpret and follow operational instructions and prioritise work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Complete documentation related to the monitoring of supplier performance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Operate electronic communication equipment to required protocol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Work collaboratively with others when monitoring supplier performance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Adapt appropriately to cultural differences in the workplace, including modes of behaviour and interactions with other</w:t>
            </w:r>
            <w:r w:rsidRPr="00C43D74">
              <w:t xml:space="preserve">s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Promptly report and/or rectify any identified problems that may occur when monitoring supplier performance in accordance with regulatory requirements and workplace procedures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Monitor work activities in terms of planned schedule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Modify activities de</w:t>
            </w:r>
            <w:r w:rsidRPr="00C43D74">
              <w:t xml:space="preserve">pending on differing operational contingencies, risk situations and environments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Work systematically with required attention to detail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Select and appropriately apply technology, information systems and procedures when monitoring supplier performance </w:t>
            </w:r>
          </w:p>
        </w:tc>
      </w:tr>
      <w:tr w:rsidTr="001A0E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 xml:space="preserve">Adapt to differences in equipment in accordance with standard operating procedures </w:t>
            </w:r>
          </w:p>
        </w:tc>
      </w:tr>
    </w:tbl>
    <w:p w:rsidR="00000000" w:rsidRPr="00C43D74" w:rsidP="00C43D74">
      <w:pPr>
        <w:pStyle w:val="BodyText"/>
      </w:pPr>
    </w:p>
    <w:p w:rsidR="00000000" w:rsidRPr="00C43D74" w:rsidP="00C43D74">
      <w:pPr>
        <w:pStyle w:val="AllowPageBreak"/>
      </w:pPr>
    </w:p>
    <w:p w:rsidR="00000000" w:rsidRPr="00C43D74" w:rsidP="00C43D74">
      <w:pPr>
        <w:pStyle w:val="Heading1"/>
      </w:pPr>
      <w:bookmarkStart w:id="10" w:name="O_317218"/>
      <w:bookmarkEnd w:id="10"/>
      <w:r w:rsidRPr="00C43D74">
        <w:t>Evidence Guide</w:t>
      </w:r>
    </w:p>
    <w:tbl>
      <w:tblPr>
        <w:tblW w:w="0" w:type="auto"/>
        <w:tblLayout w:type="fixed"/>
        <w:tblCellMar>
          <w:left w:w="62" w:type="dxa"/>
          <w:right w:w="62" w:type="dxa"/>
        </w:tblCellMar>
        <w:tblLook w:val="0000"/>
      </w:tblPr>
      <w:tblGrid>
        <w:gridCol w:w="4500"/>
        <w:gridCol w:w="4500"/>
      </w:tblGrid>
      <w:tr w:rsidTr="001A0E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3D74">
            <w:pPr>
              <w:pStyle w:val="BodyText"/>
              <w:rPr>
                <w:lang w:val="en-NZ"/>
              </w:rPr>
            </w:pPr>
          </w:p>
        </w:tc>
      </w:tr>
      <w:tr w:rsidTr="001A0E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The evidence guide provides advice on assessment and must be read in conjunction with the performance criteria, required knowledge and </w:t>
            </w:r>
            <w:r w:rsidRPr="00C43D74">
              <w:t xml:space="preserve">skills, the range statement and the assessment guidelines for this Training Package.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 xml:space="preserve">The evidence required to demonstrate competency in this unit must be relevant to and satisfy all of the requirements of the elements and performance criteria of this unit and include demonstration of applying:   </w:t>
            </w:r>
          </w:p>
          <w:p w:rsidR="00000000" w:rsidRPr="00C43D74" w:rsidP="00C43D74">
            <w:pPr>
              <w:pStyle w:val="BodyText"/>
            </w:pPr>
            <w:r w:rsidRPr="00C43D74">
              <w:t>the underpinning knowledge and skills</w:t>
            </w:r>
          </w:p>
          <w:p w:rsidR="00000000" w:rsidRPr="00C43D74" w:rsidP="00C43D74">
            <w:pPr>
              <w:pStyle w:val="BodyText"/>
            </w:pPr>
            <w:r w:rsidRPr="00C43D74">
              <w:t>relev</w:t>
            </w:r>
            <w:r w:rsidRPr="00C43D74">
              <w:t>ant legislation and workplace procedures</w:t>
            </w:r>
          </w:p>
          <w:p w:rsidR="00000000" w:rsidP="00C43D74">
            <w:pPr>
              <w:pStyle w:val="BodyText"/>
              <w:rPr>
                <w:lang w:val="en-NZ"/>
              </w:rPr>
            </w:pPr>
            <w:r w:rsidRPr="00C43D74">
              <w:t xml:space="preserve">other relevant aspects of the range statement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Performance is demonstrated consistently over a period of time and in a suitable range of contexts</w:t>
            </w:r>
          </w:p>
          <w:p w:rsidR="00000000" w:rsidRPr="00C43D74" w:rsidP="00C43D74">
            <w:pPr>
              <w:pStyle w:val="BodyText"/>
            </w:pPr>
            <w:r w:rsidRPr="00C43D74">
              <w:t>Resources for asses</w:t>
            </w:r>
            <w:r w:rsidRPr="00C43D74">
              <w:t xml:space="preserve">sment include:   </w:t>
            </w:r>
          </w:p>
          <w:p w:rsidR="00000000" w:rsidRPr="00C43D74" w:rsidP="00C43D74">
            <w:pPr>
              <w:pStyle w:val="BodyText"/>
            </w:pPr>
            <w:r w:rsidRPr="00C43D74">
              <w:t>a range of relevant exercises, case studies and other simulated practical and knowledge assessment, and/or</w:t>
            </w:r>
          </w:p>
          <w:p w:rsidR="00000000" w:rsidRPr="00C43D74" w:rsidP="00C43D74">
            <w:pPr>
              <w:pStyle w:val="BodyText"/>
            </w:pPr>
            <w:r w:rsidRPr="00C43D74">
              <w:t>access to an appropriate range of relevant operational situations in the workplace</w:t>
            </w:r>
          </w:p>
          <w:p w:rsidR="00000000" w:rsidRPr="00C43D74" w:rsidP="00C43D74">
            <w:pPr>
              <w:pStyle w:val="BodyText"/>
            </w:pPr>
          </w:p>
          <w:p w:rsidR="00000000" w:rsidRPr="00C43D74" w:rsidP="00C43D74">
            <w:pPr>
              <w:pStyle w:val="BodyText"/>
            </w:pPr>
            <w:r w:rsidRPr="00C43D74">
              <w:t>In both real and simulated environments, access</w:t>
            </w:r>
            <w:r w:rsidRPr="00C43D74">
              <w:t xml:space="preserve"> is required to:     </w:t>
            </w:r>
          </w:p>
          <w:p w:rsidR="00000000" w:rsidRPr="00C43D74" w:rsidP="00C43D74">
            <w:pPr>
              <w:pStyle w:val="BodyText"/>
            </w:pPr>
            <w:r w:rsidRPr="00C43D74">
              <w:t>relevant and appropriate materials and/or equipment, and/or</w:t>
            </w:r>
          </w:p>
          <w:p w:rsidR="00000000" w:rsidP="00C43D74">
            <w:pPr>
              <w:pStyle w:val="BodyText"/>
              <w:rPr>
                <w:lang w:val="en-NZ"/>
              </w:rPr>
            </w:pPr>
            <w:r w:rsidRPr="00C43D74">
              <w:t xml:space="preserve">applicable documentation including workplace procedures, regulations, codes of practice and operation manuals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Assessment of this unit must be undertaken by a registered training organisation</w:t>
            </w:r>
          </w:p>
          <w:p w:rsidR="00000000" w:rsidRPr="00C43D74" w:rsidP="00C43D74">
            <w:pPr>
              <w:pStyle w:val="BodyText"/>
            </w:pPr>
            <w:r w:rsidRPr="00C43D74">
              <w:t>As a minimum, assessment of knowledge must be conducted through appropriate written/oral tests</w:t>
            </w:r>
          </w:p>
          <w:p w:rsidR="00000000" w:rsidRPr="00C43D74" w:rsidP="00C43D74">
            <w:pPr>
              <w:pStyle w:val="BodyText"/>
            </w:pPr>
            <w:r w:rsidRPr="00C43D74">
              <w:t xml:space="preserve">Practical assessment must occur:   </w:t>
            </w:r>
          </w:p>
          <w:p w:rsidR="00000000" w:rsidRPr="00C43D74" w:rsidP="00C43D74">
            <w:pPr>
              <w:pStyle w:val="BodyText"/>
            </w:pPr>
            <w:r w:rsidRPr="00C43D74">
              <w:t>through appropriately simulated activities a</w:t>
            </w:r>
            <w:r w:rsidRPr="00C43D74">
              <w:t>t the registered training organisation, and/or</w:t>
            </w:r>
          </w:p>
          <w:p w:rsidR="00000000" w:rsidRPr="00C43D74" w:rsidP="00C43D74">
            <w:pPr>
              <w:pStyle w:val="BodyText"/>
            </w:pPr>
            <w:r w:rsidRPr="00C43D74">
              <w:t xml:space="preserve">in an appropriate range of situations in the workplace </w:t>
            </w:r>
          </w:p>
        </w:tc>
      </w:tr>
    </w:tbl>
    <w:p w:rsidR="00000000" w:rsidRPr="00C43D74" w:rsidP="00C43D74">
      <w:pPr>
        <w:pStyle w:val="BodyText"/>
      </w:pPr>
    </w:p>
    <w:p w:rsidR="00000000" w:rsidRPr="00C43D74" w:rsidP="00C43D74">
      <w:pPr>
        <w:pStyle w:val="AllowPageBreak"/>
      </w:pPr>
    </w:p>
    <w:p w:rsidR="00000000" w:rsidRPr="00C43D74" w:rsidP="00C43D74">
      <w:pPr>
        <w:pStyle w:val="Heading1"/>
      </w:pPr>
      <w:bookmarkStart w:id="11" w:name="O_317217"/>
      <w:bookmarkEnd w:id="11"/>
      <w:r w:rsidRPr="00C43D74">
        <w:t>Range Statement</w:t>
      </w:r>
    </w:p>
    <w:tbl>
      <w:tblPr>
        <w:tblW w:w="0" w:type="auto"/>
        <w:tblLayout w:type="fixed"/>
        <w:tblCellMar>
          <w:left w:w="62" w:type="dxa"/>
          <w:right w:w="62" w:type="dxa"/>
        </w:tblCellMar>
        <w:tblLook w:val="0000"/>
      </w:tblPr>
      <w:tblGrid>
        <w:gridCol w:w="4500"/>
        <w:gridCol w:w="4500"/>
      </w:tblGrid>
      <w:tr w:rsidTr="001A0E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rPr>
                <w:rStyle w:val="SpecialBold"/>
              </w:rPr>
              <w:t>RANGE STATEMENT</w:t>
            </w:r>
          </w:p>
        </w:tc>
      </w:tr>
      <w:tr w:rsidTr="001A0E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The range statement relates to the unit of competency as a whole. It allows for different work envir</w:t>
            </w:r>
            <w:r w:rsidRPr="00C43D74">
              <w:t xml:space="preserve">onments and situations that may affect performance.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The workplace environment may involve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single and multi-site location</w:t>
            </w:r>
          </w:p>
          <w:p w:rsidR="00000000" w:rsidP="00C43D74">
            <w:pPr>
              <w:pStyle w:val="BodyText"/>
              <w:rPr>
                <w:lang w:val="en-NZ"/>
              </w:rPr>
            </w:pPr>
            <w:r w:rsidRPr="00C43D74">
              <w:t xml:space="preserve">large, medium or small companies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Services, products, risks, work</w:t>
            </w:r>
            <w:r w:rsidRPr="00C43D74">
              <w:t xml:space="preserve">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potentially vary across different sections of the workplace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Operations involve: </w:t>
            </w:r>
          </w:p>
        </w:tc>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customer and supplier contact and coordination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The key requirement of this unit is to: </w:t>
            </w:r>
          </w:p>
        </w:tc>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interpret the data and provide appropriate, timely </w:t>
            </w:r>
            <w:r w:rsidRPr="00C43D74">
              <w:t xml:space="preserve">information on the outcomes of data analysis to appropriate personnel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Contracts may be: </w:t>
            </w:r>
          </w:p>
        </w:tc>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for singular or continuous supply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Document/data interchange may be: </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electronic</w:t>
            </w:r>
          </w:p>
          <w:p w:rsidR="00000000" w:rsidP="00C43D74">
            <w:pPr>
              <w:pStyle w:val="BodyText"/>
              <w:rPr>
                <w:lang w:val="en-NZ"/>
              </w:rPr>
            </w:pPr>
            <w:r w:rsidRPr="00C43D74">
              <w:t xml:space="preserve">paper-based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Suppliers may include: </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domestic and international contractors</w:t>
            </w:r>
          </w:p>
          <w:p w:rsidR="00000000" w:rsidRPr="00C43D74" w:rsidP="00C43D74">
            <w:pPr>
              <w:pStyle w:val="BodyText"/>
            </w:pPr>
            <w:r w:rsidRPr="00C43D74">
              <w:t>corpor</w:t>
            </w:r>
            <w:r w:rsidRPr="00C43D74">
              <w:t>ations</w:t>
            </w:r>
          </w:p>
          <w:p w:rsidR="00000000" w:rsidP="00C43D74">
            <w:pPr>
              <w:pStyle w:val="BodyText"/>
              <w:rPr>
                <w:lang w:val="en-NZ"/>
              </w:rPr>
            </w:pPr>
            <w:r w:rsidRPr="00C43D74">
              <w:t xml:space="preserve">government agencies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Contract non-conformance must be: </w:t>
            </w:r>
          </w:p>
        </w:tc>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demonstrable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Relevant regulations/legislation may be related to: </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contract disputation</w:t>
            </w:r>
          </w:p>
          <w:p w:rsidR="00000000" w:rsidRPr="00C43D74" w:rsidP="00C43D74">
            <w:pPr>
              <w:pStyle w:val="BodyText"/>
            </w:pPr>
            <w:r w:rsidRPr="00C43D74">
              <w:t>confidentiality</w:t>
            </w:r>
          </w:p>
          <w:p w:rsidR="00000000" w:rsidRPr="00C43D74" w:rsidP="00C43D74">
            <w:pPr>
              <w:pStyle w:val="BodyText"/>
            </w:pPr>
            <w:r w:rsidRPr="00C43D74">
              <w:t>goods regulatory requirements</w:t>
            </w:r>
          </w:p>
          <w:p w:rsidR="00000000" w:rsidP="00C43D74">
            <w:pPr>
              <w:pStyle w:val="BodyText"/>
              <w:rPr>
                <w:lang w:val="en-NZ"/>
              </w:rPr>
            </w:pPr>
            <w:r w:rsidRPr="00C43D74">
              <w:t xml:space="preserve">probity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other employees and supervisors</w:t>
            </w:r>
          </w:p>
          <w:p w:rsidR="00000000" w:rsidRPr="00C43D74" w:rsidP="00C43D74">
            <w:pPr>
              <w:pStyle w:val="BodyText"/>
            </w:pPr>
            <w:r w:rsidRPr="00C43D74">
              <w:t>customers and suppliers</w:t>
            </w:r>
          </w:p>
          <w:p w:rsidR="00000000" w:rsidRPr="00C43D74" w:rsidP="00C43D74">
            <w:pPr>
              <w:pStyle w:val="BodyText"/>
            </w:pPr>
            <w:r w:rsidRPr="00C43D74">
              <w:t>management and union representatives</w:t>
            </w:r>
          </w:p>
          <w:p w:rsidR="00000000" w:rsidRPr="00C43D74" w:rsidP="00C43D74">
            <w:pPr>
              <w:pStyle w:val="BodyText"/>
            </w:pPr>
            <w:r w:rsidRPr="00C43D74">
              <w:t>industrial relations, occupational health and safety specialists</w:t>
            </w:r>
          </w:p>
          <w:p w:rsidR="00000000" w:rsidP="00C43D74">
            <w:pPr>
              <w:pStyle w:val="BodyText"/>
              <w:rPr>
                <w:lang w:val="en-NZ"/>
              </w:rPr>
            </w:pPr>
            <w:r w:rsidRPr="00C43D74">
              <w:t xml:space="preserve">other professional or technical staff, contractors and maintenance personnel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Depending on the ty</w:t>
            </w:r>
            <w:r w:rsidRPr="00C43D74">
              <w:t xml:space="preserve">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company procedures</w:t>
            </w:r>
          </w:p>
          <w:p w:rsidR="00000000" w:rsidRPr="00C43D74" w:rsidP="00C43D74">
            <w:pPr>
              <w:pStyle w:val="BodyText"/>
            </w:pPr>
            <w:r w:rsidRPr="00C43D74">
              <w:t>enterprise procedures</w:t>
            </w:r>
          </w:p>
          <w:p w:rsidR="00000000" w:rsidRPr="00C43D74" w:rsidP="00C43D74">
            <w:pPr>
              <w:pStyle w:val="BodyText"/>
            </w:pPr>
            <w:r w:rsidRPr="00C43D74">
              <w:t>organisational procedures</w:t>
            </w:r>
          </w:p>
          <w:p w:rsidR="00000000" w:rsidP="00C43D74">
            <w:pPr>
              <w:pStyle w:val="BodyText"/>
              <w:rPr>
                <w:lang w:val="en-NZ"/>
              </w:rPr>
            </w:pPr>
            <w:r w:rsidRPr="00C43D74">
              <w:t xml:space="preserve">established procedures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relevant supply contracts and agreements</w:t>
            </w:r>
          </w:p>
          <w:p w:rsidR="00000000" w:rsidRPr="00C43D74" w:rsidP="00C43D74">
            <w:pPr>
              <w:pStyle w:val="BodyText"/>
            </w:pPr>
            <w:r w:rsidRPr="00C43D74">
              <w:t>quality or enterprise work specifications and procedures</w:t>
            </w:r>
          </w:p>
          <w:p w:rsidR="00000000" w:rsidRPr="00C43D74" w:rsidP="00C43D74">
            <w:pPr>
              <w:pStyle w:val="BodyText"/>
            </w:pPr>
            <w:r w:rsidRPr="00C43D74">
              <w:t>manufacturers specifications and/or suppliers handling and storage advice, workplace procedures, policies and instructions</w:t>
            </w:r>
          </w:p>
          <w:p w:rsidR="00000000" w:rsidRPr="00C43D74" w:rsidP="00C43D74">
            <w:pPr>
              <w:pStyle w:val="BodyText"/>
            </w:pPr>
            <w:r w:rsidRPr="00C43D74">
              <w:t>guidelines relating to minimising r</w:t>
            </w:r>
            <w:r w:rsidRPr="00C43D74">
              <w:t>isks to the environment and occupational health and safety requirements</w:t>
            </w:r>
          </w:p>
          <w:p w:rsidR="00000000" w:rsidRPr="00C43D74" w:rsidP="00C43D74">
            <w:pPr>
              <w:pStyle w:val="BodyText"/>
            </w:pPr>
            <w:r w:rsidRPr="00C43D74">
              <w:t>supplier and/or client instructions</w:t>
            </w:r>
          </w:p>
          <w:p w:rsidR="00000000" w:rsidRPr="00C43D74" w:rsidP="00C43D74">
            <w:pPr>
              <w:pStyle w:val="BodyText"/>
            </w:pPr>
            <w:r w:rsidRPr="00C43D74">
              <w:t>material safety data sheets</w:t>
            </w:r>
          </w:p>
          <w:p w:rsidR="00000000" w:rsidRPr="00C43D74" w:rsidP="00C43D74">
            <w:pPr>
              <w:pStyle w:val="BodyText"/>
            </w:pPr>
            <w:r w:rsidRPr="00C43D74">
              <w:t>relevant agreements, codes of practice including the national standards for manual handling and the industry safety code</w:t>
            </w:r>
          </w:p>
          <w:p w:rsidR="00000000" w:rsidRPr="00C43D74" w:rsidP="00C43D74">
            <w:pPr>
              <w:pStyle w:val="BodyText"/>
            </w:pPr>
            <w:r w:rsidRPr="00C43D74">
              <w:t>legislation, regulations and related documentation, including regulations related to hazardous substances, dangerous goods and environment protection</w:t>
            </w:r>
          </w:p>
          <w:p w:rsidR="00000000" w:rsidRPr="00C43D74" w:rsidP="00C43D74">
            <w:pPr>
              <w:pStyle w:val="BodyText"/>
            </w:pPr>
            <w:r w:rsidRPr="00C43D74">
              <w:t>reports of accidents and incidents within regulatory requirements and enterprise procedures</w:t>
            </w:r>
          </w:p>
          <w:p w:rsidR="00000000" w:rsidRPr="00C43D74" w:rsidP="00C43D74">
            <w:pPr>
              <w:pStyle w:val="BodyText"/>
            </w:pPr>
            <w:r w:rsidRPr="00C43D74">
              <w:t>workplace gui</w:t>
            </w:r>
            <w:r w:rsidRPr="00C43D74">
              <w:t>delines on appropriate workplace language and communication strategies and interpretation of relevant information</w:t>
            </w:r>
          </w:p>
          <w:p w:rsidR="00000000" w:rsidP="00C43D74">
            <w:pPr>
              <w:pStyle w:val="BodyText"/>
              <w:rPr>
                <w:lang w:val="en-NZ"/>
              </w:rPr>
            </w:pPr>
            <w:r w:rsidRPr="00C43D74">
              <w:t xml:space="preserve">quality assurance procedures </w:t>
            </w:r>
          </w:p>
        </w:tc>
      </w:tr>
      <w:tr w:rsidTr="001A0E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3D74">
            <w:pPr>
              <w:pStyle w:val="BodyText"/>
              <w:rPr>
                <w:lang w:val="en-NZ"/>
              </w:rPr>
            </w:pPr>
            <w:r w:rsidRPr="00C43D7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C43D74" w:rsidP="00C43D74">
            <w:pPr>
              <w:pStyle w:val="BodyText"/>
            </w:pPr>
            <w:r w:rsidRPr="00C43D74">
              <w:t>relevant regulations, standards and codes of practice</w:t>
            </w:r>
          </w:p>
          <w:p w:rsidR="00000000" w:rsidRPr="00C43D74" w:rsidP="00C43D74">
            <w:pPr>
              <w:pStyle w:val="BodyText"/>
            </w:pPr>
            <w:r w:rsidRPr="00C43D74">
              <w:t>rele</w:t>
            </w:r>
            <w:r w:rsidRPr="00C43D74">
              <w:t>vant Australian and state/territory OH&amp;S legislation</w:t>
            </w:r>
          </w:p>
          <w:p w:rsidR="00000000" w:rsidRPr="00C43D74" w:rsidP="00C43D74">
            <w:pPr>
              <w:pStyle w:val="BodyText"/>
            </w:pPr>
            <w:r w:rsidRPr="00C43D74">
              <w:t>equal employment legislation and related policies</w:t>
            </w:r>
          </w:p>
          <w:p w:rsidR="00000000" w:rsidRPr="00C43D74" w:rsidP="00C43D74">
            <w:pPr>
              <w:pStyle w:val="BodyText"/>
            </w:pPr>
            <w:r w:rsidRPr="00C43D74">
              <w:t>environmental protection regulations</w:t>
            </w:r>
          </w:p>
          <w:p w:rsidR="00000000" w:rsidRPr="00C43D74" w:rsidP="00C43D74">
            <w:pPr>
              <w:pStyle w:val="BodyText"/>
            </w:pPr>
            <w:r w:rsidRPr="00C43D74">
              <w:t>hazardous substances and dangerous goods codes</w:t>
            </w:r>
          </w:p>
          <w:p w:rsidR="00000000" w:rsidRPr="00C43D74" w:rsidP="00C43D74">
            <w:pPr>
              <w:pStyle w:val="BodyText"/>
            </w:pPr>
            <w:r w:rsidRPr="00C43D74">
              <w:t>relevant Australian standards and certification requirements</w:t>
            </w:r>
          </w:p>
          <w:p w:rsidR="00000000" w:rsidRPr="00C43D74" w:rsidP="00C43D74">
            <w:pPr>
              <w:pStyle w:val="BodyText"/>
            </w:pPr>
            <w:r w:rsidRPr="00C43D74">
              <w:t>licence,</w:t>
            </w:r>
            <w:r w:rsidRPr="00C43D74">
              <w:t xml:space="preserve"> patent or copyright arrangements </w:t>
            </w:r>
          </w:p>
        </w:tc>
      </w:tr>
    </w:tbl>
    <w:p w:rsidR="00000000" w:rsidRPr="00C43D74" w:rsidP="00C43D74">
      <w:pPr>
        <w:pStyle w:val="BodyText"/>
      </w:pPr>
    </w:p>
    <w:p w:rsidR="00000000" w:rsidRPr="00C43D74" w:rsidP="00C43D74">
      <w:pPr>
        <w:pStyle w:val="AllowPageBreak"/>
      </w:pPr>
    </w:p>
    <w:p w:rsidR="00000000" w:rsidRPr="00C43D74" w:rsidP="00C43D74">
      <w:pPr>
        <w:pStyle w:val="Heading1"/>
      </w:pPr>
      <w:bookmarkStart w:id="12" w:name="O_317216"/>
      <w:bookmarkEnd w:id="12"/>
      <w:r w:rsidRPr="00C43D74">
        <w:t>Unit Sector(s)</w:t>
      </w:r>
    </w:p>
    <w:p w:rsidR="00000000" w:rsidRPr="00C43D74" w:rsidP="00C43D74">
      <w:pPr>
        <w:pStyle w:val="BodyText"/>
      </w:pPr>
      <w:r w:rsidRPr="00C43D74">
        <w:t>Not applicable.</w:t>
      </w:r>
    </w:p>
    <w:p w:rsidR="00000000" w:rsidRPr="00C43D74" w:rsidP="00C43D74">
      <w:pPr>
        <w:pStyle w:val="AllowPageBreak"/>
      </w:pPr>
    </w:p>
    <w:p w:rsidR="00000000" w:rsidRPr="00C43D74" w:rsidP="00C43D74">
      <w:pPr>
        <w:pStyle w:val="Heading1"/>
      </w:pPr>
      <w:bookmarkStart w:id="13" w:name="O_317215"/>
      <w:bookmarkEnd w:id="13"/>
      <w:r w:rsidRPr="00C43D74">
        <w:t xml:space="preserve">Competency Field </w:t>
      </w:r>
    </w:p>
    <w:p w:rsidR="00000000" w:rsidRPr="00C43D74" w:rsidP="00C43D74">
      <w:pPr>
        <w:pStyle w:val="BodyText"/>
      </w:pPr>
      <w:r w:rsidRPr="00C43D74">
        <w:t>R - Contract Procurement</w:t>
      </w:r>
    </w:p>
    <w:p w:rsidR="00000000" w:rsidRPr="00C43D74" w:rsidP="00C43D74"/>
    <w:sectPr w:rsidSect="00C43D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E2F" w:rsidP="001A0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2F" w:rsidP="00C43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0E2F" w:rsidP="00C43D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A0E2F" w:rsidP="00C43D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E2F" w:rsidP="001A0E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2F" w:rsidP="00C43D74">
    <w:pPr>
      <w:pStyle w:val="Header"/>
      <w:framePr w:wrap="around"/>
    </w:pPr>
    <w:r>
      <w:fldChar w:fldCharType="begin"/>
    </w:r>
    <w:r>
      <w:instrText xml:space="preserve"> TITLE   \* MERGEFORMAT </w:instrText>
    </w:r>
    <w:r>
      <w:fldChar w:fldCharType="separate"/>
    </w:r>
    <w:r>
      <w:t>TLIR107C Monitor supplier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0E2F" w:rsidP="00C43D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3D74"/>
    <w:pPr>
      <w:spacing w:before="360" w:after="60"/>
      <w:outlineLvl w:val="0"/>
    </w:pPr>
    <w:rPr>
      <w:sz w:val="32"/>
    </w:rPr>
  </w:style>
  <w:style w:type="paragraph" w:styleId="Heading2">
    <w:name w:val="heading 2"/>
    <w:basedOn w:val="HeadingBase"/>
    <w:next w:val="BodyText"/>
    <w:link w:val="Heading2Char"/>
    <w:qFormat/>
    <w:rsid w:val="00C43D74"/>
    <w:pPr>
      <w:keepLines/>
      <w:spacing w:before="240" w:after="120"/>
      <w:outlineLvl w:val="1"/>
    </w:pPr>
    <w:rPr>
      <w:sz w:val="28"/>
      <w:szCs w:val="40"/>
    </w:rPr>
  </w:style>
  <w:style w:type="paragraph" w:styleId="Heading3">
    <w:name w:val="heading 3"/>
    <w:basedOn w:val="HeadingBase"/>
    <w:next w:val="BodyText"/>
    <w:link w:val="Heading3Char"/>
    <w:qFormat/>
    <w:rsid w:val="00C43D74"/>
    <w:pPr>
      <w:spacing w:before="180" w:after="120"/>
      <w:outlineLvl w:val="2"/>
    </w:pPr>
    <w:rPr>
      <w:spacing w:val="-10"/>
      <w:kern w:val="32"/>
    </w:rPr>
  </w:style>
  <w:style w:type="paragraph" w:styleId="Heading4">
    <w:name w:val="heading 4"/>
    <w:basedOn w:val="HeadingBase"/>
    <w:next w:val="BodyText"/>
    <w:link w:val="Heading4Char"/>
    <w:qFormat/>
    <w:rsid w:val="00C43D74"/>
    <w:pPr>
      <w:spacing w:before="160" w:after="120"/>
      <w:outlineLvl w:val="3"/>
    </w:pPr>
    <w:rPr>
      <w:sz w:val="22"/>
    </w:rPr>
  </w:style>
  <w:style w:type="paragraph" w:styleId="Heading5">
    <w:name w:val="heading 5"/>
    <w:basedOn w:val="HeadingBase"/>
    <w:next w:val="Normal"/>
    <w:link w:val="Heading5Char"/>
    <w:qFormat/>
    <w:rsid w:val="00C43D74"/>
    <w:pPr>
      <w:spacing w:before="80"/>
      <w:outlineLvl w:val="4"/>
    </w:pPr>
    <w:rPr>
      <w:color w:val="918585"/>
      <w:sz w:val="20"/>
    </w:rPr>
  </w:style>
  <w:style w:type="paragraph" w:styleId="Heading6">
    <w:name w:val="heading 6"/>
    <w:basedOn w:val="HeadingBase"/>
    <w:next w:val="Normal"/>
    <w:link w:val="Heading6Char"/>
    <w:qFormat/>
    <w:rsid w:val="00C43D74"/>
    <w:pPr>
      <w:spacing w:before="60"/>
      <w:outlineLvl w:val="5"/>
    </w:pPr>
    <w:rPr>
      <w:color w:val="918585"/>
      <w:sz w:val="20"/>
    </w:rPr>
  </w:style>
  <w:style w:type="paragraph" w:styleId="Heading7">
    <w:name w:val="heading 7"/>
    <w:basedOn w:val="Normal"/>
    <w:next w:val="Normal"/>
    <w:link w:val="Heading7Char"/>
    <w:qFormat/>
    <w:rsid w:val="00C43D74"/>
    <w:pPr>
      <w:ind w:left="720"/>
      <w:outlineLvl w:val="6"/>
    </w:pPr>
    <w:rPr>
      <w:i/>
    </w:rPr>
  </w:style>
  <w:style w:type="paragraph" w:styleId="Heading8">
    <w:name w:val="heading 8"/>
    <w:basedOn w:val="Normal"/>
    <w:next w:val="Normal"/>
    <w:link w:val="Heading8Char"/>
    <w:qFormat/>
    <w:rsid w:val="00C43D74"/>
    <w:pPr>
      <w:ind w:left="720"/>
      <w:outlineLvl w:val="7"/>
    </w:pPr>
    <w:rPr>
      <w:i/>
    </w:rPr>
  </w:style>
  <w:style w:type="paragraph" w:styleId="Heading9">
    <w:name w:val="heading 9"/>
    <w:basedOn w:val="Normal"/>
    <w:next w:val="Normal"/>
    <w:link w:val="Heading9Char"/>
    <w:qFormat/>
    <w:rsid w:val="00C43D74"/>
    <w:pPr>
      <w:ind w:left="720"/>
      <w:outlineLvl w:val="8"/>
    </w:pPr>
    <w:rPr>
      <w:i/>
    </w:rPr>
  </w:style>
  <w:style w:type="character" w:default="1" w:styleId="DefaultParagraphFont">
    <w:name w:val="Default Paragraph Font"/>
    <w:uiPriority w:val="1"/>
    <w:unhideWhenUsed/>
    <w:rsid w:val="00C43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D74"/>
  </w:style>
  <w:style w:type="character" w:customStyle="1" w:styleId="Heading1Char">
    <w:name w:val="Heading 1 Char"/>
    <w:basedOn w:val="DefaultParagraphFont"/>
    <w:link w:val="Heading1"/>
    <w:rsid w:val="00C43D74"/>
    <w:rPr>
      <w:rFonts w:ascii="Times New Roman" w:eastAsia="Times New Roman" w:hAnsi="Times New Roman" w:cs="Times New Roman"/>
      <w:b/>
      <w:sz w:val="32"/>
      <w:szCs w:val="20"/>
      <w:lang w:eastAsia="en-US"/>
    </w:rPr>
  </w:style>
  <w:style w:type="paragraph" w:styleId="BodyText">
    <w:name w:val="Body Text"/>
    <w:basedOn w:val="Normal"/>
    <w:link w:val="BodyTextChar"/>
    <w:rsid w:val="00C43D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D74"/>
    <w:rPr>
      <w:rFonts w:ascii="Times New Roman" w:eastAsia="Times New Roman" w:hAnsi="Times New Roman" w:cs="Times New Roman"/>
      <w:sz w:val="24"/>
      <w:lang w:val="en-US" w:eastAsia="en-US"/>
    </w:rPr>
  </w:style>
  <w:style w:type="paragraph" w:styleId="Footer">
    <w:name w:val="footer"/>
    <w:basedOn w:val="Normal"/>
    <w:link w:val="FooterChar"/>
    <w:rsid w:val="00C43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D7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43D74"/>
    <w:rPr>
      <w:b/>
      <w:spacing w:val="0"/>
    </w:rPr>
  </w:style>
  <w:style w:type="paragraph" w:styleId="Header">
    <w:name w:val="header"/>
    <w:basedOn w:val="Normal"/>
    <w:link w:val="HeaderChar"/>
    <w:rsid w:val="00C43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D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3D74"/>
    <w:pPr>
      <w:spacing w:before="240" w:after="120"/>
      <w:outlineLvl w:val="0"/>
    </w:pPr>
    <w:rPr>
      <w:rFonts w:ascii="Times New Roman" w:hAnsi="Times New Roman"/>
      <w:b/>
      <w:sz w:val="28"/>
    </w:rPr>
  </w:style>
  <w:style w:type="paragraph" w:customStyle="1" w:styleId="AllowPageBreak">
    <w:name w:val="AllowPageBreak"/>
    <w:rsid w:val="00C43D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D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3D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3D74"/>
    <w:rPr>
      <w:rFonts w:ascii="Courier New" w:eastAsia="Times New Roman" w:hAnsi="Courier New" w:cs="Times New Roman"/>
      <w:i/>
      <w:szCs w:val="20"/>
      <w:lang w:val="en-US" w:eastAsia="en-US"/>
    </w:rPr>
  </w:style>
  <w:style w:type="paragraph" w:customStyle="1" w:styleId="HeadingBase">
    <w:name w:val="Heading Base"/>
    <w:rsid w:val="00C43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D74"/>
    <w:pPr>
      <w:tabs>
        <w:tab w:val="right" w:leader="dot" w:pos="9072"/>
      </w:tabs>
      <w:ind w:left="567"/>
    </w:pPr>
    <w:rPr>
      <w:szCs w:val="22"/>
    </w:rPr>
  </w:style>
  <w:style w:type="paragraph" w:customStyle="1" w:styleId="TOCBase">
    <w:name w:val="TOC Base"/>
    <w:rsid w:val="00C43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D74"/>
    <w:pPr>
      <w:tabs>
        <w:tab w:val="right" w:leader="dot" w:pos="9072"/>
      </w:tabs>
      <w:spacing w:before="40" w:after="40"/>
      <w:ind w:left="284"/>
    </w:pPr>
    <w:rPr>
      <w:rFonts w:ascii="Times New Roman" w:hAnsi="Times New Roman"/>
    </w:rPr>
  </w:style>
  <w:style w:type="paragraph" w:styleId="TOC1">
    <w:name w:val="toc 1"/>
    <w:basedOn w:val="TOCBase"/>
    <w:next w:val="Normal"/>
    <w:rsid w:val="00C43D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3D74"/>
    <w:pPr>
      <w:spacing w:before="5040"/>
      <w:jc w:val="center"/>
    </w:pPr>
    <w:rPr>
      <w:sz w:val="48"/>
      <w:szCs w:val="72"/>
      <w:lang w:val="en-US"/>
    </w:rPr>
  </w:style>
  <w:style w:type="character" w:customStyle="1" w:styleId="TitleChar">
    <w:name w:val="Title Char"/>
    <w:basedOn w:val="DefaultParagraphFont"/>
    <w:link w:val="Title"/>
    <w:rsid w:val="00C43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D74"/>
    <w:pPr>
      <w:tabs>
        <w:tab w:val="left" w:pos="3600"/>
        <w:tab w:val="left" w:pos="3958"/>
      </w:tabs>
    </w:pPr>
  </w:style>
  <w:style w:type="paragraph" w:styleId="List">
    <w:name w:val="List"/>
    <w:basedOn w:val="BodyText"/>
    <w:next w:val="BodyText"/>
    <w:rsid w:val="00C43D74"/>
    <w:pPr>
      <w:tabs>
        <w:tab w:val="left" w:pos="340"/>
      </w:tabs>
      <w:spacing w:before="60" w:after="60"/>
      <w:ind w:left="340" w:hanging="340"/>
    </w:pPr>
  </w:style>
  <w:style w:type="paragraph" w:styleId="ListBullet">
    <w:name w:val="List Bullet"/>
    <w:basedOn w:val="List"/>
    <w:rsid w:val="00C43D74"/>
    <w:pPr>
      <w:numPr>
        <w:numId w:val="11"/>
      </w:numPr>
      <w:tabs>
        <w:tab w:val="clear" w:pos="340"/>
      </w:tabs>
      <w:spacing w:before="40" w:after="40"/>
    </w:pPr>
  </w:style>
  <w:style w:type="paragraph" w:customStyle="1" w:styleId="Note">
    <w:name w:val="Note"/>
    <w:basedOn w:val="BodyText"/>
    <w:rsid w:val="00C43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D74"/>
    <w:pPr>
      <w:framePr w:wrap="auto" w:hAnchor="text" w:y="6049"/>
    </w:pPr>
    <w:rPr>
      <w:color w:val="000000"/>
      <w:sz w:val="40"/>
    </w:rPr>
  </w:style>
  <w:style w:type="paragraph" w:customStyle="1" w:styleId="TOCTitle">
    <w:name w:val="TOCTitle"/>
    <w:basedOn w:val="Heading1"/>
    <w:rsid w:val="00C43D74"/>
    <w:pPr>
      <w:spacing w:after="240"/>
      <w:jc w:val="center"/>
      <w:outlineLvl w:val="9"/>
    </w:pPr>
    <w:rPr>
      <w:caps/>
    </w:rPr>
  </w:style>
  <w:style w:type="paragraph" w:customStyle="1" w:styleId="Version">
    <w:name w:val="Version"/>
    <w:rsid w:val="00C43D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3D74"/>
    <w:pPr>
      <w:numPr>
        <w:numId w:val="12"/>
      </w:numPr>
      <w:tabs>
        <w:tab w:val="clear" w:pos="680"/>
      </w:tabs>
    </w:pPr>
  </w:style>
  <w:style w:type="paragraph" w:styleId="Index1">
    <w:name w:val="index 1"/>
    <w:basedOn w:val="Normal"/>
    <w:next w:val="Normal"/>
    <w:semiHidden/>
    <w:rsid w:val="00C43D74"/>
    <w:pPr>
      <w:keepNext w:val="0"/>
      <w:tabs>
        <w:tab w:val="right" w:pos="4176"/>
      </w:tabs>
      <w:ind w:left="198" w:hanging="198"/>
    </w:pPr>
    <w:rPr>
      <w:rFonts w:ascii="Garamond" w:hAnsi="Garamond"/>
    </w:rPr>
  </w:style>
  <w:style w:type="paragraph" w:styleId="IndexHeading">
    <w:name w:val="index heading"/>
    <w:basedOn w:val="Normal"/>
    <w:next w:val="Index1"/>
    <w:semiHidden/>
    <w:rsid w:val="00C43D74"/>
    <w:pPr>
      <w:spacing w:before="120" w:after="120"/>
    </w:pPr>
    <w:rPr>
      <w:rFonts w:ascii="Arial" w:hAnsi="Arial"/>
      <w:b/>
      <w:color w:val="918585"/>
      <w:sz w:val="24"/>
    </w:rPr>
  </w:style>
  <w:style w:type="paragraph" w:customStyle="1" w:styleId="Chapter">
    <w:name w:val="Chapter"/>
    <w:basedOn w:val="Normal"/>
    <w:rsid w:val="00C43D74"/>
    <w:pPr>
      <w:spacing w:before="240"/>
    </w:pPr>
    <w:rPr>
      <w:rFonts w:ascii="Times New Roman" w:hAnsi="Times New Roman"/>
      <w:smallCaps/>
      <w:spacing w:val="80"/>
      <w:sz w:val="28"/>
    </w:rPr>
  </w:style>
  <w:style w:type="paragraph" w:customStyle="1" w:styleId="InChapter">
    <w:name w:val="InChapter"/>
    <w:basedOn w:val="Heading3"/>
    <w:rsid w:val="00C43D74"/>
    <w:pPr>
      <w:spacing w:after="240"/>
      <w:outlineLvl w:val="9"/>
    </w:pPr>
    <w:rPr>
      <w:noProof/>
    </w:rPr>
  </w:style>
  <w:style w:type="paragraph" w:styleId="Index2">
    <w:name w:val="index 2"/>
    <w:basedOn w:val="Normal"/>
    <w:next w:val="Normal"/>
    <w:semiHidden/>
    <w:rsid w:val="00C43D74"/>
    <w:pPr>
      <w:tabs>
        <w:tab w:val="right" w:pos="4176"/>
      </w:tabs>
      <w:ind w:left="568" w:hanging="284"/>
    </w:pPr>
    <w:rPr>
      <w:rFonts w:ascii="Garamond" w:hAnsi="Garamond"/>
    </w:rPr>
  </w:style>
  <w:style w:type="paragraph" w:customStyle="1" w:styleId="Byline">
    <w:name w:val="Byline"/>
    <w:rsid w:val="00C43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D74"/>
    <w:pPr>
      <w:tabs>
        <w:tab w:val="clear" w:pos="3600"/>
        <w:tab w:val="clear" w:pos="3958"/>
      </w:tabs>
      <w:jc w:val="right"/>
    </w:pPr>
  </w:style>
  <w:style w:type="character" w:styleId="Emphasis">
    <w:name w:val="Emphasis"/>
    <w:basedOn w:val="DefaultParagraphFont"/>
    <w:qFormat/>
    <w:rsid w:val="00C43D74"/>
    <w:rPr>
      <w:i/>
    </w:rPr>
  </w:style>
  <w:style w:type="paragraph" w:styleId="Caption">
    <w:name w:val="caption"/>
    <w:basedOn w:val="BodyText"/>
    <w:next w:val="Normal"/>
    <w:qFormat/>
    <w:rsid w:val="00C43D74"/>
    <w:pPr>
      <w:framePr w:w="2268" w:hSpace="181" w:vSpace="181" w:wrap="around" w:vAnchor="text" w:hAnchor="page" w:x="1135" w:y="285" w:anchorLock="1"/>
    </w:pPr>
    <w:rPr>
      <w:i/>
    </w:rPr>
  </w:style>
  <w:style w:type="paragraph" w:customStyle="1" w:styleId="MiniTOCTitle">
    <w:name w:val="MiniTOCTitle"/>
    <w:basedOn w:val="Heading4"/>
    <w:rsid w:val="00C43D74"/>
    <w:pPr>
      <w:spacing w:before="240"/>
      <w:outlineLvl w:val="9"/>
    </w:pPr>
    <w:rPr>
      <w:noProof/>
      <w:sz w:val="24"/>
    </w:rPr>
  </w:style>
  <w:style w:type="paragraph" w:customStyle="1" w:styleId="MiniTOCItem">
    <w:name w:val="MiniTOCItem"/>
    <w:basedOn w:val="ListBullet"/>
    <w:rsid w:val="00C43D74"/>
    <w:pPr>
      <w:numPr>
        <w:numId w:val="0"/>
      </w:numPr>
      <w:tabs>
        <w:tab w:val="right" w:leader="dot" w:pos="6521"/>
      </w:tabs>
      <w:spacing w:before="0" w:after="0"/>
    </w:pPr>
  </w:style>
  <w:style w:type="paragraph" w:customStyle="1" w:styleId="TOFTitle">
    <w:name w:val="TOFTitle"/>
    <w:basedOn w:val="TOCTitle"/>
    <w:rsid w:val="00C43D74"/>
  </w:style>
  <w:style w:type="paragraph" w:styleId="TableofFigures">
    <w:name w:val="table of figures"/>
    <w:basedOn w:val="Normal"/>
    <w:next w:val="Normal"/>
    <w:semiHidden/>
    <w:rsid w:val="00C43D74"/>
    <w:pPr>
      <w:tabs>
        <w:tab w:val="right" w:leader="dot" w:pos="9072"/>
      </w:tabs>
      <w:ind w:left="970" w:hanging="403"/>
    </w:pPr>
    <w:rPr>
      <w:rFonts w:ascii="Times New Roman" w:hAnsi="Times New Roman"/>
      <w:b/>
    </w:rPr>
  </w:style>
  <w:style w:type="paragraph" w:styleId="ListNumber">
    <w:name w:val="List Number"/>
    <w:basedOn w:val="List"/>
    <w:rsid w:val="00C43D74"/>
    <w:pPr>
      <w:numPr>
        <w:numId w:val="9"/>
      </w:numPr>
    </w:pPr>
  </w:style>
  <w:style w:type="character" w:customStyle="1" w:styleId="WingdingSymbols">
    <w:name w:val="Wingding Symbols"/>
    <w:rsid w:val="00C43D74"/>
    <w:rPr>
      <w:rFonts w:ascii="Wingdings" w:hAnsi="Wingdings"/>
    </w:rPr>
  </w:style>
  <w:style w:type="paragraph" w:customStyle="1" w:styleId="TableHeading">
    <w:name w:val="Table Heading"/>
    <w:basedOn w:val="HeadingBase"/>
    <w:rsid w:val="00C43D74"/>
    <w:pPr>
      <w:keepLines/>
      <w:pBdr>
        <w:bottom w:val="single" w:sz="6" w:space="1" w:color="918585"/>
      </w:pBdr>
      <w:spacing w:before="240"/>
    </w:pPr>
  </w:style>
  <w:style w:type="character" w:customStyle="1" w:styleId="HotSpot">
    <w:name w:val="HotSpot"/>
    <w:rsid w:val="00C43D74"/>
    <w:rPr>
      <w:color w:val="0033CC"/>
      <w:u w:val="none"/>
    </w:rPr>
  </w:style>
  <w:style w:type="paragraph" w:customStyle="1" w:styleId="BodyTextRight">
    <w:name w:val="Body Text Right"/>
    <w:basedOn w:val="BodyText"/>
    <w:rsid w:val="00C43D74"/>
    <w:pPr>
      <w:spacing w:before="0" w:after="0"/>
      <w:jc w:val="right"/>
    </w:pPr>
  </w:style>
  <w:style w:type="paragraph" w:styleId="Index3">
    <w:name w:val="index 3"/>
    <w:basedOn w:val="ListNumber2"/>
    <w:next w:val="Normal"/>
    <w:semiHidden/>
    <w:rsid w:val="00C43D74"/>
    <w:pPr>
      <w:numPr>
        <w:numId w:val="0"/>
      </w:numPr>
      <w:tabs>
        <w:tab w:val="right" w:leader="dot" w:pos="4176"/>
      </w:tabs>
    </w:pPr>
  </w:style>
  <w:style w:type="paragraph" w:styleId="ListNumber2">
    <w:name w:val="List Number 2"/>
    <w:basedOn w:val="List2"/>
    <w:rsid w:val="00C43D74"/>
    <w:pPr>
      <w:numPr>
        <w:numId w:val="8"/>
      </w:numPr>
      <w:tabs>
        <w:tab w:val="clear" w:pos="1060"/>
      </w:tabs>
    </w:pPr>
  </w:style>
  <w:style w:type="paragraph" w:customStyle="1" w:styleId="MarginNote">
    <w:name w:val="Margin Note"/>
    <w:basedOn w:val="BodyText"/>
    <w:rsid w:val="00C43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D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3D74"/>
    <w:rPr>
      <w:sz w:val="32"/>
    </w:rPr>
  </w:style>
  <w:style w:type="paragraph" w:customStyle="1" w:styleId="HeadingProcedure">
    <w:name w:val="Heading Procedure"/>
    <w:basedOn w:val="HeadingBase"/>
    <w:next w:val="Normal"/>
    <w:rsid w:val="00C43D74"/>
    <w:pPr>
      <w:tabs>
        <w:tab w:val="left" w:pos="0"/>
      </w:tabs>
      <w:spacing w:before="120" w:after="60"/>
    </w:pPr>
    <w:rPr>
      <w:i/>
      <w:color w:val="918585"/>
      <w:sz w:val="22"/>
    </w:rPr>
  </w:style>
  <w:style w:type="paragraph" w:customStyle="1" w:styleId="TableBodyText">
    <w:name w:val="Table Body Text"/>
    <w:basedOn w:val="BodyText"/>
    <w:rsid w:val="00C43D74"/>
    <w:pPr>
      <w:spacing w:before="60" w:after="60"/>
    </w:pPr>
  </w:style>
  <w:style w:type="paragraph" w:styleId="ListContinue">
    <w:name w:val="List Continue"/>
    <w:basedOn w:val="List"/>
    <w:rsid w:val="00C43D74"/>
    <w:pPr>
      <w:ind w:firstLine="0"/>
    </w:pPr>
  </w:style>
  <w:style w:type="paragraph" w:customStyle="1" w:styleId="ListNote">
    <w:name w:val="List Note"/>
    <w:basedOn w:val="List"/>
    <w:rsid w:val="00C43D74"/>
    <w:pPr>
      <w:pBdr>
        <w:top w:val="single" w:sz="6" w:space="2" w:color="918585"/>
        <w:bottom w:val="single" w:sz="6" w:space="2" w:color="918585"/>
      </w:pBdr>
      <w:tabs>
        <w:tab w:val="left" w:pos="1021"/>
      </w:tabs>
      <w:ind w:firstLine="0"/>
    </w:pPr>
  </w:style>
  <w:style w:type="paragraph" w:customStyle="1" w:styleId="Warning">
    <w:name w:val="Warning"/>
    <w:basedOn w:val="BodyText"/>
    <w:rsid w:val="00C43D74"/>
    <w:pPr>
      <w:shd w:val="clear" w:color="auto" w:fill="D9D9D9"/>
      <w:tabs>
        <w:tab w:val="left" w:pos="992"/>
      </w:tabs>
      <w:ind w:left="119" w:right="119"/>
    </w:pPr>
    <w:rPr>
      <w:sz w:val="20"/>
    </w:rPr>
  </w:style>
  <w:style w:type="paragraph" w:customStyle="1" w:styleId="MarginIcons">
    <w:name w:val="Margin Icons"/>
    <w:basedOn w:val="BodyText"/>
    <w:rsid w:val="00C43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D74"/>
    <w:rPr>
      <w:rFonts w:ascii="Courier New" w:hAnsi="Courier New"/>
    </w:rPr>
  </w:style>
  <w:style w:type="paragraph" w:customStyle="1" w:styleId="NoteBullet">
    <w:name w:val="Note Bullet"/>
    <w:basedOn w:val="Note"/>
    <w:rsid w:val="00C43D74"/>
    <w:pPr>
      <w:tabs>
        <w:tab w:val="clear" w:pos="680"/>
      </w:tabs>
      <w:spacing w:before="60" w:after="60"/>
    </w:pPr>
  </w:style>
  <w:style w:type="paragraph" w:customStyle="1" w:styleId="SubHeading2">
    <w:name w:val="SubHeading2"/>
    <w:basedOn w:val="HeadingBase"/>
    <w:rsid w:val="00C43D74"/>
    <w:pPr>
      <w:spacing w:before="240" w:after="60"/>
    </w:pPr>
    <w:rPr>
      <w:sz w:val="20"/>
    </w:rPr>
  </w:style>
  <w:style w:type="paragraph" w:customStyle="1" w:styleId="SubHeading1">
    <w:name w:val="SubHeading1"/>
    <w:basedOn w:val="HeadingBase"/>
    <w:rsid w:val="00C43D74"/>
    <w:pPr>
      <w:spacing w:before="240" w:after="60"/>
    </w:pPr>
    <w:rPr>
      <w:color w:val="918585"/>
      <w:sz w:val="22"/>
    </w:rPr>
  </w:style>
  <w:style w:type="paragraph" w:customStyle="1" w:styleId="SideHeading">
    <w:name w:val="Side Heading"/>
    <w:basedOn w:val="HeadingBase"/>
    <w:rsid w:val="00C43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D74"/>
    <w:pPr>
      <w:numPr>
        <w:numId w:val="10"/>
      </w:numPr>
    </w:pPr>
  </w:style>
  <w:style w:type="paragraph" w:styleId="PlainText">
    <w:name w:val="Plain Text"/>
    <w:basedOn w:val="Normal"/>
    <w:link w:val="PlainTextChar"/>
    <w:rsid w:val="00C43D74"/>
    <w:rPr>
      <w:sz w:val="20"/>
    </w:rPr>
  </w:style>
  <w:style w:type="character" w:customStyle="1" w:styleId="PlainTextChar">
    <w:name w:val="Plain Text Char"/>
    <w:basedOn w:val="DefaultParagraphFont"/>
    <w:link w:val="PlainText"/>
    <w:rsid w:val="00C43D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3D74"/>
    <w:rPr>
      <w:b/>
      <w:smallCaps/>
    </w:rPr>
  </w:style>
  <w:style w:type="paragraph" w:customStyle="1" w:styleId="TableListNumber">
    <w:name w:val="Table List Number"/>
    <w:basedOn w:val="ListNumber"/>
    <w:rsid w:val="00C43D74"/>
    <w:pPr>
      <w:numPr>
        <w:numId w:val="0"/>
      </w:numPr>
    </w:pPr>
  </w:style>
  <w:style w:type="paragraph" w:styleId="TOC4">
    <w:name w:val="toc 4"/>
    <w:basedOn w:val="TOCBase"/>
    <w:next w:val="Normal"/>
    <w:semiHidden/>
    <w:rsid w:val="00C43D74"/>
    <w:pPr>
      <w:tabs>
        <w:tab w:val="right" w:leader="dot" w:pos="9071"/>
      </w:tabs>
      <w:ind w:left="1701"/>
    </w:pPr>
  </w:style>
  <w:style w:type="paragraph" w:customStyle="1" w:styleId="ListAlpha">
    <w:name w:val="List Alpha"/>
    <w:basedOn w:val="List"/>
    <w:rsid w:val="00C43D74"/>
    <w:pPr>
      <w:numPr>
        <w:numId w:val="7"/>
      </w:numPr>
    </w:pPr>
  </w:style>
  <w:style w:type="paragraph" w:customStyle="1" w:styleId="ListAlpha2">
    <w:name w:val="List Alpha 2"/>
    <w:basedOn w:val="List2"/>
    <w:rsid w:val="00C43D74"/>
    <w:pPr>
      <w:numPr>
        <w:numId w:val="6"/>
      </w:numPr>
    </w:pPr>
  </w:style>
  <w:style w:type="paragraph" w:styleId="List2">
    <w:name w:val="List 2"/>
    <w:basedOn w:val="BodyText"/>
    <w:rsid w:val="00C43D74"/>
    <w:pPr>
      <w:tabs>
        <w:tab w:val="left" w:pos="680"/>
      </w:tabs>
      <w:spacing w:before="60" w:after="60"/>
      <w:ind w:left="680" w:hanging="340"/>
    </w:pPr>
  </w:style>
  <w:style w:type="paragraph" w:styleId="List3">
    <w:name w:val="List 3"/>
    <w:basedOn w:val="BodyText"/>
    <w:rsid w:val="00C43D74"/>
    <w:pPr>
      <w:tabs>
        <w:tab w:val="left" w:pos="1021"/>
      </w:tabs>
      <w:spacing w:before="60" w:after="60"/>
      <w:ind w:left="1020" w:hanging="340"/>
    </w:pPr>
  </w:style>
  <w:style w:type="paragraph" w:styleId="List4">
    <w:name w:val="List 4"/>
    <w:basedOn w:val="BodyText"/>
    <w:rsid w:val="00C43D74"/>
    <w:pPr>
      <w:tabs>
        <w:tab w:val="left" w:pos="1361"/>
      </w:tabs>
      <w:spacing w:before="60" w:after="60"/>
      <w:ind w:left="1361" w:hanging="340"/>
    </w:pPr>
  </w:style>
  <w:style w:type="paragraph" w:styleId="List5">
    <w:name w:val="List 5"/>
    <w:basedOn w:val="BodyText"/>
    <w:rsid w:val="00C43D74"/>
    <w:pPr>
      <w:tabs>
        <w:tab w:val="left" w:pos="1701"/>
      </w:tabs>
      <w:spacing w:before="60" w:after="60"/>
      <w:ind w:left="1701" w:hanging="340"/>
    </w:pPr>
  </w:style>
  <w:style w:type="paragraph" w:styleId="ListBullet3">
    <w:name w:val="List Bullet 3"/>
    <w:basedOn w:val="List3"/>
    <w:rsid w:val="00C43D74"/>
    <w:pPr>
      <w:numPr>
        <w:numId w:val="13"/>
      </w:numPr>
      <w:tabs>
        <w:tab w:val="clear" w:pos="1021"/>
      </w:tabs>
      <w:ind w:left="1037" w:hanging="357"/>
    </w:pPr>
  </w:style>
  <w:style w:type="paragraph" w:styleId="ListBullet4">
    <w:name w:val="List Bullet 4"/>
    <w:basedOn w:val="List4"/>
    <w:rsid w:val="00C43D74"/>
    <w:pPr>
      <w:numPr>
        <w:numId w:val="1"/>
      </w:numPr>
    </w:pPr>
  </w:style>
  <w:style w:type="paragraph" w:styleId="ListBullet5">
    <w:name w:val="List Bullet 5"/>
    <w:basedOn w:val="List5"/>
    <w:rsid w:val="00C43D74"/>
    <w:pPr>
      <w:numPr>
        <w:numId w:val="2"/>
      </w:numPr>
    </w:pPr>
  </w:style>
  <w:style w:type="paragraph" w:styleId="ListContinue2">
    <w:name w:val="List Continue 2"/>
    <w:basedOn w:val="List2"/>
    <w:rsid w:val="00C43D74"/>
    <w:pPr>
      <w:ind w:firstLine="0"/>
    </w:pPr>
  </w:style>
  <w:style w:type="paragraph" w:styleId="ListContinue3">
    <w:name w:val="List Continue 3"/>
    <w:basedOn w:val="List3"/>
    <w:rsid w:val="00C43D74"/>
    <w:pPr>
      <w:ind w:left="1021" w:firstLine="0"/>
    </w:pPr>
  </w:style>
  <w:style w:type="paragraph" w:styleId="ListContinue4">
    <w:name w:val="List Continue 4"/>
    <w:basedOn w:val="List4"/>
    <w:rsid w:val="00C43D74"/>
    <w:pPr>
      <w:ind w:firstLine="0"/>
    </w:pPr>
  </w:style>
  <w:style w:type="paragraph" w:styleId="ListContinue5">
    <w:name w:val="List Continue 5"/>
    <w:basedOn w:val="List5"/>
    <w:rsid w:val="00C43D74"/>
    <w:pPr>
      <w:ind w:firstLine="0"/>
    </w:pPr>
  </w:style>
  <w:style w:type="paragraph" w:styleId="ListNumber3">
    <w:name w:val="List Number 3"/>
    <w:basedOn w:val="List3"/>
    <w:rsid w:val="00C43D74"/>
    <w:pPr>
      <w:numPr>
        <w:numId w:val="3"/>
      </w:numPr>
    </w:pPr>
  </w:style>
  <w:style w:type="paragraph" w:styleId="ListNumber4">
    <w:name w:val="List Number 4"/>
    <w:basedOn w:val="List4"/>
    <w:rsid w:val="00C43D74"/>
    <w:pPr>
      <w:numPr>
        <w:numId w:val="4"/>
      </w:numPr>
    </w:pPr>
  </w:style>
  <w:style w:type="paragraph" w:styleId="ListNumber5">
    <w:name w:val="List Number 5"/>
    <w:basedOn w:val="List5"/>
    <w:rsid w:val="00C43D74"/>
    <w:pPr>
      <w:numPr>
        <w:numId w:val="5"/>
      </w:numPr>
    </w:pPr>
  </w:style>
  <w:style w:type="paragraph" w:styleId="BlockText">
    <w:name w:val="Block Text"/>
    <w:basedOn w:val="Normal"/>
    <w:rsid w:val="00C43D74"/>
    <w:pPr>
      <w:spacing w:after="120"/>
      <w:ind w:left="1440" w:right="1440"/>
    </w:pPr>
  </w:style>
  <w:style w:type="character" w:customStyle="1" w:styleId="Subscript">
    <w:name w:val="Subscript"/>
    <w:basedOn w:val="DefaultParagraphFont"/>
    <w:rsid w:val="00C43D74"/>
    <w:rPr>
      <w:sz w:val="16"/>
      <w:vertAlign w:val="subscript"/>
    </w:rPr>
  </w:style>
  <w:style w:type="character" w:customStyle="1" w:styleId="Superscript">
    <w:name w:val="Superscript"/>
    <w:basedOn w:val="DefaultParagraphFont"/>
    <w:rsid w:val="00C43D74"/>
    <w:rPr>
      <w:sz w:val="16"/>
      <w:vertAlign w:val="superscript"/>
    </w:rPr>
  </w:style>
  <w:style w:type="character" w:customStyle="1" w:styleId="Symbols">
    <w:name w:val="Symbols"/>
    <w:basedOn w:val="DefaultParagraphFont"/>
    <w:rsid w:val="00C43D74"/>
    <w:rPr>
      <w:rFonts w:ascii="Symbol" w:hAnsi="Symbol"/>
    </w:rPr>
  </w:style>
  <w:style w:type="character" w:customStyle="1" w:styleId="MenuOptions">
    <w:name w:val="Menu Options"/>
    <w:basedOn w:val="DefaultParagraphFont"/>
    <w:rsid w:val="00C43D74"/>
    <w:rPr>
      <w:rFonts w:ascii="Arial Narrow" w:hAnsi="Arial Narrow"/>
      <w:smallCaps/>
    </w:rPr>
  </w:style>
  <w:style w:type="character" w:customStyle="1" w:styleId="Buttons">
    <w:name w:val="Buttons"/>
    <w:basedOn w:val="DefaultParagraphFont"/>
    <w:rsid w:val="00C43D74"/>
    <w:rPr>
      <w:b/>
    </w:rPr>
  </w:style>
  <w:style w:type="character" w:customStyle="1" w:styleId="Underlined">
    <w:name w:val="Underlined"/>
    <w:basedOn w:val="DefaultParagraphFont"/>
    <w:rsid w:val="00C43D74"/>
    <w:rPr>
      <w:u w:val="single"/>
    </w:rPr>
  </w:style>
  <w:style w:type="paragraph" w:customStyle="1" w:styleId="TableBodyTextRight">
    <w:name w:val="Table Body Text Right"/>
    <w:basedOn w:val="TableBodyText"/>
    <w:rsid w:val="00C43D74"/>
    <w:pPr>
      <w:widowControl w:val="0"/>
      <w:autoSpaceDE w:val="0"/>
      <w:autoSpaceDN w:val="0"/>
      <w:adjustRightInd w:val="0"/>
      <w:jc w:val="right"/>
    </w:pPr>
    <w:rPr>
      <w:rFonts w:cs="Arial"/>
      <w:szCs w:val="18"/>
    </w:rPr>
  </w:style>
  <w:style w:type="paragraph" w:customStyle="1" w:styleId="CopyrightText">
    <w:name w:val="Copyright Text"/>
    <w:basedOn w:val="BodyText"/>
    <w:rsid w:val="00C43D74"/>
    <w:rPr>
      <w:sz w:val="18"/>
    </w:rPr>
  </w:style>
  <w:style w:type="paragraph" w:customStyle="1" w:styleId="BodySmallRight">
    <w:name w:val="Body Small Right"/>
    <w:basedOn w:val="BodyTextRight"/>
    <w:rsid w:val="00C43D74"/>
    <w:rPr>
      <w:sz w:val="18"/>
      <w:szCs w:val="18"/>
    </w:rPr>
  </w:style>
  <w:style w:type="paragraph" w:customStyle="1" w:styleId="MarginEdition">
    <w:name w:val="Margin Edition"/>
    <w:basedOn w:val="MarginNote"/>
    <w:rsid w:val="00C43D74"/>
    <w:pPr>
      <w:spacing w:before="0" w:after="0"/>
    </w:pPr>
    <w:rPr>
      <w:rFonts w:ascii="Times New Roman" w:hAnsi="Times New Roman"/>
      <w:color w:val="999999"/>
    </w:rPr>
  </w:style>
  <w:style w:type="paragraph" w:customStyle="1" w:styleId="Spacer">
    <w:name w:val="Spacer"/>
    <w:basedOn w:val="Normal"/>
    <w:rsid w:val="00C43D74"/>
    <w:rPr>
      <w:sz w:val="2"/>
      <w:szCs w:val="2"/>
    </w:rPr>
  </w:style>
  <w:style w:type="character" w:customStyle="1" w:styleId="Small">
    <w:name w:val="Small"/>
    <w:basedOn w:val="DefaultParagraphFont"/>
    <w:rsid w:val="00C43D74"/>
    <w:rPr>
      <w:sz w:val="16"/>
    </w:rPr>
  </w:style>
  <w:style w:type="paragraph" w:customStyle="1" w:styleId="WideTable">
    <w:name w:val="Wide Table"/>
    <w:basedOn w:val="Normal"/>
    <w:rsid w:val="00C43D74"/>
    <w:pPr>
      <w:ind w:left="-1418"/>
    </w:pPr>
    <w:rPr>
      <w:sz w:val="2"/>
      <w:szCs w:val="2"/>
    </w:rPr>
  </w:style>
  <w:style w:type="character" w:styleId="PageNumber">
    <w:name w:val="page number"/>
    <w:basedOn w:val="DefaultParagraphFont"/>
    <w:rsid w:val="00C43D74"/>
  </w:style>
  <w:style w:type="paragraph" w:styleId="Quote">
    <w:name w:val="Quote"/>
    <w:basedOn w:val="Heading1"/>
    <w:link w:val="QuoteChar"/>
    <w:qFormat/>
    <w:rsid w:val="00C43D74"/>
    <w:rPr>
      <w:b w:val="0"/>
      <w:sz w:val="72"/>
      <w:szCs w:val="72"/>
      <w:lang w:val="en-NZ"/>
    </w:rPr>
  </w:style>
  <w:style w:type="character" w:customStyle="1" w:styleId="QuoteChar">
    <w:name w:val="Quote Char"/>
    <w:basedOn w:val="DefaultParagraphFont"/>
    <w:link w:val="Quote"/>
    <w:rsid w:val="00C43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D74"/>
    <w:pPr>
      <w:pageBreakBefore/>
    </w:pPr>
  </w:style>
  <w:style w:type="paragraph" w:customStyle="1" w:styleId="Border">
    <w:name w:val="Border"/>
    <w:basedOn w:val="Normal"/>
    <w:qFormat/>
    <w:rsid w:val="00C43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D74"/>
    <w:rPr>
      <w:b/>
      <w:bCs/>
      <w:i/>
      <w:iCs/>
      <w:color w:val="auto"/>
    </w:rPr>
  </w:style>
  <w:style w:type="paragraph" w:styleId="IntenseQuote">
    <w:name w:val="Intense Quote"/>
    <w:basedOn w:val="Normal"/>
    <w:next w:val="Normal"/>
    <w:link w:val="IntenseQuoteChar"/>
    <w:uiPriority w:val="30"/>
    <w:qFormat/>
    <w:rsid w:val="00C43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D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3D74"/>
    <w:rPr>
      <w:smallCaps/>
      <w:color w:val="auto"/>
      <w:u w:val="single"/>
    </w:rPr>
  </w:style>
  <w:style w:type="character" w:styleId="IntenseReference">
    <w:name w:val="Intense Reference"/>
    <w:basedOn w:val="DefaultParagraphFont"/>
    <w:uiPriority w:val="32"/>
    <w:qFormat/>
    <w:rsid w:val="00C43D74"/>
    <w:rPr>
      <w:b/>
      <w:bCs/>
      <w:smallCaps/>
      <w:color w:val="auto"/>
      <w:spacing w:val="5"/>
      <w:u w:val="single"/>
    </w:rPr>
  </w:style>
  <w:style w:type="paragraph" w:customStyle="1" w:styleId="2ColumnHeading">
    <w:name w:val="2Column Heading"/>
    <w:basedOn w:val="BodyText"/>
    <w:qFormat/>
    <w:rsid w:val="00C43D74"/>
    <w:pPr>
      <w:spacing w:after="60"/>
      <w:ind w:left="-2268"/>
    </w:pPr>
    <w:rPr>
      <w:b/>
    </w:rPr>
  </w:style>
  <w:style w:type="paragraph" w:customStyle="1" w:styleId="Heading1TOC">
    <w:name w:val="Heading1 TOC"/>
    <w:basedOn w:val="Normal"/>
    <w:qFormat/>
    <w:rsid w:val="00C43D74"/>
    <w:pPr>
      <w:spacing w:before="240" w:after="120"/>
    </w:pPr>
    <w:rPr>
      <w:rFonts w:ascii="Times New Roman" w:hAnsi="Times New Roman"/>
      <w:b/>
      <w:sz w:val="32"/>
    </w:rPr>
  </w:style>
  <w:style w:type="paragraph" w:customStyle="1" w:styleId="Heading2TOC">
    <w:name w:val="Heading2 TOC"/>
    <w:basedOn w:val="Normal"/>
    <w:qFormat/>
    <w:rsid w:val="00C43D74"/>
    <w:pPr>
      <w:spacing w:before="240" w:after="60"/>
    </w:pPr>
    <w:rPr>
      <w:rFonts w:ascii="Times New Roman" w:hAnsi="Times New Roman"/>
      <w:b/>
      <w:sz w:val="28"/>
    </w:rPr>
  </w:style>
  <w:style w:type="character" w:customStyle="1" w:styleId="Underline">
    <w:name w:val="Underline"/>
    <w:basedOn w:val="DefaultParagraphFont"/>
    <w:qFormat/>
    <w:rsid w:val="00C43D74"/>
    <w:rPr>
      <w:u w:val="single"/>
    </w:rPr>
  </w:style>
  <w:style w:type="character" w:customStyle="1" w:styleId="BoldandItalics">
    <w:name w:val="Bold and Italics"/>
    <w:qFormat/>
    <w:rsid w:val="00C43D74"/>
    <w:rPr>
      <w:b/>
      <w:i/>
      <w:u w:val="none"/>
    </w:rPr>
  </w:style>
  <w:style w:type="paragraph" w:styleId="BalloonText">
    <w:name w:val="Balloon Text"/>
    <w:basedOn w:val="Normal"/>
    <w:link w:val="BalloonTextChar"/>
    <w:rsid w:val="00C43D74"/>
    <w:rPr>
      <w:rFonts w:ascii="Tahoma" w:hAnsi="Tahoma" w:cs="Tahoma"/>
      <w:sz w:val="16"/>
      <w:szCs w:val="16"/>
    </w:rPr>
  </w:style>
  <w:style w:type="character" w:customStyle="1" w:styleId="BalloonTextChar">
    <w:name w:val="Balloon Text Char"/>
    <w:basedOn w:val="DefaultParagraphFont"/>
    <w:link w:val="BalloonText"/>
    <w:rsid w:val="00C43D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3D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D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8442</Characters>
  <Application>Microsoft Office Word</Application>
  <DocSecurity>0</DocSecurity>
  <Lines>281</Lines>
  <Paragraphs>154</Paragraphs>
  <ScaleCrop>false</ScaleCrop>
  <Company>Author-it Software Corporation Ltd.</Company>
  <LinksUpToDate>false</LinksUpToDate>
  <CharactersWithSpaces>9606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TLIR107C Monitor supplier performance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2012-05-27T08:20:00Z</dcterms:created>
  <dcterms:modified xsi:type="dcterms:W3CDTF">2012-05-27T08:20:00Z</dcterms:modified>
</cp:coreProperties>
</file>