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22E" w:rsidP="0068322E">
      <w:pPr>
        <w:pStyle w:val="Title"/>
      </w:pPr>
      <w:r>
        <w:fldChar w:fldCharType="begin"/>
      </w:r>
      <w:r>
        <w:instrText xml:space="preserve"> TITLE   \* MERGEFORMAT </w:instrText>
      </w:r>
      <w:r>
        <w:fldChar w:fldCharType="separate"/>
      </w:r>
      <w:r>
        <w:t>TLIO907C Test and inspect cash-in-transit security equipment</w:t>
      </w:r>
      <w:r>
        <w:fldChar w:fldCharType="end"/>
      </w:r>
    </w:p>
    <w:p w:rsidR="0068322E" w:rsidP="0068322E">
      <w:pPr>
        <w:pStyle w:val="Version"/>
        <w:sectPr w:rsidSect="009C6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EA6" w:rsidP="009C6EA6">
      <w:pPr>
        <w:pStyle w:val="SuperHeading"/>
      </w:pPr>
      <w:r w:rsidRPr="009C6EA6">
        <w:t>TLIO907C Test and inspect cash-in-transit security equipment</w:t>
      </w:r>
    </w:p>
    <w:p w:rsidR="00000000" w:rsidRPr="009C6EA6" w:rsidP="009C6EA6">
      <w:pPr>
        <w:pStyle w:val="Heading1"/>
      </w:pPr>
      <w:bookmarkStart w:id="1" w:name="O_317094"/>
      <w:bookmarkEnd w:id="1"/>
      <w:r w:rsidRPr="009C6EA6">
        <w:t>Modification History</w:t>
      </w:r>
    </w:p>
    <w:p w:rsidR="00000000" w:rsidRPr="009C6EA6" w:rsidP="009C6EA6">
      <w:pPr>
        <w:pStyle w:val="BodyText"/>
      </w:pPr>
      <w:r w:rsidRPr="009C6EA6">
        <w:t>Not applicable.</w:t>
      </w:r>
    </w:p>
    <w:p w:rsidR="00000000" w:rsidRPr="009C6EA6" w:rsidP="009C6EA6">
      <w:pPr>
        <w:pStyle w:val="AllowPageBreak"/>
      </w:pPr>
    </w:p>
    <w:p w:rsidR="00000000" w:rsidRPr="009C6EA6" w:rsidP="009C6EA6">
      <w:pPr>
        <w:pStyle w:val="Heading1"/>
      </w:pPr>
      <w:bookmarkStart w:id="2" w:name="O_317095"/>
      <w:bookmarkEnd w:id="2"/>
      <w:r w:rsidRPr="009C6EA6">
        <w:t>Unit Descriptor</w:t>
      </w:r>
    </w:p>
    <w:p w:rsidR="00000000" w:rsidRPr="009C6EA6" w:rsidP="009C6EA6">
      <w:pPr>
        <w:pStyle w:val="BodyText"/>
      </w:pPr>
      <w:r w:rsidRPr="009C6EA6">
        <w:t>This unit involves the skills and knowledge required to test and inspect cash-in-transit security equipme</w:t>
      </w:r>
      <w:r w:rsidRPr="009C6EA6">
        <w:t>nt, including inspecting equipment and work area, checking the operational capability of the equipment, identifying and assessing the impact of faults on security requirements, and recording and reporting the results of inspection and testing.</w:t>
      </w:r>
    </w:p>
    <w:p w:rsidR="00000000" w:rsidRPr="009C6EA6" w:rsidP="009C6EA6">
      <w:pPr>
        <w:pStyle w:val="AllowPageBreak"/>
      </w:pPr>
    </w:p>
    <w:p w:rsidR="00000000" w:rsidRPr="009C6EA6" w:rsidP="009C6EA6">
      <w:pPr>
        <w:pStyle w:val="Heading1"/>
      </w:pPr>
      <w:bookmarkStart w:id="3" w:name="O_317093"/>
      <w:bookmarkEnd w:id="3"/>
      <w:r w:rsidRPr="009C6EA6">
        <w:t>Application of the Unit</w:t>
      </w:r>
    </w:p>
    <w:p w:rsidR="00000000" w:rsidRPr="009C6EA6" w:rsidP="009C6EA6">
      <w:pPr>
        <w:pStyle w:val="BodyText"/>
      </w:pPr>
      <w:r w:rsidRPr="009C6EA6">
        <w:t>Work must be carried out in compliance with the relevant sections of the regulations of the relevant state/territory authorities concerned with the secure delivery of valuables, secured products, documents and materials.</w:t>
      </w:r>
    </w:p>
    <w:p w:rsidR="00000000" w:rsidRPr="009C6EA6" w:rsidP="009C6EA6">
      <w:pPr>
        <w:pStyle w:val="BodyText"/>
      </w:pPr>
      <w:r w:rsidRPr="009C6EA6">
        <w:t>Work i</w:t>
      </w:r>
      <w:r w:rsidRPr="009C6EA6">
        <w:t>s performed under general or limited supervision. It involves the application of the basic principles, routine procedures and regulatory requirements to the testing and inspection of cash-in-transit security equipment and systems.</w:t>
      </w:r>
    </w:p>
    <w:p w:rsidR="00000000" w:rsidRPr="009C6EA6" w:rsidP="009C6EA6">
      <w:pPr>
        <w:pStyle w:val="AllowPageBreak"/>
      </w:pPr>
    </w:p>
    <w:p w:rsidR="00000000" w:rsidRPr="009C6EA6" w:rsidP="009C6EA6">
      <w:pPr>
        <w:pStyle w:val="Heading1"/>
      </w:pPr>
      <w:bookmarkStart w:id="4" w:name="O_317092"/>
      <w:bookmarkEnd w:id="4"/>
      <w:r w:rsidRPr="009C6EA6">
        <w:t>Licensin</w:t>
      </w:r>
      <w:r w:rsidRPr="009C6EA6">
        <w:t>g/Regulatory Information</w:t>
      </w:r>
    </w:p>
    <w:p w:rsidR="00000000" w:rsidRPr="009C6EA6" w:rsidP="009C6EA6">
      <w:pPr>
        <w:pStyle w:val="BodyText"/>
      </w:pPr>
      <w:r w:rsidRPr="009C6EA6">
        <w:t>Not applicable.</w:t>
      </w:r>
    </w:p>
    <w:p w:rsidR="00000000" w:rsidRPr="009C6EA6" w:rsidP="009C6EA6">
      <w:pPr>
        <w:pStyle w:val="AllowPageBreak"/>
      </w:pPr>
    </w:p>
    <w:p w:rsidR="00000000" w:rsidRPr="009C6EA6" w:rsidP="009C6EA6">
      <w:pPr>
        <w:pStyle w:val="Heading1"/>
      </w:pPr>
      <w:bookmarkStart w:id="5" w:name="O_317091"/>
      <w:bookmarkEnd w:id="5"/>
      <w:r w:rsidRPr="009C6EA6">
        <w:t>Pre-Requisites</w:t>
      </w:r>
    </w:p>
    <w:p w:rsidR="00000000" w:rsidRPr="009C6EA6" w:rsidP="009C6EA6">
      <w:pPr>
        <w:pStyle w:val="BodyText"/>
      </w:pPr>
      <w:r w:rsidRPr="009C6EA6">
        <w:t>Not applicable.</w:t>
      </w:r>
    </w:p>
    <w:p w:rsidR="00000000" w:rsidRPr="009C6EA6" w:rsidP="009C6EA6">
      <w:pPr>
        <w:pStyle w:val="AllowPageBreak"/>
      </w:pPr>
    </w:p>
    <w:p w:rsidR="00000000" w:rsidRPr="009C6EA6" w:rsidP="009C6EA6">
      <w:pPr>
        <w:pStyle w:val="Heading1"/>
      </w:pPr>
      <w:bookmarkStart w:id="6" w:name="O_317090"/>
      <w:bookmarkEnd w:id="6"/>
      <w:r w:rsidRPr="009C6EA6">
        <w:t>Employability Skills Information</w:t>
      </w:r>
    </w:p>
    <w:p w:rsidR="00000000" w:rsidRPr="009C6EA6" w:rsidP="009C6EA6">
      <w:pPr>
        <w:pStyle w:val="BodyText"/>
      </w:pPr>
      <w:r w:rsidRPr="009C6EA6">
        <w:t>The required outcomes described in this unit of competency contain applicable facets of Employability Skills. The Employability Skills Summary of the qualification in which this competency is packaged will assist in identifying employability skill requirem</w:t>
      </w:r>
      <w:r w:rsidRPr="009C6EA6">
        <w:t>ents.</w:t>
      </w:r>
    </w:p>
    <w:p w:rsidR="00000000" w:rsidRPr="009C6EA6" w:rsidP="009C6EA6">
      <w:pPr>
        <w:pStyle w:val="AllowPageBreak"/>
      </w:pPr>
    </w:p>
    <w:p w:rsidR="00000000" w:rsidRPr="009C6EA6" w:rsidP="009C6EA6">
      <w:pPr>
        <w:pStyle w:val="Heading1"/>
      </w:pPr>
      <w:bookmarkStart w:id="7" w:name="O_317096"/>
      <w:bookmarkEnd w:id="7"/>
      <w:r w:rsidRPr="009C6EA6">
        <w:t>Elements and Performance Criteria Pre-Content</w:t>
      </w:r>
    </w:p>
    <w:p w:rsidR="00000000" w:rsidRPr="009C6EA6" w:rsidP="009C6EA6">
      <w:pPr>
        <w:pStyle w:val="BodyText"/>
      </w:pPr>
      <w:r w:rsidRPr="009C6EA6">
        <w:t>Elements describe the essential outcomes of a unit of competency.</w:t>
      </w:r>
    </w:p>
    <w:p w:rsidR="00000000" w:rsidRPr="009C6EA6" w:rsidP="009C6EA6">
      <w:pPr>
        <w:pStyle w:val="BodyText"/>
      </w:pPr>
      <w:r w:rsidRPr="009C6EA6">
        <w:t>Performance criteria describe the required performance needed to demonstrate achievement of the element. Assessment of performance is to be consistent with the evidence guide.</w:t>
      </w:r>
    </w:p>
    <w:p w:rsidR="00000000" w:rsidRPr="009C6EA6" w:rsidP="009C6EA6">
      <w:pPr>
        <w:pStyle w:val="AllowPageBreak"/>
      </w:pPr>
    </w:p>
    <w:p w:rsidR="00000000" w:rsidRPr="009C6EA6" w:rsidP="009C6EA6">
      <w:pPr>
        <w:pStyle w:val="Heading1"/>
      </w:pPr>
      <w:bookmarkStart w:id="8" w:name="O_317084"/>
      <w:bookmarkEnd w:id="8"/>
      <w:r w:rsidRPr="009C6EA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8322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Elements and Performance Crit</w:t>
            </w:r>
            <w:r w:rsidRPr="009C6EA6">
              <w:rPr>
                <w:rStyle w:val="SpecialBold"/>
              </w:rPr>
              <w:t>eria</w:t>
            </w:r>
          </w:p>
        </w:tc>
      </w:tr>
      <w:tr w:rsidTr="0068322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Performance Criteria</w:t>
            </w:r>
          </w:p>
        </w:tc>
      </w:tr>
      <w:tr w:rsidTr="006832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1</w:t>
            </w:r>
          </w:p>
        </w:tc>
        <w:tc>
          <w:tcPr>
            <w:tcW w:w="3000" w:type="dxa"/>
            <w:vMerge w:val="restart"/>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Inspect equipment and work area</w:t>
            </w: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1.1</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The equipment is checked prior to use in accordance with the manufacturer's safety checks, specifications and workplace procedures to ensure it is free from damage or faults</w:t>
            </w:r>
            <w:r w:rsidRPr="009C6EA6">
              <w:t xml:space="preserve"> that may limit operational capability</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1.2</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Work area is checked to ensure that it is safe and appropriate for the required task</w:t>
            </w:r>
          </w:p>
        </w:tc>
      </w:tr>
      <w:tr w:rsidTr="006832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2</w:t>
            </w:r>
          </w:p>
        </w:tc>
        <w:tc>
          <w:tcPr>
            <w:tcW w:w="3000" w:type="dxa"/>
            <w:vMerge w:val="restart"/>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Check equipment operational capability</w:t>
            </w: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2.1</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Equipment and components are inspected in accordance with the manufacturer's specifications and workplace procedures and occupational health and safety requirements to ensure effective operation</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2.2</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Warning systems are checked for operational effectiven</w:t>
            </w:r>
            <w:r w:rsidRPr="009C6EA6">
              <w:t>ess</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2.3</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Inspection is conducted in accordance with maintenance schedule and degree of use</w:t>
            </w:r>
          </w:p>
        </w:tc>
      </w:tr>
      <w:tr w:rsidTr="006832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3</w:t>
            </w:r>
          </w:p>
        </w:tc>
        <w:tc>
          <w:tcPr>
            <w:tcW w:w="3000" w:type="dxa"/>
            <w:vMerge w:val="restart"/>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Identify and assess the impact of faults on security requirements</w:t>
            </w: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3.1</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Equipment faults are identified and assessments made of the potent</w:t>
            </w:r>
            <w:r w:rsidRPr="009C6EA6">
              <w:t>ial effect on the operation of the equipment for the required work</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3.2</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Non-serviceable equipment is tagged, reported to appropriate personnel and/or processed for repair or disposal</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3.3</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Replacement(s) for non-serviceable equipment are obtained in accordance with workplace procedures</w:t>
            </w:r>
          </w:p>
        </w:tc>
      </w:tr>
      <w:tr w:rsidTr="006832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4</w:t>
            </w:r>
          </w:p>
        </w:tc>
        <w:tc>
          <w:tcPr>
            <w:tcW w:w="3000" w:type="dxa"/>
            <w:vMerge w:val="restart"/>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Record and report results of inspection and testing</w:t>
            </w: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4.1</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Accurate reporting of the results of the inspection and testing is kept in accordance with statutor</w:t>
            </w:r>
            <w:r w:rsidRPr="009C6EA6">
              <w:t>y requirements, workplace policy and industry guidelines</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4.2</w:t>
            </w:r>
          </w:p>
        </w:tc>
        <w:tc>
          <w:tcPr>
            <w:tcW w:w="51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Records are kept in accordance with workplace policy</w:t>
            </w:r>
          </w:p>
        </w:tc>
      </w:tr>
      <w:tr w:rsidTr="006832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4.3</w:t>
            </w:r>
          </w:p>
        </w:tc>
        <w:tc>
          <w:tcPr>
            <w:tcW w:w="51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Clear reference is made to any items which may affect the future safety of the equipment</w:t>
            </w:r>
          </w:p>
        </w:tc>
      </w:tr>
    </w:tbl>
    <w:p w:rsidR="00000000" w:rsidRPr="009C6EA6" w:rsidP="009C6EA6">
      <w:pPr>
        <w:pStyle w:val="BodyText"/>
      </w:pPr>
    </w:p>
    <w:p w:rsidR="00000000" w:rsidRPr="009C6EA6" w:rsidP="009C6EA6">
      <w:pPr>
        <w:pStyle w:val="AllowPageBreak"/>
      </w:pPr>
    </w:p>
    <w:p w:rsidR="00000000" w:rsidRPr="009C6EA6" w:rsidP="009C6EA6">
      <w:pPr>
        <w:pStyle w:val="Heading1"/>
      </w:pPr>
      <w:bookmarkStart w:id="9" w:name="O_317089"/>
      <w:bookmarkEnd w:id="9"/>
      <w:r w:rsidRPr="009C6EA6">
        <w:t>Required Skills and Knowledge</w:t>
      </w:r>
    </w:p>
    <w:tbl>
      <w:tblPr>
        <w:tblW w:w="0" w:type="auto"/>
        <w:tblLayout w:type="fixed"/>
        <w:tblCellMar>
          <w:left w:w="62" w:type="dxa"/>
          <w:right w:w="62" w:type="dxa"/>
        </w:tblCellMar>
        <w:tblLook w:val="0000"/>
      </w:tblPr>
      <w:tblGrid>
        <w:gridCol w:w="9000"/>
      </w:tblGrid>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REQUIRED KNOWLEDGE AND SKILLS</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This describes the essential knowledge and skills and their level required for this unit.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Required knowledge</w:t>
            </w:r>
            <w:r w:rsidRPr="009C6EA6">
              <w:t xml:space="preserve">: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Relevant state and territory permit and licence regulations and requirements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Re</w:t>
            </w:r>
            <w:r w:rsidRPr="009C6EA6">
              <w:t xml:space="preserve">levant OH&amp;S procedures and guidelines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Risks and hazards associated with inspecting security equipment and systems and related precautions to control the risk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Operational procedures for the testing and inspection of cash-in-transit security equipment and systems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Contingency planning relating to managing and controlling security risks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Requirements for approved work procedures and relevant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Housekee</w:t>
            </w:r>
            <w:r w:rsidRPr="009C6EA6">
              <w:t xml:space="preserve">ping standards procedures required in the workplace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 xml:space="preserve">Typical problems that can occur when testing and inspecting cash-in-transit security equipment and appropriate action that can be taken to prevent or solve them </w:t>
            </w:r>
          </w:p>
        </w:tc>
      </w:tr>
    </w:tbl>
    <w:p w:rsidR="00000000" w:rsidRPr="009C6EA6" w:rsidP="009C6EA6">
      <w:pPr>
        <w:pStyle w:val="BodyText"/>
      </w:pPr>
    </w:p>
    <w:tbl>
      <w:tblPr>
        <w:tblW w:w="0" w:type="auto"/>
        <w:tblLayout w:type="fixed"/>
        <w:tblCellMar>
          <w:left w:w="62" w:type="dxa"/>
          <w:right w:w="62" w:type="dxa"/>
        </w:tblCellMar>
        <w:tblLook w:val="0000"/>
      </w:tblPr>
      <w:tblGrid>
        <w:gridCol w:w="9000"/>
      </w:tblGrid>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Required skills</w:t>
            </w:r>
            <w:r w:rsidRPr="009C6EA6">
              <w:t>:</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Communicate effectiv</w:t>
            </w:r>
            <w:r w:rsidRPr="009C6EA6">
              <w:t xml:space="preserve">ely with others when testing and inspecting cash-in-transit security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Read and interpret instructions, procedures, information and regulations relevant to the testing and inspecting of cash-in-transit security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Interpret and follow op</w:t>
            </w:r>
            <w:r w:rsidRPr="009C6EA6">
              <w:t xml:space="preserve">erational instructions and prioritise work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Complete documentation related to the testing and inspecting of cash-in-transit security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Operate electronic communication equipment to required protocol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Work collaboratively with others when testing and inspecting cash-in-transit security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Adapt appropriately to cultural differences in the workplace, including modes of behaviour and interactions with others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Promptly report and/or rectify any p</w:t>
            </w:r>
            <w:r w:rsidRPr="009C6EA6">
              <w:t xml:space="preserve">roblems, faults or malfunctions that may be identified when testing and inspecting cash-in-transit security equipment in accordance with regulatory requirements and workplace procedures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Apply precautions and required action to minimise, control or elimin</w:t>
            </w:r>
            <w:r w:rsidRPr="009C6EA6">
              <w:t xml:space="preserve">ate hazards that may exist during work activities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Apply relevant agreements, codes of practice or other legislative requirements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Plan own work including predicting consequences and identifying improvements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Monitor work activities in terms of planned </w:t>
            </w:r>
            <w:r w:rsidRPr="009C6EA6">
              <w:t xml:space="preserve">schedule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Modify activities depending on differing operational contingencies, risk situations and environments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Work systematically with required attention to detail without injury to self or others, or damage to goods or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Identify and correct</w:t>
            </w:r>
            <w:r w:rsidRPr="009C6EA6">
              <w:t xml:space="preserve">ly use and test security equipment and systems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Adapt to differences in equipment in accordance with standard operating procedures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Monitor performance of equipment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Service equipment in terms of maintenance schedule and standard operating procedures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Safely use correct manual handling techniques </w:t>
            </w:r>
          </w:p>
        </w:tc>
      </w:tr>
      <w:tr w:rsidTr="006832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 xml:space="preserve">Select and use required personal protective equipment conforming to industry and OH&amp;S standards </w:t>
            </w:r>
          </w:p>
        </w:tc>
      </w:tr>
    </w:tbl>
    <w:p w:rsidR="00000000" w:rsidRPr="009C6EA6" w:rsidP="009C6EA6">
      <w:pPr>
        <w:pStyle w:val="BodyText"/>
      </w:pPr>
    </w:p>
    <w:p w:rsidR="00000000" w:rsidRPr="009C6EA6" w:rsidP="009C6EA6">
      <w:pPr>
        <w:pStyle w:val="AllowPageBreak"/>
      </w:pPr>
    </w:p>
    <w:p w:rsidR="00000000" w:rsidRPr="009C6EA6" w:rsidP="009C6EA6">
      <w:pPr>
        <w:pStyle w:val="Heading1"/>
      </w:pPr>
      <w:bookmarkStart w:id="10" w:name="O_317088"/>
      <w:bookmarkEnd w:id="10"/>
      <w:r w:rsidRPr="009C6EA6">
        <w:t>Evidence Guide</w:t>
      </w:r>
    </w:p>
    <w:tbl>
      <w:tblPr>
        <w:tblW w:w="0" w:type="auto"/>
        <w:tblLayout w:type="fixed"/>
        <w:tblCellMar>
          <w:left w:w="62" w:type="dxa"/>
          <w:right w:w="62" w:type="dxa"/>
        </w:tblCellMar>
        <w:tblLook w:val="0000"/>
      </w:tblPr>
      <w:tblGrid>
        <w:gridCol w:w="4500"/>
        <w:gridCol w:w="4500"/>
      </w:tblGrid>
      <w:tr w:rsidTr="006832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32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The evidence guide provides advice on assessment and must be read in conjunction with the performance criteria, required knowledge and skills, the range statement and the assessment guidelines for this Training Package.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Critical aspects for assessment a</w:t>
            </w:r>
            <w:r w:rsidRPr="009C6EA6">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The evidence required to demonstrate competency in this unit must be relevant to and satisfy all of the requirements of the elements and performance criteria of this unit and include demonstration</w:t>
            </w:r>
            <w:r w:rsidRPr="009C6EA6">
              <w:t xml:space="preserve"> of applying:   </w:t>
            </w:r>
          </w:p>
          <w:p w:rsidR="00000000" w:rsidRPr="009C6EA6" w:rsidP="009C6EA6">
            <w:pPr>
              <w:pStyle w:val="BodyText"/>
            </w:pPr>
            <w:r w:rsidRPr="009C6EA6">
              <w:t>the underpinning knowledge and skills</w:t>
            </w:r>
          </w:p>
          <w:p w:rsidR="00000000" w:rsidRPr="009C6EA6" w:rsidP="009C6EA6">
            <w:pPr>
              <w:pStyle w:val="BodyText"/>
            </w:pPr>
            <w:r w:rsidRPr="009C6EA6">
              <w:t>relevant legislation and workplace procedures</w:t>
            </w:r>
          </w:p>
          <w:p w:rsidR="00000000" w:rsidP="009C6EA6">
            <w:pPr>
              <w:pStyle w:val="BodyText"/>
              <w:rPr>
                <w:lang w:val="en-NZ"/>
              </w:rPr>
            </w:pPr>
            <w:r w:rsidRPr="009C6EA6">
              <w:t xml:space="preserve">other relevant aspects of the range statement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 xml:space="preserve">Performance is demonstrated consistently over a period of </w:t>
            </w:r>
            <w:r w:rsidRPr="009C6EA6">
              <w:t>time and in a suitable range of contexts</w:t>
            </w:r>
          </w:p>
          <w:p w:rsidR="00000000" w:rsidRPr="009C6EA6" w:rsidP="009C6EA6">
            <w:pPr>
              <w:pStyle w:val="BodyText"/>
            </w:pPr>
            <w:r w:rsidRPr="009C6EA6">
              <w:t xml:space="preserve">Resources for assessment include:   </w:t>
            </w:r>
          </w:p>
          <w:p w:rsidR="00000000" w:rsidRPr="009C6EA6" w:rsidP="009C6EA6">
            <w:pPr>
              <w:pStyle w:val="BodyText"/>
            </w:pPr>
            <w:r w:rsidRPr="009C6EA6">
              <w:t>a range of relevant exercises, case studies and other simulated practical and knowledge assessment, and/or</w:t>
            </w:r>
          </w:p>
          <w:p w:rsidR="00000000" w:rsidRPr="009C6EA6" w:rsidP="009C6EA6">
            <w:pPr>
              <w:pStyle w:val="BodyText"/>
            </w:pPr>
            <w:r w:rsidRPr="009C6EA6">
              <w:t>access to an appropriate range of relevant operational situations in th</w:t>
            </w:r>
            <w:r w:rsidRPr="009C6EA6">
              <w:t>e workplace</w:t>
            </w:r>
          </w:p>
          <w:p w:rsidR="00000000" w:rsidRPr="009C6EA6" w:rsidP="009C6EA6">
            <w:pPr>
              <w:pStyle w:val="BodyText"/>
            </w:pPr>
          </w:p>
          <w:p w:rsidR="00000000" w:rsidRPr="009C6EA6" w:rsidP="009C6EA6">
            <w:pPr>
              <w:pStyle w:val="BodyText"/>
            </w:pPr>
            <w:r w:rsidRPr="009C6EA6">
              <w:t xml:space="preserve">In both real and simulated environments, access is required to:     </w:t>
            </w:r>
          </w:p>
          <w:p w:rsidR="00000000" w:rsidRPr="009C6EA6" w:rsidP="009C6EA6">
            <w:pPr>
              <w:pStyle w:val="BodyText"/>
            </w:pPr>
            <w:r w:rsidRPr="009C6EA6">
              <w:t>relevant and appropriate materials and/or equipment, and/or</w:t>
            </w:r>
          </w:p>
          <w:p w:rsidR="00000000" w:rsidP="009C6EA6">
            <w:pPr>
              <w:pStyle w:val="BodyText"/>
              <w:rPr>
                <w:lang w:val="en-NZ"/>
              </w:rPr>
            </w:pPr>
            <w:r w:rsidRPr="009C6EA6">
              <w:t xml:space="preserve">applicable documentation including workplace procedures, regulations, codes of practice and operation manuals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Assessment of this unit must be undertaken by a registered training organisation</w:t>
            </w:r>
          </w:p>
          <w:p w:rsidR="00000000" w:rsidRPr="009C6EA6" w:rsidP="009C6EA6">
            <w:pPr>
              <w:pStyle w:val="BodyText"/>
            </w:pPr>
            <w:r w:rsidRPr="009C6EA6">
              <w:t>As a minimum, assessment of knowledge must be conducted through appropriate written/oral tests</w:t>
            </w:r>
          </w:p>
          <w:p w:rsidR="00000000" w:rsidRPr="009C6EA6" w:rsidP="009C6EA6">
            <w:pPr>
              <w:pStyle w:val="BodyText"/>
            </w:pPr>
            <w:r w:rsidRPr="009C6EA6">
              <w:t xml:space="preserve">Practical assessment must occur:   </w:t>
            </w:r>
          </w:p>
          <w:p w:rsidR="00000000" w:rsidRPr="009C6EA6" w:rsidP="009C6EA6">
            <w:pPr>
              <w:pStyle w:val="BodyText"/>
            </w:pPr>
            <w:r w:rsidRPr="009C6EA6">
              <w:t>through appropriately s</w:t>
            </w:r>
            <w:r w:rsidRPr="009C6EA6">
              <w:t>imulated activities at the registered training organisation, and/or</w:t>
            </w:r>
          </w:p>
          <w:p w:rsidR="00000000" w:rsidRPr="009C6EA6" w:rsidP="009C6EA6">
            <w:pPr>
              <w:pStyle w:val="BodyText"/>
            </w:pPr>
            <w:r w:rsidRPr="009C6EA6">
              <w:t xml:space="preserve">in an appropriate range of situations in the workplace </w:t>
            </w:r>
          </w:p>
        </w:tc>
      </w:tr>
    </w:tbl>
    <w:p w:rsidR="00000000" w:rsidRPr="009C6EA6" w:rsidP="009C6EA6">
      <w:pPr>
        <w:pStyle w:val="BodyText"/>
      </w:pPr>
    </w:p>
    <w:p w:rsidR="00000000" w:rsidRPr="009C6EA6" w:rsidP="009C6EA6">
      <w:pPr>
        <w:pStyle w:val="AllowPageBreak"/>
      </w:pPr>
    </w:p>
    <w:p w:rsidR="00000000" w:rsidRPr="009C6EA6" w:rsidP="009C6EA6">
      <w:pPr>
        <w:pStyle w:val="Heading1"/>
      </w:pPr>
      <w:bookmarkStart w:id="11" w:name="O_317087"/>
      <w:bookmarkEnd w:id="11"/>
      <w:r w:rsidRPr="009C6EA6">
        <w:t>Range Statement</w:t>
      </w:r>
    </w:p>
    <w:tbl>
      <w:tblPr>
        <w:tblW w:w="0" w:type="auto"/>
        <w:tblLayout w:type="fixed"/>
        <w:tblCellMar>
          <w:left w:w="62" w:type="dxa"/>
          <w:right w:w="62" w:type="dxa"/>
        </w:tblCellMar>
        <w:tblLook w:val="0000"/>
      </w:tblPr>
      <w:tblGrid>
        <w:gridCol w:w="4500"/>
        <w:gridCol w:w="4500"/>
      </w:tblGrid>
      <w:tr w:rsidTr="006832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rPr>
                <w:rStyle w:val="SpecialBold"/>
              </w:rPr>
              <w:t>RANGE STATEMENT</w:t>
            </w:r>
          </w:p>
        </w:tc>
      </w:tr>
      <w:tr w:rsidTr="006832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The range statement relates to the unit of competency as a whole. It allows for</w:t>
            </w:r>
            <w:r w:rsidRPr="009C6EA6">
              <w:t xml:space="preserve"> different work environments and situations that may affect performance.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in a range of work environments and weather conditions</w:t>
            </w:r>
          </w:p>
          <w:p w:rsidR="00000000" w:rsidP="009C6EA6">
            <w:pPr>
              <w:pStyle w:val="BodyText"/>
              <w:rPr>
                <w:lang w:val="en-NZ"/>
              </w:rPr>
            </w:pPr>
            <w:r w:rsidRPr="009C6EA6">
              <w:t xml:space="preserve">by day or night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internal or external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Security systems/equipment may include: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surveillance cameras</w:t>
            </w:r>
          </w:p>
          <w:p w:rsidR="00000000" w:rsidRPr="009C6EA6" w:rsidP="009C6EA6">
            <w:pPr>
              <w:pStyle w:val="BodyText"/>
            </w:pPr>
            <w:r w:rsidRPr="009C6EA6">
              <w:t>VCRs</w:t>
            </w:r>
          </w:p>
          <w:p w:rsidR="00000000" w:rsidRPr="009C6EA6" w:rsidP="009C6EA6">
            <w:pPr>
              <w:pStyle w:val="BodyText"/>
            </w:pPr>
            <w:r w:rsidRPr="009C6EA6">
              <w:t>alarm systems</w:t>
            </w:r>
          </w:p>
          <w:p w:rsidR="00000000" w:rsidRPr="009C6EA6" w:rsidP="009C6EA6">
            <w:pPr>
              <w:pStyle w:val="BodyText"/>
            </w:pPr>
            <w:r w:rsidRPr="009C6EA6">
              <w:t>access control systems</w:t>
            </w:r>
          </w:p>
          <w:p w:rsidR="00000000" w:rsidRPr="009C6EA6" w:rsidP="009C6EA6">
            <w:pPr>
              <w:pStyle w:val="BodyText"/>
            </w:pPr>
            <w:r w:rsidRPr="009C6EA6">
              <w:t>time delay devices</w:t>
            </w:r>
          </w:p>
          <w:p w:rsidR="00000000" w:rsidRPr="009C6EA6" w:rsidP="009C6EA6">
            <w:pPr>
              <w:pStyle w:val="BodyText"/>
            </w:pPr>
            <w:r w:rsidRPr="009C6EA6">
              <w:t>two key safes</w:t>
            </w:r>
          </w:p>
          <w:p w:rsidR="00000000" w:rsidRPr="009C6EA6" w:rsidP="009C6EA6">
            <w:pPr>
              <w:pStyle w:val="BodyText"/>
            </w:pPr>
            <w:r w:rsidRPr="009C6EA6">
              <w:t>ATM vaults</w:t>
            </w:r>
          </w:p>
          <w:p w:rsidR="00000000" w:rsidRPr="009C6EA6" w:rsidP="009C6EA6">
            <w:pPr>
              <w:pStyle w:val="BodyText"/>
            </w:pPr>
            <w:r w:rsidRPr="009C6EA6">
              <w:t>communication equipment</w:t>
            </w:r>
          </w:p>
          <w:p w:rsidR="00000000" w:rsidRPr="009C6EA6" w:rsidP="009C6EA6">
            <w:pPr>
              <w:pStyle w:val="BodyText"/>
            </w:pPr>
            <w:r w:rsidRPr="009C6EA6">
              <w:t>personal protective equipment</w:t>
            </w:r>
          </w:p>
          <w:p w:rsidR="00000000" w:rsidP="009C6EA6">
            <w:pPr>
              <w:pStyle w:val="BodyText"/>
              <w:rPr>
                <w:lang w:val="en-NZ"/>
              </w:rPr>
            </w:pPr>
            <w:r w:rsidRPr="009C6EA6">
              <w:t xml:space="preserve">firearms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clients</w:t>
            </w:r>
          </w:p>
          <w:p w:rsidR="00000000" w:rsidRPr="009C6EA6" w:rsidP="009C6EA6">
            <w:pPr>
              <w:pStyle w:val="BodyText"/>
            </w:pPr>
            <w:r w:rsidRPr="009C6EA6">
              <w:t>private security personnel</w:t>
            </w:r>
          </w:p>
          <w:p w:rsidR="00000000" w:rsidRPr="009C6EA6" w:rsidP="009C6EA6">
            <w:pPr>
              <w:pStyle w:val="BodyText"/>
            </w:pPr>
            <w:r w:rsidRPr="009C6EA6">
              <w:t>public sector security personnel</w:t>
            </w:r>
          </w:p>
          <w:p w:rsidR="00000000" w:rsidRPr="009C6EA6" w:rsidP="009C6EA6">
            <w:pPr>
              <w:pStyle w:val="BodyText"/>
            </w:pPr>
            <w:r w:rsidRPr="009C6EA6">
              <w:t>police</w:t>
            </w:r>
          </w:p>
          <w:p w:rsidR="00000000" w:rsidRPr="009C6EA6" w:rsidP="009C6EA6">
            <w:pPr>
              <w:pStyle w:val="BodyText"/>
            </w:pPr>
            <w:r w:rsidRPr="009C6EA6">
              <w:t>security consultants</w:t>
            </w:r>
          </w:p>
          <w:p w:rsidR="00000000" w:rsidRPr="009C6EA6" w:rsidP="009C6EA6">
            <w:pPr>
              <w:pStyle w:val="BodyText"/>
            </w:pPr>
            <w:r w:rsidRPr="009C6EA6">
              <w:t>other employees and supervisors</w:t>
            </w:r>
          </w:p>
          <w:p w:rsidR="00000000" w:rsidRPr="009C6EA6" w:rsidP="009C6EA6">
            <w:pPr>
              <w:pStyle w:val="BodyText"/>
            </w:pPr>
            <w:r w:rsidRPr="009C6EA6">
              <w:t>management</w:t>
            </w:r>
          </w:p>
          <w:p w:rsidR="00000000" w:rsidP="009C6EA6">
            <w:pPr>
              <w:pStyle w:val="BodyText"/>
              <w:rPr>
                <w:lang w:val="en-NZ"/>
              </w:rPr>
            </w:pPr>
            <w:r w:rsidRPr="009C6EA6">
              <w:t xml:space="preserve">other professional or technical staff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mobile and fixed phones</w:t>
            </w:r>
          </w:p>
          <w:p w:rsidR="00000000" w:rsidRPr="009C6EA6" w:rsidP="009C6EA6">
            <w:pPr>
              <w:pStyle w:val="BodyText"/>
            </w:pPr>
            <w:r w:rsidRPr="009C6EA6">
              <w:t>radio</w:t>
            </w:r>
          </w:p>
          <w:p w:rsidR="00000000" w:rsidP="009C6EA6">
            <w:pPr>
              <w:pStyle w:val="BodyText"/>
              <w:rPr>
                <w:lang w:val="en-NZ"/>
              </w:rPr>
            </w:pPr>
            <w:r w:rsidRPr="009C6EA6">
              <w:t>or</w:t>
            </w:r>
            <w:r w:rsidRPr="009C6EA6">
              <w:t xml:space="preserve">al, aural or signed communications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gloves</w:t>
            </w:r>
          </w:p>
          <w:p w:rsidR="00000000" w:rsidRPr="009C6EA6" w:rsidP="009C6EA6">
            <w:pPr>
              <w:pStyle w:val="BodyText"/>
            </w:pPr>
            <w:r w:rsidRPr="009C6EA6">
              <w:t>safety headwear and footwear</w:t>
            </w:r>
          </w:p>
          <w:p w:rsidR="00000000" w:rsidRPr="009C6EA6" w:rsidP="009C6EA6">
            <w:pPr>
              <w:pStyle w:val="BodyText"/>
            </w:pPr>
            <w:r w:rsidRPr="009C6EA6">
              <w:t>firearms</w:t>
            </w:r>
          </w:p>
          <w:p w:rsidR="00000000" w:rsidP="009C6EA6">
            <w:pPr>
              <w:pStyle w:val="BodyText"/>
              <w:rPr>
                <w:lang w:val="en-NZ"/>
              </w:rPr>
            </w:pPr>
            <w:r w:rsidRPr="009C6EA6">
              <w:t xml:space="preserve">two-way radios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company procedures</w:t>
            </w:r>
          </w:p>
          <w:p w:rsidR="00000000" w:rsidRPr="009C6EA6" w:rsidP="009C6EA6">
            <w:pPr>
              <w:pStyle w:val="BodyText"/>
            </w:pPr>
            <w:r w:rsidRPr="009C6EA6">
              <w:t>enterprise procedures</w:t>
            </w:r>
          </w:p>
          <w:p w:rsidR="00000000" w:rsidRPr="009C6EA6" w:rsidP="009C6EA6">
            <w:pPr>
              <w:pStyle w:val="BodyText"/>
            </w:pPr>
            <w:r w:rsidRPr="009C6EA6">
              <w:t>organisational procedures</w:t>
            </w:r>
          </w:p>
          <w:p w:rsidR="00000000" w:rsidP="009C6EA6">
            <w:pPr>
              <w:pStyle w:val="BodyText"/>
              <w:rPr>
                <w:lang w:val="en-NZ"/>
              </w:rPr>
            </w:pPr>
            <w:r w:rsidRPr="009C6EA6">
              <w:t xml:space="preserve">established procedures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workplace pro</w:t>
            </w:r>
            <w:r w:rsidRPr="009C6EA6">
              <w:t>cedures and policies</w:t>
            </w:r>
          </w:p>
          <w:p w:rsidR="00000000" w:rsidRPr="009C6EA6" w:rsidP="009C6EA6">
            <w:pPr>
              <w:pStyle w:val="BodyText"/>
            </w:pPr>
            <w:r w:rsidRPr="009C6EA6">
              <w:t>operations manuals and job specifications</w:t>
            </w:r>
          </w:p>
          <w:p w:rsidR="00000000" w:rsidRPr="009C6EA6" w:rsidP="009C6EA6">
            <w:pPr>
              <w:pStyle w:val="BodyText"/>
            </w:pPr>
            <w:r w:rsidRPr="009C6EA6">
              <w:t>relevant manufacturers specifications and guidelines</w:t>
            </w:r>
          </w:p>
          <w:p w:rsidR="00000000" w:rsidRPr="009C6EA6" w:rsidP="009C6EA6">
            <w:pPr>
              <w:pStyle w:val="BodyText"/>
            </w:pPr>
            <w:r w:rsidRPr="009C6EA6">
              <w:t>competency standards and training materials</w:t>
            </w:r>
          </w:p>
          <w:p w:rsidR="00000000" w:rsidRPr="009C6EA6" w:rsidP="009C6EA6">
            <w:pPr>
              <w:pStyle w:val="BodyText"/>
            </w:pPr>
            <w:r w:rsidRPr="009C6EA6">
              <w:t>supplier and/or client instructions</w:t>
            </w:r>
          </w:p>
          <w:p w:rsidR="00000000" w:rsidRPr="009C6EA6" w:rsidP="009C6EA6">
            <w:pPr>
              <w:pStyle w:val="BodyText"/>
            </w:pPr>
            <w:r w:rsidRPr="009C6EA6">
              <w:t>material safety data sheets</w:t>
            </w:r>
          </w:p>
          <w:p w:rsidR="00000000" w:rsidRPr="009C6EA6" w:rsidP="009C6EA6">
            <w:pPr>
              <w:pStyle w:val="BodyText"/>
            </w:pPr>
            <w:r w:rsidRPr="009C6EA6">
              <w:t xml:space="preserve">codes of practice including the </w:t>
            </w:r>
            <w:r w:rsidRPr="009C6EA6">
              <w:t>National Standards for Manual Handling and the Industry Safety Code</w:t>
            </w:r>
          </w:p>
          <w:p w:rsidR="00000000" w:rsidRPr="009C6EA6" w:rsidP="009C6EA6">
            <w:pPr>
              <w:pStyle w:val="BodyText"/>
            </w:pPr>
            <w:r w:rsidRPr="009C6EA6">
              <w:t>award, enterprise bargaining agreement, other industrial arrangements</w:t>
            </w:r>
          </w:p>
          <w:p w:rsidR="00000000" w:rsidRPr="009C6EA6" w:rsidP="009C6EA6">
            <w:pPr>
              <w:pStyle w:val="BodyText"/>
            </w:pPr>
            <w:r w:rsidRPr="009C6EA6">
              <w:t>standards and certification requirements</w:t>
            </w:r>
          </w:p>
          <w:p w:rsidR="00000000" w:rsidRPr="009C6EA6" w:rsidP="009C6EA6">
            <w:pPr>
              <w:pStyle w:val="BodyText"/>
            </w:pPr>
            <w:r w:rsidRPr="009C6EA6">
              <w:t>quality assurance procedures</w:t>
            </w:r>
          </w:p>
          <w:p w:rsidR="00000000" w:rsidP="009C6EA6">
            <w:pPr>
              <w:pStyle w:val="BodyText"/>
              <w:rPr>
                <w:lang w:val="en-NZ"/>
              </w:rPr>
            </w:pPr>
            <w:r w:rsidRPr="009C6EA6">
              <w:t xml:space="preserve">emergency procedures </w:t>
            </w:r>
          </w:p>
        </w:tc>
      </w:tr>
      <w:tr w:rsidTr="006832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C6EA6">
            <w:pPr>
              <w:pStyle w:val="BodyText"/>
              <w:rPr>
                <w:lang w:val="en-NZ"/>
              </w:rPr>
            </w:pPr>
            <w:r w:rsidRPr="009C6EA6">
              <w:t>Applicable regulations an</w:t>
            </w:r>
            <w:r w:rsidRPr="009C6EA6">
              <w:t xml:space="preserve">d legislation may include: </w:t>
            </w:r>
          </w:p>
        </w:tc>
        <w:tc>
          <w:tcPr>
            <w:tcW w:w="4500" w:type="dxa"/>
            <w:tcBorders>
              <w:top w:val="nil"/>
              <w:left w:val="nil"/>
              <w:bottom w:val="nil"/>
              <w:right w:val="nil"/>
            </w:tcBorders>
            <w:tcMar>
              <w:top w:w="0" w:type="dxa"/>
              <w:left w:w="62" w:type="dxa"/>
              <w:bottom w:w="0" w:type="dxa"/>
              <w:right w:w="62" w:type="dxa"/>
            </w:tcMar>
          </w:tcPr>
          <w:p w:rsidR="00000000" w:rsidRPr="009C6EA6" w:rsidP="009C6EA6">
            <w:pPr>
              <w:pStyle w:val="BodyText"/>
            </w:pPr>
            <w:r w:rsidRPr="009C6EA6">
              <w:t>state/territory OH&amp;S regulations and legislation, including manual handling regulations</w:t>
            </w:r>
          </w:p>
          <w:p w:rsidR="00000000" w:rsidRPr="009C6EA6" w:rsidP="009C6EA6">
            <w:pPr>
              <w:pStyle w:val="BodyText"/>
            </w:pPr>
            <w:r w:rsidRPr="009C6EA6">
              <w:t>relevant Australian Standards and certification requirements</w:t>
            </w:r>
          </w:p>
          <w:p w:rsidR="00000000" w:rsidRPr="009C6EA6" w:rsidP="009C6EA6">
            <w:pPr>
              <w:pStyle w:val="BodyText"/>
            </w:pPr>
            <w:r w:rsidRPr="009C6EA6">
              <w:t>relevant state/territory privacy legislation</w:t>
            </w:r>
          </w:p>
          <w:p w:rsidR="00000000" w:rsidRPr="009C6EA6" w:rsidP="009C6EA6">
            <w:pPr>
              <w:pStyle w:val="BodyText"/>
            </w:pPr>
            <w:r w:rsidRPr="009C6EA6">
              <w:t>relevant state/territory firearms legislation</w:t>
            </w:r>
          </w:p>
          <w:p w:rsidR="00000000" w:rsidRPr="009C6EA6" w:rsidP="009C6EA6">
            <w:pPr>
              <w:pStyle w:val="BodyText"/>
            </w:pPr>
            <w:r w:rsidRPr="009C6EA6">
              <w:t>licensing and permits for firearms and security occupations</w:t>
            </w:r>
          </w:p>
          <w:p w:rsidR="00000000" w:rsidRPr="009C6EA6" w:rsidP="009C6EA6">
            <w:pPr>
              <w:pStyle w:val="BodyText"/>
            </w:pPr>
            <w:r w:rsidRPr="009C6EA6">
              <w:t>licensing requirements for driving and carrying particular classes of goods</w:t>
            </w:r>
          </w:p>
          <w:p w:rsidR="00000000" w:rsidRPr="009C6EA6" w:rsidP="009C6EA6">
            <w:pPr>
              <w:pStyle w:val="BodyText"/>
            </w:pPr>
            <w:r w:rsidRPr="009C6EA6">
              <w:t xml:space="preserve">relevant state/territory road rules and traffic acts </w:t>
            </w:r>
          </w:p>
        </w:tc>
      </w:tr>
    </w:tbl>
    <w:p w:rsidR="00000000" w:rsidRPr="009C6EA6" w:rsidP="009C6EA6">
      <w:pPr>
        <w:pStyle w:val="BodyText"/>
      </w:pPr>
    </w:p>
    <w:p w:rsidR="00000000" w:rsidRPr="009C6EA6" w:rsidP="009C6EA6">
      <w:pPr>
        <w:pStyle w:val="AllowPageBreak"/>
      </w:pPr>
    </w:p>
    <w:p w:rsidR="00000000" w:rsidRPr="009C6EA6" w:rsidP="009C6EA6">
      <w:pPr>
        <w:pStyle w:val="Heading1"/>
      </w:pPr>
      <w:bookmarkStart w:id="12" w:name="O_317085"/>
      <w:bookmarkEnd w:id="12"/>
      <w:r w:rsidRPr="009C6EA6">
        <w:t>U</w:t>
      </w:r>
      <w:r w:rsidRPr="009C6EA6">
        <w:t>nit Sector(s)</w:t>
      </w:r>
    </w:p>
    <w:p w:rsidR="00000000" w:rsidRPr="009C6EA6" w:rsidP="009C6EA6">
      <w:pPr>
        <w:pStyle w:val="BodyText"/>
      </w:pPr>
      <w:r w:rsidRPr="009C6EA6">
        <w:t>Not applicable.</w:t>
      </w:r>
    </w:p>
    <w:p w:rsidR="00000000" w:rsidRPr="009C6EA6" w:rsidP="009C6EA6">
      <w:pPr>
        <w:pStyle w:val="AllowPageBreak"/>
      </w:pPr>
    </w:p>
    <w:p w:rsidR="00000000" w:rsidRPr="009C6EA6" w:rsidP="009C6EA6">
      <w:pPr>
        <w:pStyle w:val="Heading1"/>
      </w:pPr>
      <w:bookmarkStart w:id="13" w:name="O_317086"/>
      <w:bookmarkEnd w:id="13"/>
      <w:r w:rsidRPr="009C6EA6">
        <w:t xml:space="preserve">Competency Field </w:t>
      </w:r>
    </w:p>
    <w:p w:rsidR="00000000" w:rsidRPr="009C6EA6" w:rsidP="009C6EA6">
      <w:pPr>
        <w:pStyle w:val="BodyText"/>
      </w:pPr>
      <w:r w:rsidRPr="009C6EA6">
        <w:t>O - Security</w:t>
      </w:r>
    </w:p>
    <w:p w:rsidR="00000000" w:rsidRPr="009C6EA6" w:rsidP="009C6EA6"/>
    <w:sectPr w:rsidSect="009C6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22E" w:rsidP="00683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2E" w:rsidP="009C6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322E" w:rsidP="009C6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8322E" w:rsidP="009C6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22E" w:rsidP="006832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2E" w:rsidP="009C6EA6">
    <w:pPr>
      <w:pStyle w:val="Header"/>
      <w:framePr w:wrap="around"/>
    </w:pPr>
    <w:r>
      <w:fldChar w:fldCharType="begin"/>
    </w:r>
    <w:r>
      <w:instrText xml:space="preserve"> TITLE   \* MERGEFORMAT </w:instrText>
    </w:r>
    <w:r>
      <w:fldChar w:fldCharType="separate"/>
    </w:r>
    <w:r>
      <w:t>TLIO907C Test and inspect cash-in-transit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322E" w:rsidP="009C6E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E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6EA6"/>
    <w:pPr>
      <w:spacing w:before="360" w:after="60"/>
      <w:outlineLvl w:val="0"/>
    </w:pPr>
    <w:rPr>
      <w:sz w:val="32"/>
    </w:rPr>
  </w:style>
  <w:style w:type="paragraph" w:styleId="Heading2">
    <w:name w:val="heading 2"/>
    <w:basedOn w:val="HeadingBase"/>
    <w:next w:val="BodyText"/>
    <w:link w:val="Heading2Char"/>
    <w:qFormat/>
    <w:rsid w:val="009C6EA6"/>
    <w:pPr>
      <w:keepLines/>
      <w:spacing w:before="240" w:after="120"/>
      <w:outlineLvl w:val="1"/>
    </w:pPr>
    <w:rPr>
      <w:sz w:val="28"/>
      <w:szCs w:val="40"/>
    </w:rPr>
  </w:style>
  <w:style w:type="paragraph" w:styleId="Heading3">
    <w:name w:val="heading 3"/>
    <w:basedOn w:val="HeadingBase"/>
    <w:next w:val="BodyText"/>
    <w:link w:val="Heading3Char"/>
    <w:qFormat/>
    <w:rsid w:val="009C6EA6"/>
    <w:pPr>
      <w:spacing w:before="180" w:after="120"/>
      <w:outlineLvl w:val="2"/>
    </w:pPr>
    <w:rPr>
      <w:spacing w:val="-10"/>
      <w:kern w:val="32"/>
    </w:rPr>
  </w:style>
  <w:style w:type="paragraph" w:styleId="Heading4">
    <w:name w:val="heading 4"/>
    <w:basedOn w:val="HeadingBase"/>
    <w:next w:val="BodyText"/>
    <w:link w:val="Heading4Char"/>
    <w:qFormat/>
    <w:rsid w:val="009C6EA6"/>
    <w:pPr>
      <w:spacing w:before="160" w:after="120"/>
      <w:outlineLvl w:val="3"/>
    </w:pPr>
    <w:rPr>
      <w:sz w:val="22"/>
    </w:rPr>
  </w:style>
  <w:style w:type="paragraph" w:styleId="Heading5">
    <w:name w:val="heading 5"/>
    <w:basedOn w:val="HeadingBase"/>
    <w:next w:val="Normal"/>
    <w:link w:val="Heading5Char"/>
    <w:qFormat/>
    <w:rsid w:val="009C6EA6"/>
    <w:pPr>
      <w:spacing w:before="80"/>
      <w:outlineLvl w:val="4"/>
    </w:pPr>
    <w:rPr>
      <w:color w:val="918585"/>
      <w:sz w:val="20"/>
    </w:rPr>
  </w:style>
  <w:style w:type="paragraph" w:styleId="Heading6">
    <w:name w:val="heading 6"/>
    <w:basedOn w:val="HeadingBase"/>
    <w:next w:val="Normal"/>
    <w:link w:val="Heading6Char"/>
    <w:qFormat/>
    <w:rsid w:val="009C6EA6"/>
    <w:pPr>
      <w:spacing w:before="60"/>
      <w:outlineLvl w:val="5"/>
    </w:pPr>
    <w:rPr>
      <w:color w:val="918585"/>
      <w:sz w:val="20"/>
    </w:rPr>
  </w:style>
  <w:style w:type="paragraph" w:styleId="Heading7">
    <w:name w:val="heading 7"/>
    <w:basedOn w:val="Normal"/>
    <w:next w:val="Normal"/>
    <w:link w:val="Heading7Char"/>
    <w:qFormat/>
    <w:rsid w:val="009C6EA6"/>
    <w:pPr>
      <w:ind w:left="720"/>
      <w:outlineLvl w:val="6"/>
    </w:pPr>
    <w:rPr>
      <w:i/>
    </w:rPr>
  </w:style>
  <w:style w:type="paragraph" w:styleId="Heading8">
    <w:name w:val="heading 8"/>
    <w:basedOn w:val="Normal"/>
    <w:next w:val="Normal"/>
    <w:link w:val="Heading8Char"/>
    <w:qFormat/>
    <w:rsid w:val="009C6EA6"/>
    <w:pPr>
      <w:ind w:left="720"/>
      <w:outlineLvl w:val="7"/>
    </w:pPr>
    <w:rPr>
      <w:i/>
    </w:rPr>
  </w:style>
  <w:style w:type="paragraph" w:styleId="Heading9">
    <w:name w:val="heading 9"/>
    <w:basedOn w:val="Normal"/>
    <w:next w:val="Normal"/>
    <w:link w:val="Heading9Char"/>
    <w:qFormat/>
    <w:rsid w:val="009C6EA6"/>
    <w:pPr>
      <w:ind w:left="720"/>
      <w:outlineLvl w:val="8"/>
    </w:pPr>
    <w:rPr>
      <w:i/>
    </w:rPr>
  </w:style>
  <w:style w:type="character" w:default="1" w:styleId="DefaultParagraphFont">
    <w:name w:val="Default Paragraph Font"/>
    <w:uiPriority w:val="1"/>
    <w:unhideWhenUsed/>
    <w:rsid w:val="009C6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EA6"/>
  </w:style>
  <w:style w:type="character" w:customStyle="1" w:styleId="Heading1Char">
    <w:name w:val="Heading 1 Char"/>
    <w:basedOn w:val="DefaultParagraphFont"/>
    <w:link w:val="Heading1"/>
    <w:rsid w:val="009C6EA6"/>
    <w:rPr>
      <w:rFonts w:ascii="Times New Roman" w:eastAsia="Times New Roman" w:hAnsi="Times New Roman" w:cs="Times New Roman"/>
      <w:b/>
      <w:sz w:val="32"/>
      <w:szCs w:val="20"/>
      <w:lang w:eastAsia="en-US"/>
    </w:rPr>
  </w:style>
  <w:style w:type="paragraph" w:styleId="BodyText">
    <w:name w:val="Body Text"/>
    <w:basedOn w:val="Normal"/>
    <w:link w:val="BodyTextChar"/>
    <w:rsid w:val="009C6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EA6"/>
    <w:rPr>
      <w:rFonts w:ascii="Times New Roman" w:eastAsia="Times New Roman" w:hAnsi="Times New Roman" w:cs="Times New Roman"/>
      <w:sz w:val="24"/>
      <w:lang w:val="en-US" w:eastAsia="en-US"/>
    </w:rPr>
  </w:style>
  <w:style w:type="paragraph" w:styleId="Footer">
    <w:name w:val="footer"/>
    <w:basedOn w:val="Normal"/>
    <w:link w:val="FooterChar"/>
    <w:rsid w:val="009C6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EA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C6EA6"/>
    <w:rPr>
      <w:b/>
      <w:spacing w:val="0"/>
    </w:rPr>
  </w:style>
  <w:style w:type="paragraph" w:styleId="Header">
    <w:name w:val="header"/>
    <w:basedOn w:val="Normal"/>
    <w:link w:val="HeaderChar"/>
    <w:rsid w:val="009C6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E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6EA6"/>
    <w:pPr>
      <w:spacing w:before="240" w:after="120"/>
      <w:outlineLvl w:val="0"/>
    </w:pPr>
    <w:rPr>
      <w:rFonts w:ascii="Times New Roman" w:hAnsi="Times New Roman"/>
      <w:b/>
      <w:sz w:val="28"/>
    </w:rPr>
  </w:style>
  <w:style w:type="paragraph" w:customStyle="1" w:styleId="AllowPageBreak">
    <w:name w:val="AllowPageBreak"/>
    <w:rsid w:val="009C6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E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6E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6EA6"/>
    <w:rPr>
      <w:rFonts w:ascii="Courier New" w:eastAsia="Times New Roman" w:hAnsi="Courier New" w:cs="Times New Roman"/>
      <w:i/>
      <w:szCs w:val="20"/>
      <w:lang w:val="en-US" w:eastAsia="en-US"/>
    </w:rPr>
  </w:style>
  <w:style w:type="paragraph" w:customStyle="1" w:styleId="HeadingBase">
    <w:name w:val="Heading Base"/>
    <w:rsid w:val="009C6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EA6"/>
    <w:pPr>
      <w:tabs>
        <w:tab w:val="right" w:leader="dot" w:pos="9072"/>
      </w:tabs>
      <w:ind w:left="567"/>
    </w:pPr>
    <w:rPr>
      <w:szCs w:val="22"/>
    </w:rPr>
  </w:style>
  <w:style w:type="paragraph" w:customStyle="1" w:styleId="TOCBase">
    <w:name w:val="TOC Base"/>
    <w:rsid w:val="009C6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EA6"/>
    <w:pPr>
      <w:tabs>
        <w:tab w:val="right" w:leader="dot" w:pos="9072"/>
      </w:tabs>
      <w:spacing w:before="40" w:after="40"/>
      <w:ind w:left="284"/>
    </w:pPr>
    <w:rPr>
      <w:rFonts w:ascii="Times New Roman" w:hAnsi="Times New Roman"/>
    </w:rPr>
  </w:style>
  <w:style w:type="paragraph" w:styleId="TOC1">
    <w:name w:val="toc 1"/>
    <w:basedOn w:val="TOCBase"/>
    <w:next w:val="Normal"/>
    <w:rsid w:val="009C6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6EA6"/>
    <w:pPr>
      <w:spacing w:before="5040"/>
      <w:jc w:val="center"/>
    </w:pPr>
    <w:rPr>
      <w:sz w:val="48"/>
      <w:szCs w:val="72"/>
      <w:lang w:val="en-US"/>
    </w:rPr>
  </w:style>
  <w:style w:type="character" w:customStyle="1" w:styleId="TitleChar">
    <w:name w:val="Title Char"/>
    <w:basedOn w:val="DefaultParagraphFont"/>
    <w:link w:val="Title"/>
    <w:rsid w:val="009C6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EA6"/>
    <w:pPr>
      <w:tabs>
        <w:tab w:val="left" w:pos="3600"/>
        <w:tab w:val="left" w:pos="3958"/>
      </w:tabs>
    </w:pPr>
  </w:style>
  <w:style w:type="paragraph" w:styleId="List">
    <w:name w:val="List"/>
    <w:basedOn w:val="BodyText"/>
    <w:next w:val="BodyText"/>
    <w:rsid w:val="009C6EA6"/>
    <w:pPr>
      <w:tabs>
        <w:tab w:val="left" w:pos="340"/>
      </w:tabs>
      <w:spacing w:before="60" w:after="60"/>
      <w:ind w:left="340" w:hanging="340"/>
    </w:pPr>
  </w:style>
  <w:style w:type="paragraph" w:styleId="ListBullet">
    <w:name w:val="List Bullet"/>
    <w:basedOn w:val="List"/>
    <w:rsid w:val="009C6EA6"/>
    <w:pPr>
      <w:numPr>
        <w:numId w:val="11"/>
      </w:numPr>
      <w:tabs>
        <w:tab w:val="clear" w:pos="340"/>
      </w:tabs>
      <w:spacing w:before="40" w:after="40"/>
    </w:pPr>
  </w:style>
  <w:style w:type="paragraph" w:customStyle="1" w:styleId="Note">
    <w:name w:val="Note"/>
    <w:basedOn w:val="BodyText"/>
    <w:rsid w:val="009C6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EA6"/>
    <w:pPr>
      <w:framePr w:wrap="auto" w:hAnchor="text" w:y="6049"/>
    </w:pPr>
    <w:rPr>
      <w:color w:val="000000"/>
      <w:sz w:val="40"/>
    </w:rPr>
  </w:style>
  <w:style w:type="paragraph" w:customStyle="1" w:styleId="TOCTitle">
    <w:name w:val="TOCTitle"/>
    <w:basedOn w:val="Heading1"/>
    <w:rsid w:val="009C6EA6"/>
    <w:pPr>
      <w:spacing w:after="240"/>
      <w:jc w:val="center"/>
      <w:outlineLvl w:val="9"/>
    </w:pPr>
    <w:rPr>
      <w:caps/>
    </w:rPr>
  </w:style>
  <w:style w:type="paragraph" w:customStyle="1" w:styleId="Version">
    <w:name w:val="Version"/>
    <w:rsid w:val="009C6E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EA6"/>
    <w:pPr>
      <w:numPr>
        <w:numId w:val="12"/>
      </w:numPr>
      <w:tabs>
        <w:tab w:val="clear" w:pos="680"/>
      </w:tabs>
    </w:pPr>
  </w:style>
  <w:style w:type="paragraph" w:styleId="Index1">
    <w:name w:val="index 1"/>
    <w:basedOn w:val="Normal"/>
    <w:next w:val="Normal"/>
    <w:semiHidden/>
    <w:rsid w:val="009C6EA6"/>
    <w:pPr>
      <w:keepNext w:val="0"/>
      <w:tabs>
        <w:tab w:val="right" w:pos="4176"/>
      </w:tabs>
      <w:ind w:left="198" w:hanging="198"/>
    </w:pPr>
    <w:rPr>
      <w:rFonts w:ascii="Garamond" w:hAnsi="Garamond"/>
    </w:rPr>
  </w:style>
  <w:style w:type="paragraph" w:styleId="IndexHeading">
    <w:name w:val="index heading"/>
    <w:basedOn w:val="Normal"/>
    <w:next w:val="Index1"/>
    <w:semiHidden/>
    <w:rsid w:val="009C6EA6"/>
    <w:pPr>
      <w:spacing w:before="120" w:after="120"/>
    </w:pPr>
    <w:rPr>
      <w:rFonts w:ascii="Arial" w:hAnsi="Arial"/>
      <w:b/>
      <w:color w:val="918585"/>
      <w:sz w:val="24"/>
    </w:rPr>
  </w:style>
  <w:style w:type="paragraph" w:customStyle="1" w:styleId="Chapter">
    <w:name w:val="Chapter"/>
    <w:basedOn w:val="Normal"/>
    <w:rsid w:val="009C6EA6"/>
    <w:pPr>
      <w:spacing w:before="240"/>
    </w:pPr>
    <w:rPr>
      <w:rFonts w:ascii="Times New Roman" w:hAnsi="Times New Roman"/>
      <w:smallCaps/>
      <w:spacing w:val="80"/>
      <w:sz w:val="28"/>
    </w:rPr>
  </w:style>
  <w:style w:type="paragraph" w:customStyle="1" w:styleId="InChapter">
    <w:name w:val="InChapter"/>
    <w:basedOn w:val="Heading3"/>
    <w:rsid w:val="009C6EA6"/>
    <w:pPr>
      <w:spacing w:after="240"/>
      <w:outlineLvl w:val="9"/>
    </w:pPr>
    <w:rPr>
      <w:noProof/>
    </w:rPr>
  </w:style>
  <w:style w:type="paragraph" w:styleId="Index2">
    <w:name w:val="index 2"/>
    <w:basedOn w:val="Normal"/>
    <w:next w:val="Normal"/>
    <w:semiHidden/>
    <w:rsid w:val="009C6EA6"/>
    <w:pPr>
      <w:tabs>
        <w:tab w:val="right" w:pos="4176"/>
      </w:tabs>
      <w:ind w:left="568" w:hanging="284"/>
    </w:pPr>
    <w:rPr>
      <w:rFonts w:ascii="Garamond" w:hAnsi="Garamond"/>
    </w:rPr>
  </w:style>
  <w:style w:type="paragraph" w:customStyle="1" w:styleId="Byline">
    <w:name w:val="Byline"/>
    <w:rsid w:val="009C6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EA6"/>
    <w:pPr>
      <w:tabs>
        <w:tab w:val="clear" w:pos="3600"/>
        <w:tab w:val="clear" w:pos="3958"/>
      </w:tabs>
      <w:jc w:val="right"/>
    </w:pPr>
  </w:style>
  <w:style w:type="character" w:styleId="Emphasis">
    <w:name w:val="Emphasis"/>
    <w:basedOn w:val="DefaultParagraphFont"/>
    <w:qFormat/>
    <w:rsid w:val="009C6EA6"/>
    <w:rPr>
      <w:i/>
    </w:rPr>
  </w:style>
  <w:style w:type="paragraph" w:styleId="Caption">
    <w:name w:val="caption"/>
    <w:basedOn w:val="BodyText"/>
    <w:next w:val="Normal"/>
    <w:qFormat/>
    <w:rsid w:val="009C6EA6"/>
    <w:pPr>
      <w:framePr w:w="2268" w:hSpace="181" w:vSpace="181" w:wrap="around" w:vAnchor="text" w:hAnchor="page" w:x="1135" w:y="285" w:anchorLock="1"/>
    </w:pPr>
    <w:rPr>
      <w:i/>
    </w:rPr>
  </w:style>
  <w:style w:type="paragraph" w:customStyle="1" w:styleId="MiniTOCTitle">
    <w:name w:val="MiniTOCTitle"/>
    <w:basedOn w:val="Heading4"/>
    <w:rsid w:val="009C6EA6"/>
    <w:pPr>
      <w:spacing w:before="240"/>
      <w:outlineLvl w:val="9"/>
    </w:pPr>
    <w:rPr>
      <w:noProof/>
      <w:sz w:val="24"/>
    </w:rPr>
  </w:style>
  <w:style w:type="paragraph" w:customStyle="1" w:styleId="MiniTOCItem">
    <w:name w:val="MiniTOCItem"/>
    <w:basedOn w:val="ListBullet"/>
    <w:rsid w:val="009C6EA6"/>
    <w:pPr>
      <w:numPr>
        <w:numId w:val="0"/>
      </w:numPr>
      <w:tabs>
        <w:tab w:val="right" w:leader="dot" w:pos="6521"/>
      </w:tabs>
      <w:spacing w:before="0" w:after="0"/>
    </w:pPr>
  </w:style>
  <w:style w:type="paragraph" w:customStyle="1" w:styleId="TOFTitle">
    <w:name w:val="TOFTitle"/>
    <w:basedOn w:val="TOCTitle"/>
    <w:rsid w:val="009C6EA6"/>
  </w:style>
  <w:style w:type="paragraph" w:styleId="TableofFigures">
    <w:name w:val="table of figures"/>
    <w:basedOn w:val="Normal"/>
    <w:next w:val="Normal"/>
    <w:semiHidden/>
    <w:rsid w:val="009C6EA6"/>
    <w:pPr>
      <w:tabs>
        <w:tab w:val="right" w:leader="dot" w:pos="9072"/>
      </w:tabs>
      <w:ind w:left="970" w:hanging="403"/>
    </w:pPr>
    <w:rPr>
      <w:rFonts w:ascii="Times New Roman" w:hAnsi="Times New Roman"/>
      <w:b/>
    </w:rPr>
  </w:style>
  <w:style w:type="paragraph" w:styleId="ListNumber">
    <w:name w:val="List Number"/>
    <w:basedOn w:val="List"/>
    <w:rsid w:val="009C6EA6"/>
    <w:pPr>
      <w:numPr>
        <w:numId w:val="9"/>
      </w:numPr>
    </w:pPr>
  </w:style>
  <w:style w:type="character" w:customStyle="1" w:styleId="WingdingSymbols">
    <w:name w:val="Wingding Symbols"/>
    <w:rsid w:val="009C6EA6"/>
    <w:rPr>
      <w:rFonts w:ascii="Wingdings" w:hAnsi="Wingdings"/>
    </w:rPr>
  </w:style>
  <w:style w:type="paragraph" w:customStyle="1" w:styleId="TableHeading">
    <w:name w:val="Table Heading"/>
    <w:basedOn w:val="HeadingBase"/>
    <w:rsid w:val="009C6EA6"/>
    <w:pPr>
      <w:keepLines/>
      <w:pBdr>
        <w:bottom w:val="single" w:sz="6" w:space="1" w:color="918585"/>
      </w:pBdr>
      <w:spacing w:before="240"/>
    </w:pPr>
  </w:style>
  <w:style w:type="character" w:customStyle="1" w:styleId="HotSpot">
    <w:name w:val="HotSpot"/>
    <w:rsid w:val="009C6EA6"/>
    <w:rPr>
      <w:color w:val="0033CC"/>
      <w:u w:val="none"/>
    </w:rPr>
  </w:style>
  <w:style w:type="paragraph" w:customStyle="1" w:styleId="BodyTextRight">
    <w:name w:val="Body Text Right"/>
    <w:basedOn w:val="BodyText"/>
    <w:rsid w:val="009C6EA6"/>
    <w:pPr>
      <w:spacing w:before="0" w:after="0"/>
      <w:jc w:val="right"/>
    </w:pPr>
  </w:style>
  <w:style w:type="paragraph" w:styleId="Index3">
    <w:name w:val="index 3"/>
    <w:basedOn w:val="ListNumber2"/>
    <w:next w:val="Normal"/>
    <w:semiHidden/>
    <w:rsid w:val="009C6EA6"/>
    <w:pPr>
      <w:numPr>
        <w:numId w:val="0"/>
      </w:numPr>
      <w:tabs>
        <w:tab w:val="right" w:leader="dot" w:pos="4176"/>
      </w:tabs>
    </w:pPr>
  </w:style>
  <w:style w:type="paragraph" w:styleId="ListNumber2">
    <w:name w:val="List Number 2"/>
    <w:basedOn w:val="List2"/>
    <w:rsid w:val="009C6EA6"/>
    <w:pPr>
      <w:numPr>
        <w:numId w:val="8"/>
      </w:numPr>
      <w:tabs>
        <w:tab w:val="clear" w:pos="1060"/>
      </w:tabs>
    </w:pPr>
  </w:style>
  <w:style w:type="paragraph" w:customStyle="1" w:styleId="MarginNote">
    <w:name w:val="Margin Note"/>
    <w:basedOn w:val="BodyText"/>
    <w:rsid w:val="009C6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E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6EA6"/>
    <w:rPr>
      <w:sz w:val="32"/>
    </w:rPr>
  </w:style>
  <w:style w:type="paragraph" w:customStyle="1" w:styleId="HeadingProcedure">
    <w:name w:val="Heading Procedure"/>
    <w:basedOn w:val="HeadingBase"/>
    <w:next w:val="Normal"/>
    <w:rsid w:val="009C6EA6"/>
    <w:pPr>
      <w:tabs>
        <w:tab w:val="left" w:pos="0"/>
      </w:tabs>
      <w:spacing w:before="120" w:after="60"/>
    </w:pPr>
    <w:rPr>
      <w:i/>
      <w:color w:val="918585"/>
      <w:sz w:val="22"/>
    </w:rPr>
  </w:style>
  <w:style w:type="paragraph" w:customStyle="1" w:styleId="TableBodyText">
    <w:name w:val="Table Body Text"/>
    <w:basedOn w:val="BodyText"/>
    <w:rsid w:val="009C6EA6"/>
    <w:pPr>
      <w:spacing w:before="60" w:after="60"/>
    </w:pPr>
  </w:style>
  <w:style w:type="paragraph" w:styleId="ListContinue">
    <w:name w:val="List Continue"/>
    <w:basedOn w:val="List"/>
    <w:rsid w:val="009C6EA6"/>
    <w:pPr>
      <w:ind w:firstLine="0"/>
    </w:pPr>
  </w:style>
  <w:style w:type="paragraph" w:customStyle="1" w:styleId="ListNote">
    <w:name w:val="List Note"/>
    <w:basedOn w:val="List"/>
    <w:rsid w:val="009C6EA6"/>
    <w:pPr>
      <w:pBdr>
        <w:top w:val="single" w:sz="6" w:space="2" w:color="918585"/>
        <w:bottom w:val="single" w:sz="6" w:space="2" w:color="918585"/>
      </w:pBdr>
      <w:tabs>
        <w:tab w:val="left" w:pos="1021"/>
      </w:tabs>
      <w:ind w:firstLine="0"/>
    </w:pPr>
  </w:style>
  <w:style w:type="paragraph" w:customStyle="1" w:styleId="Warning">
    <w:name w:val="Warning"/>
    <w:basedOn w:val="BodyText"/>
    <w:rsid w:val="009C6EA6"/>
    <w:pPr>
      <w:shd w:val="clear" w:color="auto" w:fill="D9D9D9"/>
      <w:tabs>
        <w:tab w:val="left" w:pos="992"/>
      </w:tabs>
      <w:ind w:left="119" w:right="119"/>
    </w:pPr>
    <w:rPr>
      <w:sz w:val="20"/>
    </w:rPr>
  </w:style>
  <w:style w:type="paragraph" w:customStyle="1" w:styleId="MarginIcons">
    <w:name w:val="Margin Icons"/>
    <w:basedOn w:val="BodyText"/>
    <w:rsid w:val="009C6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EA6"/>
    <w:rPr>
      <w:rFonts w:ascii="Courier New" w:hAnsi="Courier New"/>
    </w:rPr>
  </w:style>
  <w:style w:type="paragraph" w:customStyle="1" w:styleId="NoteBullet">
    <w:name w:val="Note Bullet"/>
    <w:basedOn w:val="Note"/>
    <w:rsid w:val="009C6EA6"/>
    <w:pPr>
      <w:tabs>
        <w:tab w:val="clear" w:pos="680"/>
      </w:tabs>
      <w:spacing w:before="60" w:after="60"/>
    </w:pPr>
  </w:style>
  <w:style w:type="paragraph" w:customStyle="1" w:styleId="SubHeading2">
    <w:name w:val="SubHeading2"/>
    <w:basedOn w:val="HeadingBase"/>
    <w:rsid w:val="009C6EA6"/>
    <w:pPr>
      <w:spacing w:before="240" w:after="60"/>
    </w:pPr>
    <w:rPr>
      <w:sz w:val="20"/>
    </w:rPr>
  </w:style>
  <w:style w:type="paragraph" w:customStyle="1" w:styleId="SubHeading1">
    <w:name w:val="SubHeading1"/>
    <w:basedOn w:val="HeadingBase"/>
    <w:rsid w:val="009C6EA6"/>
    <w:pPr>
      <w:spacing w:before="240" w:after="60"/>
    </w:pPr>
    <w:rPr>
      <w:color w:val="918585"/>
      <w:sz w:val="22"/>
    </w:rPr>
  </w:style>
  <w:style w:type="paragraph" w:customStyle="1" w:styleId="SideHeading">
    <w:name w:val="Side Heading"/>
    <w:basedOn w:val="HeadingBase"/>
    <w:rsid w:val="009C6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EA6"/>
    <w:pPr>
      <w:numPr>
        <w:numId w:val="10"/>
      </w:numPr>
    </w:pPr>
  </w:style>
  <w:style w:type="paragraph" w:styleId="PlainText">
    <w:name w:val="Plain Text"/>
    <w:basedOn w:val="Normal"/>
    <w:link w:val="PlainTextChar"/>
    <w:rsid w:val="009C6EA6"/>
    <w:rPr>
      <w:sz w:val="20"/>
    </w:rPr>
  </w:style>
  <w:style w:type="character" w:customStyle="1" w:styleId="PlainTextChar">
    <w:name w:val="Plain Text Char"/>
    <w:basedOn w:val="DefaultParagraphFont"/>
    <w:link w:val="PlainText"/>
    <w:rsid w:val="009C6E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6EA6"/>
    <w:rPr>
      <w:b/>
      <w:smallCaps/>
    </w:rPr>
  </w:style>
  <w:style w:type="paragraph" w:customStyle="1" w:styleId="TableListNumber">
    <w:name w:val="Table List Number"/>
    <w:basedOn w:val="ListNumber"/>
    <w:rsid w:val="009C6EA6"/>
    <w:pPr>
      <w:numPr>
        <w:numId w:val="0"/>
      </w:numPr>
    </w:pPr>
  </w:style>
  <w:style w:type="paragraph" w:styleId="TOC4">
    <w:name w:val="toc 4"/>
    <w:basedOn w:val="TOCBase"/>
    <w:next w:val="Normal"/>
    <w:semiHidden/>
    <w:rsid w:val="009C6EA6"/>
    <w:pPr>
      <w:tabs>
        <w:tab w:val="right" w:leader="dot" w:pos="9071"/>
      </w:tabs>
      <w:ind w:left="1701"/>
    </w:pPr>
  </w:style>
  <w:style w:type="paragraph" w:customStyle="1" w:styleId="ListAlpha">
    <w:name w:val="List Alpha"/>
    <w:basedOn w:val="List"/>
    <w:rsid w:val="009C6EA6"/>
    <w:pPr>
      <w:numPr>
        <w:numId w:val="7"/>
      </w:numPr>
    </w:pPr>
  </w:style>
  <w:style w:type="paragraph" w:customStyle="1" w:styleId="ListAlpha2">
    <w:name w:val="List Alpha 2"/>
    <w:basedOn w:val="List2"/>
    <w:rsid w:val="009C6EA6"/>
    <w:pPr>
      <w:numPr>
        <w:numId w:val="6"/>
      </w:numPr>
    </w:pPr>
  </w:style>
  <w:style w:type="paragraph" w:styleId="List2">
    <w:name w:val="List 2"/>
    <w:basedOn w:val="BodyText"/>
    <w:rsid w:val="009C6EA6"/>
    <w:pPr>
      <w:tabs>
        <w:tab w:val="left" w:pos="680"/>
      </w:tabs>
      <w:spacing w:before="60" w:after="60"/>
      <w:ind w:left="680" w:hanging="340"/>
    </w:pPr>
  </w:style>
  <w:style w:type="paragraph" w:styleId="List3">
    <w:name w:val="List 3"/>
    <w:basedOn w:val="BodyText"/>
    <w:rsid w:val="009C6EA6"/>
    <w:pPr>
      <w:tabs>
        <w:tab w:val="left" w:pos="1021"/>
      </w:tabs>
      <w:spacing w:before="60" w:after="60"/>
      <w:ind w:left="1020" w:hanging="340"/>
    </w:pPr>
  </w:style>
  <w:style w:type="paragraph" w:styleId="List4">
    <w:name w:val="List 4"/>
    <w:basedOn w:val="BodyText"/>
    <w:rsid w:val="009C6EA6"/>
    <w:pPr>
      <w:tabs>
        <w:tab w:val="left" w:pos="1361"/>
      </w:tabs>
      <w:spacing w:before="60" w:after="60"/>
      <w:ind w:left="1361" w:hanging="340"/>
    </w:pPr>
  </w:style>
  <w:style w:type="paragraph" w:styleId="List5">
    <w:name w:val="List 5"/>
    <w:basedOn w:val="BodyText"/>
    <w:rsid w:val="009C6EA6"/>
    <w:pPr>
      <w:tabs>
        <w:tab w:val="left" w:pos="1701"/>
      </w:tabs>
      <w:spacing w:before="60" w:after="60"/>
      <w:ind w:left="1701" w:hanging="340"/>
    </w:pPr>
  </w:style>
  <w:style w:type="paragraph" w:styleId="ListBullet3">
    <w:name w:val="List Bullet 3"/>
    <w:basedOn w:val="List3"/>
    <w:rsid w:val="009C6EA6"/>
    <w:pPr>
      <w:numPr>
        <w:numId w:val="13"/>
      </w:numPr>
      <w:tabs>
        <w:tab w:val="clear" w:pos="1021"/>
      </w:tabs>
      <w:ind w:left="1037" w:hanging="357"/>
    </w:pPr>
  </w:style>
  <w:style w:type="paragraph" w:styleId="ListBullet4">
    <w:name w:val="List Bullet 4"/>
    <w:basedOn w:val="List4"/>
    <w:rsid w:val="009C6EA6"/>
    <w:pPr>
      <w:numPr>
        <w:numId w:val="1"/>
      </w:numPr>
    </w:pPr>
  </w:style>
  <w:style w:type="paragraph" w:styleId="ListBullet5">
    <w:name w:val="List Bullet 5"/>
    <w:basedOn w:val="List5"/>
    <w:rsid w:val="009C6EA6"/>
    <w:pPr>
      <w:numPr>
        <w:numId w:val="2"/>
      </w:numPr>
    </w:pPr>
  </w:style>
  <w:style w:type="paragraph" w:styleId="ListContinue2">
    <w:name w:val="List Continue 2"/>
    <w:basedOn w:val="List2"/>
    <w:rsid w:val="009C6EA6"/>
    <w:pPr>
      <w:ind w:firstLine="0"/>
    </w:pPr>
  </w:style>
  <w:style w:type="paragraph" w:styleId="ListContinue3">
    <w:name w:val="List Continue 3"/>
    <w:basedOn w:val="List3"/>
    <w:rsid w:val="009C6EA6"/>
    <w:pPr>
      <w:ind w:left="1021" w:firstLine="0"/>
    </w:pPr>
  </w:style>
  <w:style w:type="paragraph" w:styleId="ListContinue4">
    <w:name w:val="List Continue 4"/>
    <w:basedOn w:val="List4"/>
    <w:rsid w:val="009C6EA6"/>
    <w:pPr>
      <w:ind w:firstLine="0"/>
    </w:pPr>
  </w:style>
  <w:style w:type="paragraph" w:styleId="ListContinue5">
    <w:name w:val="List Continue 5"/>
    <w:basedOn w:val="List5"/>
    <w:rsid w:val="009C6EA6"/>
    <w:pPr>
      <w:ind w:firstLine="0"/>
    </w:pPr>
  </w:style>
  <w:style w:type="paragraph" w:styleId="ListNumber3">
    <w:name w:val="List Number 3"/>
    <w:basedOn w:val="List3"/>
    <w:rsid w:val="009C6EA6"/>
    <w:pPr>
      <w:numPr>
        <w:numId w:val="3"/>
      </w:numPr>
    </w:pPr>
  </w:style>
  <w:style w:type="paragraph" w:styleId="ListNumber4">
    <w:name w:val="List Number 4"/>
    <w:basedOn w:val="List4"/>
    <w:rsid w:val="009C6EA6"/>
    <w:pPr>
      <w:numPr>
        <w:numId w:val="4"/>
      </w:numPr>
    </w:pPr>
  </w:style>
  <w:style w:type="paragraph" w:styleId="ListNumber5">
    <w:name w:val="List Number 5"/>
    <w:basedOn w:val="List5"/>
    <w:rsid w:val="009C6EA6"/>
    <w:pPr>
      <w:numPr>
        <w:numId w:val="5"/>
      </w:numPr>
    </w:pPr>
  </w:style>
  <w:style w:type="paragraph" w:styleId="BlockText">
    <w:name w:val="Block Text"/>
    <w:basedOn w:val="Normal"/>
    <w:rsid w:val="009C6EA6"/>
    <w:pPr>
      <w:spacing w:after="120"/>
      <w:ind w:left="1440" w:right="1440"/>
    </w:pPr>
  </w:style>
  <w:style w:type="character" w:customStyle="1" w:styleId="Subscript">
    <w:name w:val="Subscript"/>
    <w:basedOn w:val="DefaultParagraphFont"/>
    <w:rsid w:val="009C6EA6"/>
    <w:rPr>
      <w:sz w:val="16"/>
      <w:vertAlign w:val="subscript"/>
    </w:rPr>
  </w:style>
  <w:style w:type="character" w:customStyle="1" w:styleId="Superscript">
    <w:name w:val="Superscript"/>
    <w:basedOn w:val="DefaultParagraphFont"/>
    <w:rsid w:val="009C6EA6"/>
    <w:rPr>
      <w:sz w:val="16"/>
      <w:vertAlign w:val="superscript"/>
    </w:rPr>
  </w:style>
  <w:style w:type="character" w:customStyle="1" w:styleId="Symbols">
    <w:name w:val="Symbols"/>
    <w:basedOn w:val="DefaultParagraphFont"/>
    <w:rsid w:val="009C6EA6"/>
    <w:rPr>
      <w:rFonts w:ascii="Symbol" w:hAnsi="Symbol"/>
    </w:rPr>
  </w:style>
  <w:style w:type="character" w:customStyle="1" w:styleId="MenuOptions">
    <w:name w:val="Menu Options"/>
    <w:basedOn w:val="DefaultParagraphFont"/>
    <w:rsid w:val="009C6EA6"/>
    <w:rPr>
      <w:rFonts w:ascii="Arial Narrow" w:hAnsi="Arial Narrow"/>
      <w:smallCaps/>
    </w:rPr>
  </w:style>
  <w:style w:type="character" w:customStyle="1" w:styleId="Buttons">
    <w:name w:val="Buttons"/>
    <w:basedOn w:val="DefaultParagraphFont"/>
    <w:rsid w:val="009C6EA6"/>
    <w:rPr>
      <w:b/>
    </w:rPr>
  </w:style>
  <w:style w:type="character" w:customStyle="1" w:styleId="Underlined">
    <w:name w:val="Underlined"/>
    <w:basedOn w:val="DefaultParagraphFont"/>
    <w:rsid w:val="009C6EA6"/>
    <w:rPr>
      <w:u w:val="single"/>
    </w:rPr>
  </w:style>
  <w:style w:type="paragraph" w:customStyle="1" w:styleId="TableBodyTextRight">
    <w:name w:val="Table Body Text Right"/>
    <w:basedOn w:val="TableBodyText"/>
    <w:rsid w:val="009C6EA6"/>
    <w:pPr>
      <w:widowControl w:val="0"/>
      <w:autoSpaceDE w:val="0"/>
      <w:autoSpaceDN w:val="0"/>
      <w:adjustRightInd w:val="0"/>
      <w:jc w:val="right"/>
    </w:pPr>
    <w:rPr>
      <w:rFonts w:cs="Arial"/>
      <w:szCs w:val="18"/>
    </w:rPr>
  </w:style>
  <w:style w:type="paragraph" w:customStyle="1" w:styleId="CopyrightText">
    <w:name w:val="Copyright Text"/>
    <w:basedOn w:val="BodyText"/>
    <w:rsid w:val="009C6EA6"/>
    <w:rPr>
      <w:sz w:val="18"/>
    </w:rPr>
  </w:style>
  <w:style w:type="paragraph" w:customStyle="1" w:styleId="BodySmallRight">
    <w:name w:val="Body Small Right"/>
    <w:basedOn w:val="BodyTextRight"/>
    <w:rsid w:val="009C6EA6"/>
    <w:rPr>
      <w:sz w:val="18"/>
      <w:szCs w:val="18"/>
    </w:rPr>
  </w:style>
  <w:style w:type="paragraph" w:customStyle="1" w:styleId="MarginEdition">
    <w:name w:val="Margin Edition"/>
    <w:basedOn w:val="MarginNote"/>
    <w:rsid w:val="009C6EA6"/>
    <w:pPr>
      <w:spacing w:before="0" w:after="0"/>
    </w:pPr>
    <w:rPr>
      <w:rFonts w:ascii="Times New Roman" w:hAnsi="Times New Roman"/>
      <w:color w:val="999999"/>
    </w:rPr>
  </w:style>
  <w:style w:type="paragraph" w:customStyle="1" w:styleId="Spacer">
    <w:name w:val="Spacer"/>
    <w:basedOn w:val="Normal"/>
    <w:rsid w:val="009C6EA6"/>
    <w:rPr>
      <w:sz w:val="2"/>
      <w:szCs w:val="2"/>
    </w:rPr>
  </w:style>
  <w:style w:type="character" w:customStyle="1" w:styleId="Small">
    <w:name w:val="Small"/>
    <w:basedOn w:val="DefaultParagraphFont"/>
    <w:rsid w:val="009C6EA6"/>
    <w:rPr>
      <w:sz w:val="16"/>
    </w:rPr>
  </w:style>
  <w:style w:type="paragraph" w:customStyle="1" w:styleId="WideTable">
    <w:name w:val="Wide Table"/>
    <w:basedOn w:val="Normal"/>
    <w:rsid w:val="009C6EA6"/>
    <w:pPr>
      <w:ind w:left="-1418"/>
    </w:pPr>
    <w:rPr>
      <w:sz w:val="2"/>
      <w:szCs w:val="2"/>
    </w:rPr>
  </w:style>
  <w:style w:type="character" w:styleId="PageNumber">
    <w:name w:val="page number"/>
    <w:basedOn w:val="DefaultParagraphFont"/>
    <w:rsid w:val="009C6EA6"/>
  </w:style>
  <w:style w:type="paragraph" w:styleId="Quote">
    <w:name w:val="Quote"/>
    <w:basedOn w:val="Heading1"/>
    <w:link w:val="QuoteChar"/>
    <w:qFormat/>
    <w:rsid w:val="009C6EA6"/>
    <w:rPr>
      <w:b w:val="0"/>
      <w:sz w:val="72"/>
      <w:szCs w:val="72"/>
      <w:lang w:val="en-NZ"/>
    </w:rPr>
  </w:style>
  <w:style w:type="character" w:customStyle="1" w:styleId="QuoteChar">
    <w:name w:val="Quote Char"/>
    <w:basedOn w:val="DefaultParagraphFont"/>
    <w:link w:val="Quote"/>
    <w:rsid w:val="009C6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EA6"/>
    <w:pPr>
      <w:pageBreakBefore/>
    </w:pPr>
  </w:style>
  <w:style w:type="paragraph" w:customStyle="1" w:styleId="Border">
    <w:name w:val="Border"/>
    <w:basedOn w:val="Normal"/>
    <w:qFormat/>
    <w:rsid w:val="009C6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EA6"/>
    <w:rPr>
      <w:b/>
      <w:bCs/>
      <w:i/>
      <w:iCs/>
      <w:color w:val="auto"/>
    </w:rPr>
  </w:style>
  <w:style w:type="paragraph" w:styleId="IntenseQuote">
    <w:name w:val="Intense Quote"/>
    <w:basedOn w:val="Normal"/>
    <w:next w:val="Normal"/>
    <w:link w:val="IntenseQuoteChar"/>
    <w:uiPriority w:val="30"/>
    <w:qFormat/>
    <w:rsid w:val="009C6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E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6EA6"/>
    <w:rPr>
      <w:smallCaps/>
      <w:color w:val="auto"/>
      <w:u w:val="single"/>
    </w:rPr>
  </w:style>
  <w:style w:type="character" w:styleId="IntenseReference">
    <w:name w:val="Intense Reference"/>
    <w:basedOn w:val="DefaultParagraphFont"/>
    <w:uiPriority w:val="32"/>
    <w:qFormat/>
    <w:rsid w:val="009C6EA6"/>
    <w:rPr>
      <w:b/>
      <w:bCs/>
      <w:smallCaps/>
      <w:color w:val="auto"/>
      <w:spacing w:val="5"/>
      <w:u w:val="single"/>
    </w:rPr>
  </w:style>
  <w:style w:type="paragraph" w:customStyle="1" w:styleId="2ColumnHeading">
    <w:name w:val="2Column Heading"/>
    <w:basedOn w:val="BodyText"/>
    <w:qFormat/>
    <w:rsid w:val="009C6EA6"/>
    <w:pPr>
      <w:spacing w:after="60"/>
      <w:ind w:left="-2268"/>
    </w:pPr>
    <w:rPr>
      <w:b/>
    </w:rPr>
  </w:style>
  <w:style w:type="paragraph" w:customStyle="1" w:styleId="Heading1TOC">
    <w:name w:val="Heading1 TOC"/>
    <w:basedOn w:val="Normal"/>
    <w:qFormat/>
    <w:rsid w:val="009C6EA6"/>
    <w:pPr>
      <w:spacing w:before="240" w:after="120"/>
    </w:pPr>
    <w:rPr>
      <w:rFonts w:ascii="Times New Roman" w:hAnsi="Times New Roman"/>
      <w:b/>
      <w:sz w:val="32"/>
    </w:rPr>
  </w:style>
  <w:style w:type="paragraph" w:customStyle="1" w:styleId="Heading2TOC">
    <w:name w:val="Heading2 TOC"/>
    <w:basedOn w:val="Normal"/>
    <w:qFormat/>
    <w:rsid w:val="009C6EA6"/>
    <w:pPr>
      <w:spacing w:before="240" w:after="60"/>
    </w:pPr>
    <w:rPr>
      <w:rFonts w:ascii="Times New Roman" w:hAnsi="Times New Roman"/>
      <w:b/>
      <w:sz w:val="28"/>
    </w:rPr>
  </w:style>
  <w:style w:type="character" w:customStyle="1" w:styleId="Underline">
    <w:name w:val="Underline"/>
    <w:basedOn w:val="DefaultParagraphFont"/>
    <w:qFormat/>
    <w:rsid w:val="009C6EA6"/>
    <w:rPr>
      <w:u w:val="single"/>
    </w:rPr>
  </w:style>
  <w:style w:type="character" w:customStyle="1" w:styleId="BoldandItalics">
    <w:name w:val="Bold and Italics"/>
    <w:qFormat/>
    <w:rsid w:val="009C6EA6"/>
    <w:rPr>
      <w:b/>
      <w:i/>
      <w:u w:val="none"/>
    </w:rPr>
  </w:style>
  <w:style w:type="paragraph" w:styleId="BalloonText">
    <w:name w:val="Balloon Text"/>
    <w:basedOn w:val="Normal"/>
    <w:link w:val="BalloonTextChar"/>
    <w:rsid w:val="009C6EA6"/>
    <w:rPr>
      <w:rFonts w:ascii="Tahoma" w:hAnsi="Tahoma" w:cs="Tahoma"/>
      <w:sz w:val="16"/>
      <w:szCs w:val="16"/>
    </w:rPr>
  </w:style>
  <w:style w:type="character" w:customStyle="1" w:styleId="BalloonTextChar">
    <w:name w:val="Balloon Text Char"/>
    <w:basedOn w:val="DefaultParagraphFont"/>
    <w:link w:val="BalloonText"/>
    <w:rsid w:val="009C6E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6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E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8613</Characters>
  <Application>Microsoft Office Word</Application>
  <DocSecurity>0</DocSecurity>
  <Lines>298</Lines>
  <Paragraphs>173</Paragraphs>
  <ScaleCrop>false</ScaleCrop>
  <Company>Author-it Software Corporation Ltd.</Company>
  <LinksUpToDate>false</LinksUpToDate>
  <CharactersWithSpaces>9834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TLIO907C Test and inspect cash-in-transit security equipment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2012-05-27T08:19:00Z</dcterms:created>
  <dcterms:modified xsi:type="dcterms:W3CDTF">2012-05-27T08:19:00Z</dcterms:modified>
</cp:coreProperties>
</file>