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429" w:rsidP="003B0429">
      <w:pPr>
        <w:pStyle w:val="Title"/>
      </w:pPr>
      <w:r>
        <w:fldChar w:fldCharType="begin"/>
      </w:r>
      <w:r>
        <w:instrText xml:space="preserve"> TITLE   \* MERGEFORMAT </w:instrText>
      </w:r>
      <w:r>
        <w:fldChar w:fldCharType="separate"/>
      </w:r>
      <w:r>
        <w:t>TLIO807C Implement cash-in-transit security procedures</w:t>
      </w:r>
      <w:r>
        <w:fldChar w:fldCharType="end"/>
      </w:r>
    </w:p>
    <w:p w:rsidR="003B0429" w:rsidP="003B0429">
      <w:pPr>
        <w:pStyle w:val="Version"/>
        <w:sectPr w:rsidSect="004158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589E" w:rsidP="0041589E">
      <w:pPr>
        <w:pStyle w:val="SuperHeading"/>
      </w:pPr>
      <w:r w:rsidRPr="0041589E">
        <w:t>TLIO807C Implement cash-in-transit security procedures</w:t>
      </w:r>
    </w:p>
    <w:p w:rsidR="00000000" w:rsidRPr="0041589E" w:rsidP="0041589E">
      <w:pPr>
        <w:pStyle w:val="Heading1"/>
      </w:pPr>
      <w:bookmarkStart w:id="1" w:name="O_317077"/>
      <w:bookmarkEnd w:id="1"/>
      <w:r w:rsidRPr="0041589E">
        <w:t>Modification History</w:t>
      </w:r>
    </w:p>
    <w:p w:rsidR="00000000" w:rsidRPr="0041589E" w:rsidP="0041589E">
      <w:pPr>
        <w:pStyle w:val="BodyText"/>
      </w:pPr>
      <w:r w:rsidRPr="0041589E">
        <w:t>Not applicable.</w:t>
      </w:r>
    </w:p>
    <w:p w:rsidR="00000000" w:rsidRPr="0041589E" w:rsidP="0041589E">
      <w:pPr>
        <w:pStyle w:val="AllowPageBreak"/>
      </w:pPr>
    </w:p>
    <w:p w:rsidR="00000000" w:rsidRPr="0041589E" w:rsidP="0041589E">
      <w:pPr>
        <w:pStyle w:val="Heading1"/>
      </w:pPr>
      <w:bookmarkStart w:id="2" w:name="O_317082"/>
      <w:bookmarkEnd w:id="2"/>
      <w:r w:rsidRPr="0041589E">
        <w:t>Unit Descriptor</w:t>
      </w:r>
    </w:p>
    <w:p w:rsidR="00000000" w:rsidRPr="0041589E" w:rsidP="0041589E">
      <w:pPr>
        <w:pStyle w:val="BodyText"/>
      </w:pPr>
      <w:r w:rsidRPr="0041589E">
        <w:t>This unit involves the skills and knowledge required to implement cash-in-transit security procedures, includin</w:t>
      </w:r>
      <w:r w:rsidRPr="0041589E">
        <w:t>g checking and monitoring personnel and goods within the work area, coordinating responses on security incidents/emergencies, and carrying out surveillance of work areas.</w:t>
      </w:r>
    </w:p>
    <w:p w:rsidR="00000000" w:rsidRPr="0041589E" w:rsidP="0041589E">
      <w:pPr>
        <w:pStyle w:val="AllowPageBreak"/>
      </w:pPr>
    </w:p>
    <w:p w:rsidR="00000000" w:rsidRPr="0041589E" w:rsidP="0041589E">
      <w:pPr>
        <w:pStyle w:val="Heading1"/>
      </w:pPr>
      <w:bookmarkStart w:id="3" w:name="O_317081"/>
      <w:bookmarkEnd w:id="3"/>
      <w:r w:rsidRPr="0041589E">
        <w:t>Application of the Unit</w:t>
      </w:r>
    </w:p>
    <w:p w:rsidR="00000000" w:rsidRPr="0041589E" w:rsidP="0041589E">
      <w:pPr>
        <w:pStyle w:val="BodyText"/>
      </w:pPr>
      <w:r w:rsidRPr="0041589E">
        <w:t xml:space="preserve">Work must be carried out in compliance with </w:t>
      </w:r>
      <w:r w:rsidRPr="0041589E">
        <w:t>the relevant sections of the regulations of the relevant state/territory authorities concerned with the secure delivery of valuables, secured products, documents and materials.</w:t>
      </w:r>
    </w:p>
    <w:p w:rsidR="00000000" w:rsidRPr="0041589E" w:rsidP="0041589E">
      <w:pPr>
        <w:pStyle w:val="BodyText"/>
      </w:pPr>
      <w:r w:rsidRPr="0041589E">
        <w:t>Work is performed under general or limited supervision. It involves the applica</w:t>
      </w:r>
      <w:r w:rsidRPr="0041589E">
        <w:t>tion of the basic principles, routine procedures and regulatory requirements to the transfer of cash-in-transit in unsecured environments.</w:t>
      </w:r>
    </w:p>
    <w:p w:rsidR="00000000" w:rsidRPr="0041589E" w:rsidP="0041589E">
      <w:pPr>
        <w:pStyle w:val="AllowPageBreak"/>
      </w:pPr>
    </w:p>
    <w:p w:rsidR="00000000" w:rsidRPr="0041589E" w:rsidP="0041589E">
      <w:pPr>
        <w:pStyle w:val="Heading1"/>
      </w:pPr>
      <w:bookmarkStart w:id="4" w:name="O_317080"/>
      <w:bookmarkEnd w:id="4"/>
      <w:r w:rsidRPr="0041589E">
        <w:t>Licensing/Regulatory Information</w:t>
      </w:r>
    </w:p>
    <w:p w:rsidR="00000000" w:rsidRPr="0041589E" w:rsidP="0041589E">
      <w:pPr>
        <w:pStyle w:val="BodyText"/>
      </w:pPr>
      <w:r w:rsidRPr="0041589E">
        <w:t>Not applicable.</w:t>
      </w:r>
    </w:p>
    <w:p w:rsidR="00000000" w:rsidRPr="0041589E" w:rsidP="0041589E">
      <w:pPr>
        <w:pStyle w:val="AllowPageBreak"/>
      </w:pPr>
    </w:p>
    <w:p w:rsidR="00000000" w:rsidRPr="0041589E" w:rsidP="0041589E">
      <w:pPr>
        <w:pStyle w:val="Heading1"/>
      </w:pPr>
      <w:bookmarkStart w:id="5" w:name="O_317079"/>
      <w:bookmarkEnd w:id="5"/>
      <w:r w:rsidRPr="0041589E">
        <w:t>Pre-Requisites</w:t>
      </w:r>
    </w:p>
    <w:p w:rsidR="00000000" w:rsidRPr="0041589E" w:rsidP="0041589E">
      <w:pPr>
        <w:pStyle w:val="BodyText"/>
      </w:pPr>
      <w:r w:rsidRPr="0041589E">
        <w:t>Not applicable.</w:t>
      </w:r>
    </w:p>
    <w:p w:rsidR="00000000" w:rsidRPr="0041589E" w:rsidP="0041589E">
      <w:pPr>
        <w:pStyle w:val="AllowPageBreak"/>
      </w:pPr>
    </w:p>
    <w:p w:rsidR="00000000" w:rsidRPr="0041589E" w:rsidP="0041589E">
      <w:pPr>
        <w:pStyle w:val="Heading1"/>
      </w:pPr>
      <w:bookmarkStart w:id="6" w:name="O_317071"/>
      <w:bookmarkEnd w:id="6"/>
      <w:r w:rsidRPr="0041589E">
        <w:t>Employability Skills Information</w:t>
      </w:r>
    </w:p>
    <w:p w:rsidR="00000000" w:rsidRPr="0041589E" w:rsidP="0041589E">
      <w:pPr>
        <w:pStyle w:val="BodyText"/>
      </w:pPr>
      <w:r w:rsidRPr="0041589E">
        <w:t>The required outcomes described in this unit of competency contain applicable facets of Employability Skills. The Employability Skills Summary of the qualification in which this competency is packaged will a</w:t>
      </w:r>
      <w:r w:rsidRPr="0041589E">
        <w:t>ssist in identifying employability skill requirements.</w:t>
      </w:r>
    </w:p>
    <w:p w:rsidR="00000000" w:rsidRPr="0041589E" w:rsidP="0041589E">
      <w:pPr>
        <w:pStyle w:val="AllowPageBreak"/>
      </w:pPr>
    </w:p>
    <w:p w:rsidR="00000000" w:rsidRPr="0041589E" w:rsidP="0041589E">
      <w:pPr>
        <w:pStyle w:val="Heading1"/>
      </w:pPr>
      <w:bookmarkStart w:id="7" w:name="O_317078"/>
      <w:bookmarkEnd w:id="7"/>
      <w:r w:rsidRPr="0041589E">
        <w:t>Elements and Performance Criteria Pre-Content</w:t>
      </w:r>
    </w:p>
    <w:p w:rsidR="00000000" w:rsidRPr="0041589E" w:rsidP="0041589E">
      <w:pPr>
        <w:pStyle w:val="BodyText"/>
      </w:pPr>
      <w:r w:rsidRPr="0041589E">
        <w:t>Elements describe the essential outcomes of a unit of competency.</w:t>
      </w:r>
    </w:p>
    <w:p w:rsidR="00000000" w:rsidRPr="0041589E" w:rsidP="0041589E">
      <w:pPr>
        <w:pStyle w:val="BodyText"/>
      </w:pPr>
      <w:r w:rsidRPr="0041589E">
        <w:t>Performance criteria describe the required performance needed to demonstrate achievement of the element. Assessment of performance is to be consistent with the evidence guide.</w:t>
      </w:r>
    </w:p>
    <w:p w:rsidR="00000000" w:rsidRPr="0041589E" w:rsidP="0041589E">
      <w:pPr>
        <w:pStyle w:val="AllowPageBreak"/>
      </w:pPr>
    </w:p>
    <w:p w:rsidR="00000000" w:rsidRPr="0041589E" w:rsidP="0041589E">
      <w:pPr>
        <w:pStyle w:val="Heading1"/>
      </w:pPr>
      <w:bookmarkStart w:id="8" w:name="O_317083"/>
      <w:bookmarkEnd w:id="8"/>
      <w:r w:rsidRPr="0041589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B042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rPr>
                <w:rStyle w:val="SpecialBold"/>
              </w:rPr>
              <w:t>Elements and Performance Crit</w:t>
            </w:r>
            <w:r w:rsidRPr="0041589E">
              <w:rPr>
                <w:rStyle w:val="SpecialBold"/>
              </w:rPr>
              <w:t>eria</w:t>
            </w:r>
          </w:p>
        </w:tc>
      </w:tr>
      <w:tr w:rsidTr="003B042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1589E" w:rsidP="0041589E">
            <w:pPr>
              <w:pStyle w:val="BodyText"/>
            </w:pPr>
            <w:r w:rsidRPr="0041589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rPr>
                <w:rStyle w:val="SpecialBold"/>
              </w:rPr>
              <w:t>Performance Criteria</w:t>
            </w:r>
          </w:p>
        </w:tc>
      </w:tr>
      <w:tr w:rsidTr="003B042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1589E" w:rsidP="0041589E">
            <w:pPr>
              <w:pStyle w:val="BodyText"/>
            </w:pPr>
            <w:r w:rsidRPr="0041589E">
              <w:t>1</w:t>
            </w:r>
          </w:p>
        </w:tc>
        <w:tc>
          <w:tcPr>
            <w:tcW w:w="3000" w:type="dxa"/>
            <w:vMerge w:val="restart"/>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rPr>
                <w:rStyle w:val="SpecialBold"/>
              </w:rPr>
              <w:t>Check and monitor personnel and goods within the work area</w:t>
            </w:r>
          </w:p>
        </w:tc>
        <w:tc>
          <w:tcPr>
            <w:tcW w:w="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1.1</w:t>
            </w:r>
          </w:p>
        </w:tc>
        <w:tc>
          <w:tcPr>
            <w:tcW w:w="51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Personnel and vehicles are checked in accordance with workplace operational procedures and statutory authority regulations</w:t>
            </w:r>
          </w:p>
        </w:tc>
      </w:tr>
      <w:tr w:rsidTr="003B04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1.2</w:t>
            </w:r>
          </w:p>
        </w:tc>
        <w:tc>
          <w:tcPr>
            <w:tcW w:w="51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Receival and delivery of consignment are recorded in accordance with workplace operational procedures to ensure identification of carrier, vehicle, consignment, receiver and documentation</w:t>
            </w:r>
          </w:p>
        </w:tc>
      </w:tr>
      <w:tr w:rsidTr="003B04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1.3</w:t>
            </w:r>
          </w:p>
        </w:tc>
        <w:tc>
          <w:tcPr>
            <w:tcW w:w="51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Consignment content is checked to ensure that container seals are correctly applied and audit trail preserved prior to commencing operations</w:t>
            </w:r>
          </w:p>
        </w:tc>
      </w:tr>
      <w:tr w:rsidTr="003B04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1.4</w:t>
            </w:r>
          </w:p>
        </w:tc>
        <w:tc>
          <w:tcPr>
            <w:tcW w:w="51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Discrepancies in consignments are reported in line with workplace procedures</w:t>
            </w:r>
          </w:p>
        </w:tc>
      </w:tr>
      <w:tr w:rsidTr="003B042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1589E" w:rsidP="0041589E">
            <w:pPr>
              <w:pStyle w:val="BodyText"/>
            </w:pPr>
            <w:r w:rsidRPr="0041589E">
              <w:t>2</w:t>
            </w:r>
          </w:p>
        </w:tc>
        <w:tc>
          <w:tcPr>
            <w:tcW w:w="3000" w:type="dxa"/>
            <w:vMerge w:val="restart"/>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rPr>
                <w:rStyle w:val="SpecialBold"/>
              </w:rPr>
              <w:t>Coordinate responses on secu</w:t>
            </w:r>
            <w:r w:rsidRPr="0041589E">
              <w:rPr>
                <w:rStyle w:val="SpecialBold"/>
              </w:rPr>
              <w:t>rity incidents/emergencies</w:t>
            </w:r>
          </w:p>
        </w:tc>
        <w:tc>
          <w:tcPr>
            <w:tcW w:w="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2.1</w:t>
            </w:r>
          </w:p>
        </w:tc>
        <w:tc>
          <w:tcPr>
            <w:tcW w:w="51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Security incidents/emergencies are dealt with in accordance with statutory authority regulations and workplace operational procedures</w:t>
            </w:r>
          </w:p>
        </w:tc>
      </w:tr>
      <w:tr w:rsidTr="003B04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2.2</w:t>
            </w:r>
          </w:p>
        </w:tc>
        <w:tc>
          <w:tcPr>
            <w:tcW w:w="51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When reports of incidents/emergencies are communicated, the intended message is transmitted in a concise style that conforms to workplace policy</w:t>
            </w:r>
          </w:p>
        </w:tc>
      </w:tr>
      <w:tr w:rsidTr="003B04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2.3</w:t>
            </w:r>
          </w:p>
        </w:tc>
        <w:tc>
          <w:tcPr>
            <w:tcW w:w="51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Potential security risks are observed and reported in accordance with operational procedures</w:t>
            </w:r>
          </w:p>
        </w:tc>
      </w:tr>
      <w:tr w:rsidTr="003B042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1589E" w:rsidP="0041589E">
            <w:pPr>
              <w:pStyle w:val="BodyText"/>
            </w:pPr>
            <w:r w:rsidRPr="0041589E">
              <w:t>3</w:t>
            </w:r>
          </w:p>
        </w:tc>
        <w:tc>
          <w:tcPr>
            <w:tcW w:w="3000" w:type="dxa"/>
            <w:vMerge w:val="restart"/>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rPr>
                <w:rStyle w:val="SpecialBold"/>
              </w:rPr>
              <w:t>Carry ou</w:t>
            </w:r>
            <w:r w:rsidRPr="0041589E">
              <w:rPr>
                <w:rStyle w:val="SpecialBold"/>
              </w:rPr>
              <w:t>t surveillance of work areas</w:t>
            </w:r>
          </w:p>
        </w:tc>
        <w:tc>
          <w:tcPr>
            <w:tcW w:w="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3.1</w:t>
            </w:r>
          </w:p>
        </w:tc>
        <w:tc>
          <w:tcPr>
            <w:tcW w:w="51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Surveillance of work areas is carried out in accordance with workplace operational procedures and statutory authority regulations to ensure security requirements are fulfilled</w:t>
            </w:r>
          </w:p>
        </w:tc>
      </w:tr>
      <w:tr w:rsidTr="003B04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3.2</w:t>
            </w:r>
          </w:p>
        </w:tc>
        <w:tc>
          <w:tcPr>
            <w:tcW w:w="51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Equipment is checked and operated in accordance with workplace procedures and, where applicable, statutory regulations</w:t>
            </w:r>
          </w:p>
        </w:tc>
      </w:tr>
      <w:tr w:rsidTr="003B042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1589E" w:rsidP="0041589E">
            <w:pPr>
              <w:pStyle w:val="BodyText"/>
            </w:pPr>
            <w:r w:rsidRPr="0041589E">
              <w:t>4</w:t>
            </w:r>
          </w:p>
        </w:tc>
        <w:tc>
          <w:tcPr>
            <w:tcW w:w="3000" w:type="dxa"/>
            <w:vMerge w:val="restart"/>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rPr>
                <w:rStyle w:val="SpecialBold"/>
              </w:rPr>
              <w:t>Complete reports</w:t>
            </w:r>
          </w:p>
        </w:tc>
        <w:tc>
          <w:tcPr>
            <w:tcW w:w="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4.1</w:t>
            </w:r>
          </w:p>
        </w:tc>
        <w:tc>
          <w:tcPr>
            <w:tcW w:w="51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Reports of operations are completed within workplace procedures and timelines</w:t>
            </w:r>
          </w:p>
        </w:tc>
      </w:tr>
      <w:tr w:rsidTr="003B04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4.2</w:t>
            </w:r>
          </w:p>
        </w:tc>
        <w:tc>
          <w:tcPr>
            <w:tcW w:w="5100" w:type="dxa"/>
            <w:tcBorders>
              <w:top w:val="nil"/>
              <w:left w:val="nil"/>
              <w:bottom w:val="nil"/>
              <w:right w:val="nil"/>
            </w:tcBorders>
            <w:tcMar>
              <w:top w:w="0" w:type="dxa"/>
              <w:left w:w="62" w:type="dxa"/>
              <w:bottom w:w="0" w:type="dxa"/>
              <w:right w:w="62" w:type="dxa"/>
            </w:tcMar>
          </w:tcPr>
          <w:p w:rsidR="00000000" w:rsidRPr="0041589E" w:rsidP="0041589E">
            <w:pPr>
              <w:pStyle w:val="BodyText"/>
            </w:pPr>
            <w:r w:rsidRPr="0041589E">
              <w:t>Incidents or occurrences are reported to authorities and workplace personnel in writing and verbally as appropriate</w:t>
            </w:r>
          </w:p>
        </w:tc>
      </w:tr>
    </w:tbl>
    <w:p w:rsidR="00000000" w:rsidRPr="0041589E" w:rsidP="0041589E">
      <w:pPr>
        <w:pStyle w:val="BodyText"/>
      </w:pPr>
    </w:p>
    <w:p w:rsidR="00000000" w:rsidRPr="0041589E" w:rsidP="0041589E">
      <w:pPr>
        <w:pStyle w:val="AllowPageBreak"/>
      </w:pPr>
    </w:p>
    <w:p w:rsidR="00000000" w:rsidRPr="0041589E" w:rsidP="0041589E">
      <w:pPr>
        <w:pStyle w:val="Heading1"/>
      </w:pPr>
      <w:bookmarkStart w:id="9" w:name="O_317076"/>
      <w:bookmarkEnd w:id="9"/>
      <w:r w:rsidRPr="0041589E">
        <w:t>Required Skills and Knowledge</w:t>
      </w:r>
    </w:p>
    <w:tbl>
      <w:tblPr>
        <w:tblW w:w="0" w:type="auto"/>
        <w:tblLayout w:type="fixed"/>
        <w:tblCellMar>
          <w:left w:w="62" w:type="dxa"/>
          <w:right w:w="62" w:type="dxa"/>
        </w:tblCellMar>
        <w:tblLook w:val="0000"/>
      </w:tblPr>
      <w:tblGrid>
        <w:gridCol w:w="9000"/>
      </w:tblGrid>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rPr>
                <w:rStyle w:val="SpecialBold"/>
              </w:rPr>
              <w:t>REQUIRED KNOWLEDGE AND SKILLS</w:t>
            </w:r>
          </w:p>
        </w:tc>
      </w:tr>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This describes the essential knowledge and skills and their </w:t>
            </w:r>
            <w:r w:rsidRPr="0041589E">
              <w:t xml:space="preserve">level required for this unit. </w:t>
            </w:r>
          </w:p>
        </w:tc>
      </w:tr>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rPr>
                <w:rStyle w:val="SpecialBold"/>
              </w:rPr>
              <w:t>Required knowledge</w:t>
            </w:r>
            <w:r w:rsidRPr="0041589E">
              <w:t xml:space="preserve">: </w:t>
            </w:r>
          </w:p>
        </w:tc>
      </w:tr>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Relevant state and territory permit and licence regulations and requirements related to the security of cash-in-transit </w:t>
            </w:r>
          </w:p>
        </w:tc>
      </w:tr>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Relevant OH&amp;S procedures and guidelines </w:t>
            </w:r>
          </w:p>
        </w:tc>
      </w:tr>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Risks and ha</w:t>
            </w:r>
            <w:r w:rsidRPr="0041589E">
              <w:t xml:space="preserve">zards when transferring cash-in-transit and related precautions to control the risk </w:t>
            </w:r>
          </w:p>
        </w:tc>
      </w:tr>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Operational procedures for identification of security risks </w:t>
            </w:r>
          </w:p>
        </w:tc>
      </w:tr>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Details of work area, security procedures, personnel and consignment for delivery or collection </w:t>
            </w:r>
          </w:p>
        </w:tc>
      </w:tr>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Contingenc</w:t>
            </w:r>
            <w:r w:rsidRPr="0041589E">
              <w:t xml:space="preserve">y planning relating to managing and controlling security risks </w:t>
            </w:r>
          </w:p>
        </w:tc>
      </w:tr>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Requirements for approved work procedures and relevant equipment </w:t>
            </w:r>
          </w:p>
        </w:tc>
      </w:tr>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Housekeeping standards procedures required in the workplace </w:t>
            </w:r>
          </w:p>
        </w:tc>
      </w:tr>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1589E" w:rsidP="0041589E">
            <w:pPr>
              <w:pStyle w:val="BodyText"/>
            </w:pPr>
            <w:r w:rsidRPr="0041589E">
              <w:t>Typical problems that can occur when implementing cash-in-tran</w:t>
            </w:r>
            <w:r w:rsidRPr="0041589E">
              <w:t xml:space="preserve">sit security procedures and appropriate action that can be taken to prevent or solve them </w:t>
            </w:r>
          </w:p>
        </w:tc>
      </w:tr>
    </w:tbl>
    <w:p w:rsidR="00000000" w:rsidRPr="0041589E" w:rsidP="0041589E">
      <w:pPr>
        <w:pStyle w:val="BodyText"/>
      </w:pPr>
    </w:p>
    <w:tbl>
      <w:tblPr>
        <w:tblW w:w="0" w:type="auto"/>
        <w:tblLayout w:type="fixed"/>
        <w:tblCellMar>
          <w:left w:w="62" w:type="dxa"/>
          <w:right w:w="62" w:type="dxa"/>
        </w:tblCellMar>
        <w:tblLook w:val="0000"/>
      </w:tblPr>
      <w:tblGrid>
        <w:gridCol w:w="9000"/>
      </w:tblGrid>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rPr>
                <w:rStyle w:val="SpecialBold"/>
              </w:rPr>
              <w:t>Required skills</w:t>
            </w:r>
            <w:r w:rsidRPr="0041589E">
              <w:t>:</w:t>
            </w:r>
          </w:p>
        </w:tc>
      </w:tr>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Communicate effectively with others when implementing cash-in-transit security procedures </w:t>
            </w:r>
          </w:p>
        </w:tc>
      </w:tr>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Read and interpret instructions, procedures, informat</w:t>
            </w:r>
            <w:r w:rsidRPr="0041589E">
              <w:t xml:space="preserve">ion and signs relevant to cash-in-transit security procedures </w:t>
            </w:r>
          </w:p>
        </w:tc>
      </w:tr>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Interpret and follow operational instructions and prioritise work </w:t>
            </w:r>
          </w:p>
        </w:tc>
      </w:tr>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Complete documentation related to cash-in-transit security procedures </w:t>
            </w:r>
          </w:p>
        </w:tc>
      </w:tr>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Operate electronic communication equipment to required protocol </w:t>
            </w:r>
          </w:p>
        </w:tc>
      </w:tr>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Work collaboratively with others when implementing cash-in-transit security procedures </w:t>
            </w:r>
          </w:p>
        </w:tc>
      </w:tr>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Adapt appropriately to cultural differences in the workplace, including modes of behaviour and intera</w:t>
            </w:r>
            <w:r w:rsidRPr="0041589E">
              <w:t xml:space="preserve">ctions with others </w:t>
            </w:r>
          </w:p>
        </w:tc>
      </w:tr>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Promptly report and/or rectify any identified problems that may arise when implementing cash-in-transit security procedures in accordance with regulatory requirements and workplace procedures </w:t>
            </w:r>
          </w:p>
        </w:tc>
      </w:tr>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Implement contingency plans for unanticip</w:t>
            </w:r>
            <w:r w:rsidRPr="0041589E">
              <w:t xml:space="preserve">ated situations that may arise when implementing cash-in-transit security procedures </w:t>
            </w:r>
          </w:p>
        </w:tc>
      </w:tr>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Apply precautions and required action to minimise, control or eliminate hazards that may exist during work activities </w:t>
            </w:r>
          </w:p>
        </w:tc>
      </w:tr>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Apply relevant agreements, codes of practice or o</w:t>
            </w:r>
            <w:r w:rsidRPr="0041589E">
              <w:t xml:space="preserve">ther legislative requirements </w:t>
            </w:r>
          </w:p>
        </w:tc>
      </w:tr>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Plan own work including predicting consequences and identifying improvements </w:t>
            </w:r>
          </w:p>
        </w:tc>
      </w:tr>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Monitor work activities in terms of planned schedule </w:t>
            </w:r>
          </w:p>
        </w:tc>
      </w:tr>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Modify activities depending on differing operational contingencies, risk situations and en</w:t>
            </w:r>
            <w:r w:rsidRPr="0041589E">
              <w:t xml:space="preserve">vironments </w:t>
            </w:r>
          </w:p>
        </w:tc>
      </w:tr>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Work systematically with required attention to detail without injury to self or others, or damage to goods or equipment </w:t>
            </w:r>
          </w:p>
        </w:tc>
      </w:tr>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Identify and correctly use equipment, processes and procedures </w:t>
            </w:r>
          </w:p>
        </w:tc>
      </w:tr>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Adapt to differences in equipment in accordance with standard operating procedures </w:t>
            </w:r>
          </w:p>
        </w:tc>
      </w:tr>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Safely use correct manual handling techniques </w:t>
            </w:r>
          </w:p>
        </w:tc>
      </w:tr>
      <w:tr w:rsidTr="003B042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1589E" w:rsidP="0041589E">
            <w:pPr>
              <w:pStyle w:val="BodyText"/>
            </w:pPr>
            <w:r w:rsidRPr="0041589E">
              <w:t xml:space="preserve">Select and use required personal protective equipment conforming to industry and OH&amp;S standards </w:t>
            </w:r>
          </w:p>
        </w:tc>
      </w:tr>
    </w:tbl>
    <w:p w:rsidR="00000000" w:rsidRPr="0041589E" w:rsidP="0041589E">
      <w:pPr>
        <w:pStyle w:val="BodyText"/>
      </w:pPr>
    </w:p>
    <w:p w:rsidR="00000000" w:rsidRPr="0041589E" w:rsidP="0041589E">
      <w:pPr>
        <w:pStyle w:val="AllowPageBreak"/>
      </w:pPr>
    </w:p>
    <w:p w:rsidR="00000000" w:rsidRPr="0041589E" w:rsidP="0041589E">
      <w:pPr>
        <w:pStyle w:val="Heading1"/>
      </w:pPr>
      <w:bookmarkStart w:id="10" w:name="O_317075"/>
      <w:bookmarkEnd w:id="10"/>
      <w:r w:rsidRPr="0041589E">
        <w:t>Evidenc</w:t>
      </w:r>
      <w:r w:rsidRPr="0041589E">
        <w:t>e Guide</w:t>
      </w:r>
    </w:p>
    <w:tbl>
      <w:tblPr>
        <w:tblW w:w="0" w:type="auto"/>
        <w:tblLayout w:type="fixed"/>
        <w:tblCellMar>
          <w:left w:w="62" w:type="dxa"/>
          <w:right w:w="62" w:type="dxa"/>
        </w:tblCellMar>
        <w:tblLook w:val="0000"/>
      </w:tblPr>
      <w:tblGrid>
        <w:gridCol w:w="4500"/>
        <w:gridCol w:w="4500"/>
      </w:tblGrid>
      <w:tr w:rsidTr="003B042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1589E">
            <w:pPr>
              <w:pStyle w:val="BodyText"/>
              <w:rPr>
                <w:lang w:val="en-NZ"/>
              </w:rPr>
            </w:pPr>
          </w:p>
        </w:tc>
      </w:tr>
      <w:tr w:rsidTr="003B042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The evidence guide provides advice on assessment and must be read in conjunction with the performance criteria, required knowledge and skills, the range statement and the assessment guidelines for this Training Package. </w:t>
            </w:r>
          </w:p>
        </w:tc>
      </w:tr>
      <w:tr w:rsidTr="003B042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41589E" w:rsidP="0041589E">
            <w:pPr>
              <w:pStyle w:val="BodyText"/>
            </w:pPr>
            <w:r w:rsidRPr="0041589E">
              <w:t>The evidence required to demonstrate competency in this unit must be relevant to and satisfy all of the requirements of the elements and performance criteria of th</w:t>
            </w:r>
            <w:r w:rsidRPr="0041589E">
              <w:t xml:space="preserve">is unit and include demonstration of applying:   </w:t>
            </w:r>
          </w:p>
          <w:p w:rsidR="00000000" w:rsidRPr="0041589E" w:rsidP="0041589E">
            <w:pPr>
              <w:pStyle w:val="BodyText"/>
            </w:pPr>
            <w:r w:rsidRPr="0041589E">
              <w:t>the underpinning knowledge and skills</w:t>
            </w:r>
          </w:p>
          <w:p w:rsidR="00000000" w:rsidRPr="0041589E" w:rsidP="0041589E">
            <w:pPr>
              <w:pStyle w:val="BodyText"/>
            </w:pPr>
            <w:r w:rsidRPr="0041589E">
              <w:t>relevant legislation and workplace procedures</w:t>
            </w:r>
          </w:p>
          <w:p w:rsidR="00000000" w:rsidP="0041589E">
            <w:pPr>
              <w:pStyle w:val="BodyText"/>
              <w:rPr>
                <w:lang w:val="en-NZ"/>
              </w:rPr>
            </w:pPr>
            <w:r w:rsidRPr="0041589E">
              <w:t xml:space="preserve">other relevant aspects of the range statement </w:t>
            </w:r>
          </w:p>
        </w:tc>
      </w:tr>
      <w:tr w:rsidTr="003B042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41589E" w:rsidP="0041589E">
            <w:pPr>
              <w:pStyle w:val="BodyText"/>
            </w:pPr>
            <w:r w:rsidRPr="0041589E">
              <w:t>Performance is demonstrat</w:t>
            </w:r>
            <w:r w:rsidRPr="0041589E">
              <w:t>ed consistently over a period of time and in a suitable range of contexts</w:t>
            </w:r>
          </w:p>
          <w:p w:rsidR="00000000" w:rsidRPr="0041589E" w:rsidP="0041589E">
            <w:pPr>
              <w:pStyle w:val="BodyText"/>
            </w:pPr>
            <w:r w:rsidRPr="0041589E">
              <w:t xml:space="preserve">Resources for assessment include:   </w:t>
            </w:r>
          </w:p>
          <w:p w:rsidR="00000000" w:rsidRPr="0041589E" w:rsidP="0041589E">
            <w:pPr>
              <w:pStyle w:val="BodyText"/>
            </w:pPr>
            <w:r w:rsidRPr="0041589E">
              <w:t>a range of relevant exercises, case studies and other simulated practical and knowledge assessment, and/or</w:t>
            </w:r>
          </w:p>
          <w:p w:rsidR="00000000" w:rsidRPr="0041589E" w:rsidP="0041589E">
            <w:pPr>
              <w:pStyle w:val="BodyText"/>
            </w:pPr>
            <w:r w:rsidRPr="0041589E">
              <w:t>access to an appropriate range of rele</w:t>
            </w:r>
            <w:r w:rsidRPr="0041589E">
              <w:t>vant operational situations in the workplace</w:t>
            </w:r>
          </w:p>
          <w:p w:rsidR="00000000" w:rsidRPr="0041589E" w:rsidP="0041589E">
            <w:pPr>
              <w:pStyle w:val="BodyText"/>
            </w:pPr>
          </w:p>
          <w:p w:rsidR="00000000" w:rsidRPr="0041589E" w:rsidP="0041589E">
            <w:pPr>
              <w:pStyle w:val="BodyText"/>
            </w:pPr>
            <w:r w:rsidRPr="0041589E">
              <w:t xml:space="preserve">In both real and simulated environments, access is required to:     </w:t>
            </w:r>
          </w:p>
          <w:p w:rsidR="00000000" w:rsidRPr="0041589E" w:rsidP="0041589E">
            <w:pPr>
              <w:pStyle w:val="BodyText"/>
            </w:pPr>
            <w:r w:rsidRPr="0041589E">
              <w:t>relevant and appropriate materials and/or equipment, and/or</w:t>
            </w:r>
          </w:p>
          <w:p w:rsidR="00000000" w:rsidP="0041589E">
            <w:pPr>
              <w:pStyle w:val="BodyText"/>
              <w:rPr>
                <w:lang w:val="en-NZ"/>
              </w:rPr>
            </w:pPr>
            <w:r w:rsidRPr="0041589E">
              <w:t xml:space="preserve">applicable documentation including workplace procedures, regulations, codes of practice and operation manuals </w:t>
            </w:r>
          </w:p>
        </w:tc>
      </w:tr>
      <w:tr w:rsidTr="003B042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41589E" w:rsidP="0041589E">
            <w:pPr>
              <w:pStyle w:val="BodyText"/>
            </w:pPr>
            <w:r w:rsidRPr="0041589E">
              <w:t>Assessment of this unit must be undertaken by a registered training organisation</w:t>
            </w:r>
          </w:p>
          <w:p w:rsidR="00000000" w:rsidRPr="0041589E" w:rsidP="0041589E">
            <w:pPr>
              <w:pStyle w:val="BodyText"/>
            </w:pPr>
            <w:r w:rsidRPr="0041589E">
              <w:t>As a minimum, assessment of knowledge must</w:t>
            </w:r>
            <w:r w:rsidRPr="0041589E">
              <w:t xml:space="preserve"> be conducted through appropriate written/oral tests</w:t>
            </w:r>
          </w:p>
          <w:p w:rsidR="00000000" w:rsidRPr="0041589E" w:rsidP="0041589E">
            <w:pPr>
              <w:pStyle w:val="BodyText"/>
            </w:pPr>
            <w:r w:rsidRPr="0041589E">
              <w:t xml:space="preserve">Practical assessment must occur:   </w:t>
            </w:r>
          </w:p>
          <w:p w:rsidR="00000000" w:rsidRPr="0041589E" w:rsidP="0041589E">
            <w:pPr>
              <w:pStyle w:val="BodyText"/>
            </w:pPr>
            <w:r w:rsidRPr="0041589E">
              <w:t>through appropriately simulated activities at the registered training organisation, and/or</w:t>
            </w:r>
          </w:p>
          <w:p w:rsidR="00000000" w:rsidRPr="0041589E" w:rsidP="0041589E">
            <w:pPr>
              <w:pStyle w:val="BodyText"/>
            </w:pPr>
            <w:r w:rsidRPr="0041589E">
              <w:t xml:space="preserve">in an appropriate range of situations in the workplace </w:t>
            </w:r>
          </w:p>
        </w:tc>
      </w:tr>
    </w:tbl>
    <w:p w:rsidR="00000000" w:rsidRPr="0041589E" w:rsidP="0041589E">
      <w:pPr>
        <w:pStyle w:val="BodyText"/>
      </w:pPr>
    </w:p>
    <w:p w:rsidR="00000000" w:rsidRPr="0041589E" w:rsidP="0041589E">
      <w:pPr>
        <w:pStyle w:val="AllowPageBreak"/>
      </w:pPr>
    </w:p>
    <w:p w:rsidR="00000000" w:rsidRPr="0041589E" w:rsidP="0041589E">
      <w:pPr>
        <w:pStyle w:val="Heading1"/>
      </w:pPr>
      <w:bookmarkStart w:id="11" w:name="O_317074"/>
      <w:bookmarkEnd w:id="11"/>
      <w:r w:rsidRPr="0041589E">
        <w:t>R</w:t>
      </w:r>
      <w:r w:rsidRPr="0041589E">
        <w:t>ange Statement</w:t>
      </w:r>
    </w:p>
    <w:tbl>
      <w:tblPr>
        <w:tblW w:w="0" w:type="auto"/>
        <w:tblLayout w:type="fixed"/>
        <w:tblCellMar>
          <w:left w:w="62" w:type="dxa"/>
          <w:right w:w="62" w:type="dxa"/>
        </w:tblCellMar>
        <w:tblLook w:val="0000"/>
      </w:tblPr>
      <w:tblGrid>
        <w:gridCol w:w="4500"/>
        <w:gridCol w:w="4500"/>
      </w:tblGrid>
      <w:tr w:rsidTr="003B042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rPr>
                <w:rStyle w:val="SpecialBold"/>
              </w:rPr>
              <w:t>RANGE STATEMENT</w:t>
            </w:r>
          </w:p>
        </w:tc>
      </w:tr>
      <w:tr w:rsidTr="003B042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The range statement relates to the unit of competency as a whole. It allows for different work environments and situations that may affect performance. </w:t>
            </w:r>
          </w:p>
        </w:tc>
      </w:tr>
      <w:tr w:rsidTr="003B042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41589E" w:rsidP="0041589E">
            <w:pPr>
              <w:pStyle w:val="BodyText"/>
            </w:pPr>
            <w:r w:rsidRPr="0041589E">
              <w:t>in a range of work environments and weather conditions</w:t>
            </w:r>
          </w:p>
          <w:p w:rsidR="00000000" w:rsidP="0041589E">
            <w:pPr>
              <w:pStyle w:val="BodyText"/>
              <w:rPr>
                <w:lang w:val="en-NZ"/>
              </w:rPr>
            </w:pPr>
            <w:r w:rsidRPr="0041589E">
              <w:t xml:space="preserve">by day or night </w:t>
            </w:r>
          </w:p>
        </w:tc>
      </w:tr>
      <w:tr w:rsidTr="003B042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internal or external </w:t>
            </w:r>
          </w:p>
        </w:tc>
      </w:tr>
      <w:tr w:rsidTr="003B042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Security risks that may be observed and reported include: </w:t>
            </w:r>
          </w:p>
        </w:tc>
        <w:tc>
          <w:tcPr>
            <w:tcW w:w="4500" w:type="dxa"/>
            <w:tcBorders>
              <w:top w:val="nil"/>
              <w:left w:val="nil"/>
              <w:bottom w:val="nil"/>
              <w:right w:val="nil"/>
            </w:tcBorders>
            <w:tcMar>
              <w:top w:w="0" w:type="dxa"/>
              <w:left w:w="62" w:type="dxa"/>
              <w:bottom w:w="0" w:type="dxa"/>
              <w:right w:w="62" w:type="dxa"/>
            </w:tcMar>
          </w:tcPr>
          <w:p w:rsidR="00000000" w:rsidRPr="0041589E" w:rsidP="0041589E">
            <w:pPr>
              <w:pStyle w:val="BodyText"/>
            </w:pPr>
            <w:r w:rsidRPr="0041589E">
              <w:t xml:space="preserve">consignment unsealed, in unusual position, or displays evidence of being tampered </w:t>
            </w:r>
            <w:r w:rsidRPr="0041589E">
              <w:t>with</w:t>
            </w:r>
          </w:p>
          <w:p w:rsidR="00000000" w:rsidRPr="0041589E" w:rsidP="0041589E">
            <w:pPr>
              <w:pStyle w:val="BodyText"/>
            </w:pPr>
            <w:r w:rsidRPr="0041589E">
              <w:t>loose goods</w:t>
            </w:r>
          </w:p>
          <w:p w:rsidR="00000000" w:rsidRPr="0041589E" w:rsidP="0041589E">
            <w:pPr>
              <w:pStyle w:val="BodyText"/>
            </w:pPr>
            <w:r w:rsidRPr="0041589E">
              <w:t>suspicious persons or vehicles</w:t>
            </w:r>
          </w:p>
          <w:p w:rsidR="00000000" w:rsidRPr="0041589E" w:rsidP="0041589E">
            <w:pPr>
              <w:pStyle w:val="BodyText"/>
            </w:pPr>
            <w:r w:rsidRPr="0041589E">
              <w:t>changes to physical environment</w:t>
            </w:r>
          </w:p>
          <w:p w:rsidR="00000000" w:rsidRPr="0041589E" w:rsidP="0041589E">
            <w:pPr>
              <w:pStyle w:val="BodyText"/>
            </w:pPr>
            <w:r w:rsidRPr="0041589E">
              <w:t>potential fire hazards</w:t>
            </w:r>
          </w:p>
          <w:p w:rsidR="00000000" w:rsidRPr="0041589E" w:rsidP="0041589E">
            <w:pPr>
              <w:pStyle w:val="BodyText"/>
            </w:pPr>
            <w:r w:rsidRPr="0041589E">
              <w:t>consignment subject to inclement weather</w:t>
            </w:r>
          </w:p>
          <w:p w:rsidR="00000000" w:rsidRPr="0041589E" w:rsidP="0041589E">
            <w:pPr>
              <w:pStyle w:val="BodyText"/>
            </w:pPr>
            <w:r w:rsidRPr="0041589E">
              <w:t>inappropriate security maintenance requirements</w:t>
            </w:r>
          </w:p>
          <w:p w:rsidR="00000000" w:rsidP="0041589E">
            <w:pPr>
              <w:pStyle w:val="BodyText"/>
              <w:rPr>
                <w:lang w:val="en-NZ"/>
              </w:rPr>
            </w:pPr>
            <w:r w:rsidRPr="0041589E">
              <w:t xml:space="preserve">possible breakdown in security procedures </w:t>
            </w:r>
          </w:p>
        </w:tc>
      </w:tr>
      <w:tr w:rsidTr="003B042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Security requirements covered by surveillance activities may include: </w:t>
            </w:r>
          </w:p>
        </w:tc>
        <w:tc>
          <w:tcPr>
            <w:tcW w:w="4500" w:type="dxa"/>
            <w:tcBorders>
              <w:top w:val="nil"/>
              <w:left w:val="nil"/>
              <w:bottom w:val="nil"/>
              <w:right w:val="nil"/>
            </w:tcBorders>
            <w:tcMar>
              <w:top w:w="0" w:type="dxa"/>
              <w:left w:w="62" w:type="dxa"/>
              <w:bottom w:w="0" w:type="dxa"/>
              <w:right w:w="62" w:type="dxa"/>
            </w:tcMar>
          </w:tcPr>
          <w:p w:rsidR="00000000" w:rsidRPr="0041589E" w:rsidP="0041589E">
            <w:pPr>
              <w:pStyle w:val="BodyText"/>
            </w:pPr>
            <w:r w:rsidRPr="0041589E">
              <w:t>clients are appropriately protected</w:t>
            </w:r>
          </w:p>
          <w:p w:rsidR="00000000" w:rsidRPr="0041589E" w:rsidP="0041589E">
            <w:pPr>
              <w:pStyle w:val="BodyText"/>
            </w:pPr>
            <w:r w:rsidRPr="0041589E">
              <w:t>buildings, pavement routes, exits, entrances, thoroughfares and vehicles are secured</w:t>
            </w:r>
          </w:p>
          <w:p w:rsidR="00000000" w:rsidRPr="0041589E" w:rsidP="0041589E">
            <w:pPr>
              <w:pStyle w:val="BodyText"/>
            </w:pPr>
            <w:r w:rsidRPr="0041589E">
              <w:t>personnel and vehicles have been checked for authorisation to be</w:t>
            </w:r>
            <w:r w:rsidRPr="0041589E">
              <w:t xml:space="preserve"> in secured area</w:t>
            </w:r>
          </w:p>
          <w:p w:rsidR="00000000" w:rsidRPr="0041589E" w:rsidP="0041589E">
            <w:pPr>
              <w:pStyle w:val="BodyText"/>
            </w:pPr>
            <w:r w:rsidRPr="0041589E">
              <w:t>storage areas are secured</w:t>
            </w:r>
          </w:p>
          <w:p w:rsidR="00000000" w:rsidP="0041589E">
            <w:pPr>
              <w:pStyle w:val="BodyText"/>
              <w:rPr>
                <w:lang w:val="en-NZ"/>
              </w:rPr>
            </w:pPr>
            <w:r w:rsidRPr="0041589E">
              <w:t xml:space="preserve">consignment is secured </w:t>
            </w:r>
          </w:p>
        </w:tc>
      </w:tr>
      <w:tr w:rsidTr="003B042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Security arrangements may be: </w:t>
            </w:r>
          </w:p>
        </w:tc>
        <w:tc>
          <w:tcPr>
            <w:tcW w:w="4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routine or established for particular purposes </w:t>
            </w:r>
          </w:p>
        </w:tc>
      </w:tr>
      <w:tr w:rsidTr="003B042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Reporting may be: </w:t>
            </w:r>
          </w:p>
        </w:tc>
        <w:tc>
          <w:tcPr>
            <w:tcW w:w="4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verbally or in writing </w:t>
            </w:r>
          </w:p>
        </w:tc>
      </w:tr>
      <w:tr w:rsidTr="003B042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Hazards may include: </w:t>
            </w:r>
          </w:p>
        </w:tc>
        <w:tc>
          <w:tcPr>
            <w:tcW w:w="4500" w:type="dxa"/>
            <w:tcBorders>
              <w:top w:val="nil"/>
              <w:left w:val="nil"/>
              <w:bottom w:val="nil"/>
              <w:right w:val="nil"/>
            </w:tcBorders>
            <w:tcMar>
              <w:top w:w="0" w:type="dxa"/>
              <w:left w:w="62" w:type="dxa"/>
              <w:bottom w:w="0" w:type="dxa"/>
              <w:right w:w="62" w:type="dxa"/>
            </w:tcMar>
          </w:tcPr>
          <w:p w:rsidR="00000000" w:rsidRPr="0041589E" w:rsidP="0041589E">
            <w:pPr>
              <w:pStyle w:val="BodyText"/>
            </w:pPr>
            <w:r w:rsidRPr="0041589E">
              <w:t>vehicular and pedestrian traffic</w:t>
            </w:r>
          </w:p>
          <w:p w:rsidR="00000000" w:rsidRPr="0041589E" w:rsidP="0041589E">
            <w:pPr>
              <w:pStyle w:val="BodyText"/>
            </w:pPr>
            <w:r w:rsidRPr="0041589E">
              <w:t>firearm h</w:t>
            </w:r>
            <w:r w:rsidRPr="0041589E">
              <w:t>andling</w:t>
            </w:r>
          </w:p>
          <w:p w:rsidR="00000000" w:rsidRPr="0041589E" w:rsidP="0041589E">
            <w:pPr>
              <w:pStyle w:val="BodyText"/>
            </w:pPr>
            <w:r w:rsidRPr="0041589E">
              <w:t>persons with felonious intent</w:t>
            </w:r>
          </w:p>
          <w:p w:rsidR="00000000" w:rsidRPr="0041589E" w:rsidP="0041589E">
            <w:pPr>
              <w:pStyle w:val="BodyText"/>
            </w:pPr>
            <w:r w:rsidRPr="0041589E">
              <w:t>uneven ground, steps, road surfaces</w:t>
            </w:r>
          </w:p>
          <w:p w:rsidR="00000000" w:rsidRPr="0041589E" w:rsidP="0041589E">
            <w:pPr>
              <w:pStyle w:val="BodyText"/>
            </w:pPr>
            <w:r w:rsidRPr="0041589E">
              <w:t>dust and vapours</w:t>
            </w:r>
          </w:p>
          <w:p w:rsidR="00000000" w:rsidRPr="0041589E" w:rsidP="0041589E">
            <w:pPr>
              <w:pStyle w:val="BodyText"/>
            </w:pPr>
            <w:r w:rsidRPr="0041589E">
              <w:t>hazardous or dangerous materials</w:t>
            </w:r>
          </w:p>
          <w:p w:rsidR="00000000" w:rsidP="0041589E">
            <w:pPr>
              <w:pStyle w:val="BodyText"/>
              <w:rPr>
                <w:lang w:val="en-NZ"/>
              </w:rPr>
            </w:pPr>
            <w:r w:rsidRPr="0041589E">
              <w:t xml:space="preserve">humidity, air temperature </w:t>
            </w:r>
          </w:p>
        </w:tc>
      </w:tr>
      <w:tr w:rsidTr="003B042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Consignment risk may include: </w:t>
            </w:r>
          </w:p>
        </w:tc>
        <w:tc>
          <w:tcPr>
            <w:tcW w:w="4500" w:type="dxa"/>
            <w:tcBorders>
              <w:top w:val="nil"/>
              <w:left w:val="nil"/>
              <w:bottom w:val="nil"/>
              <w:right w:val="nil"/>
            </w:tcBorders>
            <w:tcMar>
              <w:top w:w="0" w:type="dxa"/>
              <w:left w:w="62" w:type="dxa"/>
              <w:bottom w:w="0" w:type="dxa"/>
              <w:right w:w="62" w:type="dxa"/>
            </w:tcMar>
          </w:tcPr>
          <w:p w:rsidR="00000000" w:rsidRPr="0041589E" w:rsidP="0041589E">
            <w:pPr>
              <w:pStyle w:val="BodyText"/>
            </w:pPr>
            <w:r w:rsidRPr="0041589E">
              <w:t>staff fidelity</w:t>
            </w:r>
          </w:p>
          <w:p w:rsidR="00000000" w:rsidRPr="0041589E" w:rsidP="0041589E">
            <w:pPr>
              <w:pStyle w:val="BodyText"/>
            </w:pPr>
            <w:r w:rsidRPr="0041589E">
              <w:t>other theft</w:t>
            </w:r>
          </w:p>
          <w:p w:rsidR="00000000" w:rsidP="0041589E">
            <w:pPr>
              <w:pStyle w:val="BodyText"/>
              <w:rPr>
                <w:lang w:val="en-NZ"/>
              </w:rPr>
            </w:pPr>
            <w:r w:rsidRPr="0041589E">
              <w:t xml:space="preserve">loss through negligence </w:t>
            </w:r>
          </w:p>
        </w:tc>
      </w:tr>
      <w:tr w:rsidTr="003B042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41589E" w:rsidP="0041589E">
            <w:pPr>
              <w:pStyle w:val="BodyText"/>
            </w:pPr>
            <w:r w:rsidRPr="0041589E">
              <w:t>clients</w:t>
            </w:r>
          </w:p>
          <w:p w:rsidR="00000000" w:rsidRPr="0041589E" w:rsidP="0041589E">
            <w:pPr>
              <w:pStyle w:val="BodyText"/>
            </w:pPr>
            <w:r w:rsidRPr="0041589E">
              <w:t>private security personnel</w:t>
            </w:r>
          </w:p>
          <w:p w:rsidR="00000000" w:rsidRPr="0041589E" w:rsidP="0041589E">
            <w:pPr>
              <w:pStyle w:val="BodyText"/>
            </w:pPr>
            <w:r w:rsidRPr="0041589E">
              <w:t>public sector security personnel</w:t>
            </w:r>
          </w:p>
          <w:p w:rsidR="00000000" w:rsidRPr="0041589E" w:rsidP="0041589E">
            <w:pPr>
              <w:pStyle w:val="BodyText"/>
            </w:pPr>
            <w:r w:rsidRPr="0041589E">
              <w:t>police</w:t>
            </w:r>
          </w:p>
          <w:p w:rsidR="00000000" w:rsidRPr="0041589E" w:rsidP="0041589E">
            <w:pPr>
              <w:pStyle w:val="BodyText"/>
            </w:pPr>
            <w:r w:rsidRPr="0041589E">
              <w:t>security consultants</w:t>
            </w:r>
          </w:p>
          <w:p w:rsidR="00000000" w:rsidRPr="0041589E" w:rsidP="0041589E">
            <w:pPr>
              <w:pStyle w:val="BodyText"/>
            </w:pPr>
            <w:r w:rsidRPr="0041589E">
              <w:t>other employees and supervisors</w:t>
            </w:r>
          </w:p>
          <w:p w:rsidR="00000000" w:rsidRPr="0041589E" w:rsidP="0041589E">
            <w:pPr>
              <w:pStyle w:val="BodyText"/>
            </w:pPr>
            <w:r w:rsidRPr="0041589E">
              <w:t>management</w:t>
            </w:r>
          </w:p>
          <w:p w:rsidR="00000000" w:rsidRPr="0041589E" w:rsidP="0041589E">
            <w:pPr>
              <w:pStyle w:val="BodyText"/>
            </w:pPr>
            <w:r w:rsidRPr="0041589E">
              <w:t>union representatives</w:t>
            </w:r>
          </w:p>
          <w:p w:rsidR="00000000" w:rsidRPr="0041589E" w:rsidP="0041589E">
            <w:pPr>
              <w:pStyle w:val="BodyText"/>
            </w:pPr>
            <w:r w:rsidRPr="0041589E">
              <w:t>industrial relations and OH&amp;S specialists</w:t>
            </w:r>
          </w:p>
          <w:p w:rsidR="00000000" w:rsidP="0041589E">
            <w:pPr>
              <w:pStyle w:val="BodyText"/>
              <w:rPr>
                <w:lang w:val="en-NZ"/>
              </w:rPr>
            </w:pPr>
            <w:r w:rsidRPr="0041589E">
              <w:t>other profession</w:t>
            </w:r>
            <w:r w:rsidRPr="0041589E">
              <w:t xml:space="preserve">al or technical staff </w:t>
            </w:r>
          </w:p>
        </w:tc>
      </w:tr>
      <w:tr w:rsidTr="003B042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41589E" w:rsidP="0041589E">
            <w:pPr>
              <w:pStyle w:val="BodyText"/>
            </w:pPr>
            <w:r w:rsidRPr="0041589E">
              <w:t>mobile and fixed phones</w:t>
            </w:r>
          </w:p>
          <w:p w:rsidR="00000000" w:rsidRPr="0041589E" w:rsidP="0041589E">
            <w:pPr>
              <w:pStyle w:val="BodyText"/>
            </w:pPr>
            <w:r w:rsidRPr="0041589E">
              <w:t>radio</w:t>
            </w:r>
          </w:p>
          <w:p w:rsidR="00000000" w:rsidP="0041589E">
            <w:pPr>
              <w:pStyle w:val="BodyText"/>
              <w:rPr>
                <w:lang w:val="en-NZ"/>
              </w:rPr>
            </w:pPr>
            <w:r w:rsidRPr="0041589E">
              <w:t xml:space="preserve">oral, aural or signed communications </w:t>
            </w:r>
          </w:p>
        </w:tc>
      </w:tr>
      <w:tr w:rsidTr="003B042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Security systems/devices may include: </w:t>
            </w:r>
          </w:p>
        </w:tc>
        <w:tc>
          <w:tcPr>
            <w:tcW w:w="4500" w:type="dxa"/>
            <w:tcBorders>
              <w:top w:val="nil"/>
              <w:left w:val="nil"/>
              <w:bottom w:val="nil"/>
              <w:right w:val="nil"/>
            </w:tcBorders>
            <w:tcMar>
              <w:top w:w="0" w:type="dxa"/>
              <w:left w:w="62" w:type="dxa"/>
              <w:bottom w:w="0" w:type="dxa"/>
              <w:right w:w="62" w:type="dxa"/>
            </w:tcMar>
          </w:tcPr>
          <w:p w:rsidR="00000000" w:rsidRPr="0041589E" w:rsidP="0041589E">
            <w:pPr>
              <w:pStyle w:val="BodyText"/>
            </w:pPr>
            <w:r w:rsidRPr="0041589E">
              <w:t>two key safes</w:t>
            </w:r>
          </w:p>
          <w:p w:rsidR="00000000" w:rsidRPr="0041589E" w:rsidP="0041589E">
            <w:pPr>
              <w:pStyle w:val="BodyText"/>
            </w:pPr>
            <w:r w:rsidRPr="0041589E">
              <w:t>ATM vaults</w:t>
            </w:r>
          </w:p>
          <w:p w:rsidR="00000000" w:rsidRPr="0041589E" w:rsidP="0041589E">
            <w:pPr>
              <w:pStyle w:val="BodyText"/>
            </w:pPr>
            <w:r w:rsidRPr="0041589E">
              <w:t>surveillance cameras</w:t>
            </w:r>
          </w:p>
          <w:p w:rsidR="00000000" w:rsidRPr="0041589E" w:rsidP="0041589E">
            <w:pPr>
              <w:pStyle w:val="BodyText"/>
            </w:pPr>
            <w:r w:rsidRPr="0041589E">
              <w:t>VCRs</w:t>
            </w:r>
          </w:p>
          <w:p w:rsidR="00000000" w:rsidRPr="0041589E" w:rsidP="0041589E">
            <w:pPr>
              <w:pStyle w:val="BodyText"/>
            </w:pPr>
            <w:r w:rsidRPr="0041589E">
              <w:t>alarm systems</w:t>
            </w:r>
          </w:p>
          <w:p w:rsidR="00000000" w:rsidRPr="0041589E" w:rsidP="0041589E">
            <w:pPr>
              <w:pStyle w:val="BodyText"/>
            </w:pPr>
            <w:r w:rsidRPr="0041589E">
              <w:t>access control systems</w:t>
            </w:r>
          </w:p>
          <w:p w:rsidR="00000000" w:rsidP="0041589E">
            <w:pPr>
              <w:pStyle w:val="BodyText"/>
              <w:rPr>
                <w:lang w:val="en-NZ"/>
              </w:rPr>
            </w:pPr>
            <w:r w:rsidRPr="0041589E">
              <w:t xml:space="preserve">time delay devices </w:t>
            </w:r>
          </w:p>
        </w:tc>
      </w:tr>
      <w:tr w:rsidTr="003B042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41589E" w:rsidP="0041589E">
            <w:pPr>
              <w:pStyle w:val="BodyText"/>
            </w:pPr>
            <w:r w:rsidRPr="0041589E">
              <w:t>company procedures</w:t>
            </w:r>
          </w:p>
          <w:p w:rsidR="00000000" w:rsidRPr="0041589E" w:rsidP="0041589E">
            <w:pPr>
              <w:pStyle w:val="BodyText"/>
            </w:pPr>
            <w:r w:rsidRPr="0041589E">
              <w:t>enterprise procedures</w:t>
            </w:r>
          </w:p>
          <w:p w:rsidR="00000000" w:rsidRPr="0041589E" w:rsidP="0041589E">
            <w:pPr>
              <w:pStyle w:val="BodyText"/>
            </w:pPr>
            <w:r w:rsidRPr="0041589E">
              <w:t>organisational procedures</w:t>
            </w:r>
          </w:p>
          <w:p w:rsidR="00000000" w:rsidP="0041589E">
            <w:pPr>
              <w:pStyle w:val="BodyText"/>
              <w:rPr>
                <w:lang w:val="en-NZ"/>
              </w:rPr>
            </w:pPr>
            <w:r w:rsidRPr="0041589E">
              <w:t xml:space="preserve">established procedures </w:t>
            </w:r>
          </w:p>
        </w:tc>
      </w:tr>
      <w:tr w:rsidTr="003B042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Perso</w:t>
            </w:r>
            <w:r w:rsidRPr="0041589E">
              <w:t xml:space="preserve">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41589E" w:rsidP="0041589E">
            <w:pPr>
              <w:pStyle w:val="BodyText"/>
            </w:pPr>
            <w:r w:rsidRPr="0041589E">
              <w:t>gloves</w:t>
            </w:r>
          </w:p>
          <w:p w:rsidR="00000000" w:rsidRPr="0041589E" w:rsidP="0041589E">
            <w:pPr>
              <w:pStyle w:val="BodyText"/>
            </w:pPr>
            <w:r w:rsidRPr="0041589E">
              <w:t>safety headwear and footwear</w:t>
            </w:r>
          </w:p>
          <w:p w:rsidR="00000000" w:rsidRPr="0041589E" w:rsidP="0041589E">
            <w:pPr>
              <w:pStyle w:val="BodyText"/>
            </w:pPr>
            <w:r w:rsidRPr="0041589E">
              <w:t>firearms</w:t>
            </w:r>
          </w:p>
          <w:p w:rsidR="00000000" w:rsidP="0041589E">
            <w:pPr>
              <w:pStyle w:val="BodyText"/>
              <w:rPr>
                <w:lang w:val="en-NZ"/>
              </w:rPr>
            </w:pPr>
            <w:r w:rsidRPr="0041589E">
              <w:t xml:space="preserve">two-way radios </w:t>
            </w:r>
          </w:p>
        </w:tc>
      </w:tr>
      <w:tr w:rsidTr="003B042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41589E" w:rsidP="0041589E">
            <w:pPr>
              <w:pStyle w:val="BodyText"/>
            </w:pPr>
            <w:r w:rsidRPr="0041589E">
              <w:t>workplace procedures and policies</w:t>
            </w:r>
          </w:p>
          <w:p w:rsidR="00000000" w:rsidRPr="0041589E" w:rsidP="0041589E">
            <w:pPr>
              <w:pStyle w:val="BodyText"/>
            </w:pPr>
            <w:r w:rsidRPr="0041589E">
              <w:t>operations manuals and job specifications</w:t>
            </w:r>
          </w:p>
          <w:p w:rsidR="00000000" w:rsidRPr="0041589E" w:rsidP="0041589E">
            <w:pPr>
              <w:pStyle w:val="BodyText"/>
            </w:pPr>
            <w:r w:rsidRPr="0041589E">
              <w:t>relevant manufacturers specifications</w:t>
            </w:r>
          </w:p>
          <w:p w:rsidR="00000000" w:rsidRPr="0041589E" w:rsidP="0041589E">
            <w:pPr>
              <w:pStyle w:val="BodyText"/>
            </w:pPr>
            <w:r w:rsidRPr="0041589E">
              <w:t>competency standards and training materials</w:t>
            </w:r>
          </w:p>
          <w:p w:rsidR="00000000" w:rsidRPr="0041589E" w:rsidP="0041589E">
            <w:pPr>
              <w:pStyle w:val="BodyText"/>
            </w:pPr>
            <w:r w:rsidRPr="0041589E">
              <w:t>supplier and/or client instructions</w:t>
            </w:r>
          </w:p>
          <w:p w:rsidR="00000000" w:rsidRPr="0041589E" w:rsidP="0041589E">
            <w:pPr>
              <w:pStyle w:val="BodyText"/>
            </w:pPr>
            <w:r w:rsidRPr="0041589E">
              <w:t>material safety data sheets</w:t>
            </w:r>
          </w:p>
          <w:p w:rsidR="00000000" w:rsidRPr="0041589E" w:rsidP="0041589E">
            <w:pPr>
              <w:pStyle w:val="BodyText"/>
            </w:pPr>
            <w:r w:rsidRPr="0041589E">
              <w:t>codes of practice including the National Standards for Manual Handling and the Industry Safety Code</w:t>
            </w:r>
          </w:p>
          <w:p w:rsidR="00000000" w:rsidRPr="0041589E" w:rsidP="0041589E">
            <w:pPr>
              <w:pStyle w:val="BodyText"/>
            </w:pPr>
            <w:r w:rsidRPr="0041589E">
              <w:t>award, enterprise bargaining agreement, other in</w:t>
            </w:r>
            <w:r w:rsidRPr="0041589E">
              <w:t>dustrial arrangements</w:t>
            </w:r>
          </w:p>
          <w:p w:rsidR="00000000" w:rsidRPr="0041589E" w:rsidP="0041589E">
            <w:pPr>
              <w:pStyle w:val="BodyText"/>
            </w:pPr>
            <w:r w:rsidRPr="0041589E">
              <w:t>standards and certification requirements</w:t>
            </w:r>
          </w:p>
          <w:p w:rsidR="00000000" w:rsidRPr="0041589E" w:rsidP="0041589E">
            <w:pPr>
              <w:pStyle w:val="BodyText"/>
            </w:pPr>
            <w:r w:rsidRPr="0041589E">
              <w:t>quality assurance procedures</w:t>
            </w:r>
          </w:p>
          <w:p w:rsidR="00000000" w:rsidP="0041589E">
            <w:pPr>
              <w:pStyle w:val="BodyText"/>
              <w:rPr>
                <w:lang w:val="en-NZ"/>
              </w:rPr>
            </w:pPr>
            <w:r w:rsidRPr="0041589E">
              <w:t xml:space="preserve">emergency procedures </w:t>
            </w:r>
          </w:p>
        </w:tc>
      </w:tr>
      <w:tr w:rsidTr="003B042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589E">
            <w:pPr>
              <w:pStyle w:val="BodyText"/>
              <w:rPr>
                <w:lang w:val="en-NZ"/>
              </w:rPr>
            </w:pPr>
            <w:r w:rsidRPr="0041589E">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41589E" w:rsidP="0041589E">
            <w:pPr>
              <w:pStyle w:val="BodyText"/>
            </w:pPr>
            <w:r w:rsidRPr="0041589E">
              <w:t>state/territory OH&amp;S regulations and legislation, including manual handling regulations</w:t>
            </w:r>
          </w:p>
          <w:p w:rsidR="00000000" w:rsidRPr="0041589E" w:rsidP="0041589E">
            <w:pPr>
              <w:pStyle w:val="BodyText"/>
            </w:pPr>
            <w:r w:rsidRPr="0041589E">
              <w:t>relevant Australian Standards and certification requirements</w:t>
            </w:r>
          </w:p>
          <w:p w:rsidR="00000000" w:rsidRPr="0041589E" w:rsidP="0041589E">
            <w:pPr>
              <w:pStyle w:val="BodyText"/>
            </w:pPr>
            <w:r w:rsidRPr="0041589E">
              <w:t>relevant state/territory privacy legislation</w:t>
            </w:r>
          </w:p>
          <w:p w:rsidR="00000000" w:rsidRPr="0041589E" w:rsidP="0041589E">
            <w:pPr>
              <w:pStyle w:val="BodyText"/>
            </w:pPr>
            <w:r w:rsidRPr="0041589E">
              <w:t>relevant state/territory firearms legislation</w:t>
            </w:r>
          </w:p>
          <w:p w:rsidR="00000000" w:rsidRPr="0041589E" w:rsidP="0041589E">
            <w:pPr>
              <w:pStyle w:val="BodyText"/>
            </w:pPr>
            <w:r w:rsidRPr="0041589E">
              <w:t>licensing and permits for firearms and security occupations</w:t>
            </w:r>
          </w:p>
          <w:p w:rsidR="00000000" w:rsidRPr="0041589E" w:rsidP="0041589E">
            <w:pPr>
              <w:pStyle w:val="BodyText"/>
            </w:pPr>
            <w:r w:rsidRPr="0041589E">
              <w:t>licensing requirements for driving and carry</w:t>
            </w:r>
            <w:r w:rsidRPr="0041589E">
              <w:t>ing particular classes of goods</w:t>
            </w:r>
          </w:p>
          <w:p w:rsidR="00000000" w:rsidRPr="0041589E" w:rsidP="0041589E">
            <w:pPr>
              <w:pStyle w:val="BodyText"/>
            </w:pPr>
            <w:r w:rsidRPr="0041589E">
              <w:t xml:space="preserve">relevant state/territory road rules and traffic acts </w:t>
            </w:r>
          </w:p>
        </w:tc>
      </w:tr>
    </w:tbl>
    <w:p w:rsidR="00000000" w:rsidRPr="0041589E" w:rsidP="0041589E">
      <w:pPr>
        <w:pStyle w:val="BodyText"/>
      </w:pPr>
    </w:p>
    <w:p w:rsidR="00000000" w:rsidRPr="0041589E" w:rsidP="0041589E">
      <w:pPr>
        <w:pStyle w:val="AllowPageBreak"/>
      </w:pPr>
    </w:p>
    <w:p w:rsidR="00000000" w:rsidRPr="0041589E" w:rsidP="0041589E">
      <w:pPr>
        <w:pStyle w:val="Heading1"/>
      </w:pPr>
      <w:bookmarkStart w:id="12" w:name="O_317073"/>
      <w:bookmarkEnd w:id="12"/>
      <w:r w:rsidRPr="0041589E">
        <w:t>Unit Sector(s)</w:t>
      </w:r>
    </w:p>
    <w:p w:rsidR="00000000" w:rsidRPr="0041589E" w:rsidP="0041589E">
      <w:pPr>
        <w:pStyle w:val="BodyText"/>
      </w:pPr>
      <w:r w:rsidRPr="0041589E">
        <w:t>Not applicable.</w:t>
      </w:r>
    </w:p>
    <w:p w:rsidR="00000000" w:rsidRPr="0041589E" w:rsidP="0041589E">
      <w:pPr>
        <w:pStyle w:val="AllowPageBreak"/>
      </w:pPr>
    </w:p>
    <w:p w:rsidR="00000000" w:rsidRPr="0041589E" w:rsidP="0041589E">
      <w:pPr>
        <w:pStyle w:val="Heading1"/>
      </w:pPr>
      <w:bookmarkStart w:id="13" w:name="O_317072"/>
      <w:bookmarkEnd w:id="13"/>
      <w:r w:rsidRPr="0041589E">
        <w:t xml:space="preserve">Competency Field </w:t>
      </w:r>
    </w:p>
    <w:p w:rsidR="00000000" w:rsidRPr="0041589E" w:rsidP="0041589E">
      <w:pPr>
        <w:pStyle w:val="BodyText"/>
      </w:pPr>
      <w:r w:rsidRPr="0041589E">
        <w:t>O - Security</w:t>
      </w:r>
    </w:p>
    <w:p w:rsidR="00000000" w:rsidRPr="0041589E" w:rsidP="0041589E"/>
    <w:sectPr w:rsidSect="004158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8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0429" w:rsidP="003B04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8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429" w:rsidP="004158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B0429" w:rsidP="004158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B0429" w:rsidP="004158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8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0429" w:rsidP="003B04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8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429" w:rsidP="0041589E">
    <w:pPr>
      <w:pStyle w:val="Header"/>
      <w:framePr w:wrap="around"/>
    </w:pPr>
    <w:r>
      <w:fldChar w:fldCharType="begin"/>
    </w:r>
    <w:r>
      <w:instrText xml:space="preserve"> TITLE   \* MERGEFORMAT </w:instrText>
    </w:r>
    <w:r>
      <w:fldChar w:fldCharType="separate"/>
    </w:r>
    <w:r>
      <w:t>TLIO807C Implement cash-in-transit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0429" w:rsidP="004158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8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589E"/>
    <w:pPr>
      <w:spacing w:before="360" w:after="60"/>
      <w:outlineLvl w:val="0"/>
    </w:pPr>
    <w:rPr>
      <w:sz w:val="32"/>
    </w:rPr>
  </w:style>
  <w:style w:type="paragraph" w:styleId="Heading2">
    <w:name w:val="heading 2"/>
    <w:basedOn w:val="HeadingBase"/>
    <w:next w:val="BodyText"/>
    <w:link w:val="Heading2Char"/>
    <w:qFormat/>
    <w:rsid w:val="0041589E"/>
    <w:pPr>
      <w:keepLines/>
      <w:spacing w:before="240" w:after="120"/>
      <w:outlineLvl w:val="1"/>
    </w:pPr>
    <w:rPr>
      <w:sz w:val="28"/>
      <w:szCs w:val="40"/>
    </w:rPr>
  </w:style>
  <w:style w:type="paragraph" w:styleId="Heading3">
    <w:name w:val="heading 3"/>
    <w:basedOn w:val="HeadingBase"/>
    <w:next w:val="BodyText"/>
    <w:link w:val="Heading3Char"/>
    <w:qFormat/>
    <w:rsid w:val="0041589E"/>
    <w:pPr>
      <w:spacing w:before="180" w:after="120"/>
      <w:outlineLvl w:val="2"/>
    </w:pPr>
    <w:rPr>
      <w:spacing w:val="-10"/>
      <w:kern w:val="32"/>
    </w:rPr>
  </w:style>
  <w:style w:type="paragraph" w:styleId="Heading4">
    <w:name w:val="heading 4"/>
    <w:basedOn w:val="HeadingBase"/>
    <w:next w:val="BodyText"/>
    <w:link w:val="Heading4Char"/>
    <w:qFormat/>
    <w:rsid w:val="0041589E"/>
    <w:pPr>
      <w:spacing w:before="160" w:after="120"/>
      <w:outlineLvl w:val="3"/>
    </w:pPr>
    <w:rPr>
      <w:sz w:val="22"/>
    </w:rPr>
  </w:style>
  <w:style w:type="paragraph" w:styleId="Heading5">
    <w:name w:val="heading 5"/>
    <w:basedOn w:val="HeadingBase"/>
    <w:next w:val="Normal"/>
    <w:link w:val="Heading5Char"/>
    <w:qFormat/>
    <w:rsid w:val="0041589E"/>
    <w:pPr>
      <w:spacing w:before="80"/>
      <w:outlineLvl w:val="4"/>
    </w:pPr>
    <w:rPr>
      <w:color w:val="918585"/>
      <w:sz w:val="20"/>
    </w:rPr>
  </w:style>
  <w:style w:type="paragraph" w:styleId="Heading6">
    <w:name w:val="heading 6"/>
    <w:basedOn w:val="HeadingBase"/>
    <w:next w:val="Normal"/>
    <w:link w:val="Heading6Char"/>
    <w:qFormat/>
    <w:rsid w:val="0041589E"/>
    <w:pPr>
      <w:spacing w:before="60"/>
      <w:outlineLvl w:val="5"/>
    </w:pPr>
    <w:rPr>
      <w:color w:val="918585"/>
      <w:sz w:val="20"/>
    </w:rPr>
  </w:style>
  <w:style w:type="paragraph" w:styleId="Heading7">
    <w:name w:val="heading 7"/>
    <w:basedOn w:val="Normal"/>
    <w:next w:val="Normal"/>
    <w:link w:val="Heading7Char"/>
    <w:qFormat/>
    <w:rsid w:val="0041589E"/>
    <w:pPr>
      <w:ind w:left="720"/>
      <w:outlineLvl w:val="6"/>
    </w:pPr>
    <w:rPr>
      <w:i/>
    </w:rPr>
  </w:style>
  <w:style w:type="paragraph" w:styleId="Heading8">
    <w:name w:val="heading 8"/>
    <w:basedOn w:val="Normal"/>
    <w:next w:val="Normal"/>
    <w:link w:val="Heading8Char"/>
    <w:qFormat/>
    <w:rsid w:val="0041589E"/>
    <w:pPr>
      <w:ind w:left="720"/>
      <w:outlineLvl w:val="7"/>
    </w:pPr>
    <w:rPr>
      <w:i/>
    </w:rPr>
  </w:style>
  <w:style w:type="paragraph" w:styleId="Heading9">
    <w:name w:val="heading 9"/>
    <w:basedOn w:val="Normal"/>
    <w:next w:val="Normal"/>
    <w:link w:val="Heading9Char"/>
    <w:qFormat/>
    <w:rsid w:val="0041589E"/>
    <w:pPr>
      <w:ind w:left="720"/>
      <w:outlineLvl w:val="8"/>
    </w:pPr>
    <w:rPr>
      <w:i/>
    </w:rPr>
  </w:style>
  <w:style w:type="character" w:default="1" w:styleId="DefaultParagraphFont">
    <w:name w:val="Default Paragraph Font"/>
    <w:uiPriority w:val="1"/>
    <w:unhideWhenUsed/>
    <w:rsid w:val="004158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589E"/>
  </w:style>
  <w:style w:type="character" w:customStyle="1" w:styleId="Heading1Char">
    <w:name w:val="Heading 1 Char"/>
    <w:basedOn w:val="DefaultParagraphFont"/>
    <w:link w:val="Heading1"/>
    <w:rsid w:val="0041589E"/>
    <w:rPr>
      <w:rFonts w:ascii="Times New Roman" w:eastAsia="Times New Roman" w:hAnsi="Times New Roman" w:cs="Times New Roman"/>
      <w:b/>
      <w:sz w:val="32"/>
      <w:szCs w:val="20"/>
      <w:lang w:eastAsia="en-US"/>
    </w:rPr>
  </w:style>
  <w:style w:type="paragraph" w:styleId="BodyText">
    <w:name w:val="Body Text"/>
    <w:basedOn w:val="Normal"/>
    <w:link w:val="BodyTextChar"/>
    <w:rsid w:val="004158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589E"/>
    <w:rPr>
      <w:rFonts w:ascii="Times New Roman" w:eastAsia="Times New Roman" w:hAnsi="Times New Roman" w:cs="Times New Roman"/>
      <w:sz w:val="24"/>
      <w:lang w:val="en-US" w:eastAsia="en-US"/>
    </w:rPr>
  </w:style>
  <w:style w:type="paragraph" w:styleId="Footer">
    <w:name w:val="footer"/>
    <w:basedOn w:val="Normal"/>
    <w:link w:val="FooterChar"/>
    <w:rsid w:val="004158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589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1589E"/>
    <w:rPr>
      <w:b/>
      <w:spacing w:val="0"/>
    </w:rPr>
  </w:style>
  <w:style w:type="paragraph" w:styleId="Header">
    <w:name w:val="header"/>
    <w:basedOn w:val="Normal"/>
    <w:link w:val="HeaderChar"/>
    <w:rsid w:val="004158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58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589E"/>
    <w:pPr>
      <w:spacing w:before="240" w:after="120"/>
      <w:outlineLvl w:val="0"/>
    </w:pPr>
    <w:rPr>
      <w:rFonts w:ascii="Times New Roman" w:hAnsi="Times New Roman"/>
      <w:b/>
      <w:sz w:val="28"/>
    </w:rPr>
  </w:style>
  <w:style w:type="paragraph" w:customStyle="1" w:styleId="AllowPageBreak">
    <w:name w:val="AllowPageBreak"/>
    <w:rsid w:val="004158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58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58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58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58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58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58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58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589E"/>
    <w:rPr>
      <w:rFonts w:ascii="Courier New" w:eastAsia="Times New Roman" w:hAnsi="Courier New" w:cs="Times New Roman"/>
      <w:i/>
      <w:szCs w:val="20"/>
      <w:lang w:val="en-US" w:eastAsia="en-US"/>
    </w:rPr>
  </w:style>
  <w:style w:type="paragraph" w:customStyle="1" w:styleId="HeadingBase">
    <w:name w:val="Heading Base"/>
    <w:rsid w:val="004158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589E"/>
    <w:pPr>
      <w:tabs>
        <w:tab w:val="right" w:leader="dot" w:pos="9072"/>
      </w:tabs>
      <w:ind w:left="567"/>
    </w:pPr>
    <w:rPr>
      <w:szCs w:val="22"/>
    </w:rPr>
  </w:style>
  <w:style w:type="paragraph" w:customStyle="1" w:styleId="TOCBase">
    <w:name w:val="TOC Base"/>
    <w:rsid w:val="004158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589E"/>
    <w:pPr>
      <w:tabs>
        <w:tab w:val="right" w:leader="dot" w:pos="9072"/>
      </w:tabs>
      <w:spacing w:before="40" w:after="40"/>
      <w:ind w:left="284"/>
    </w:pPr>
    <w:rPr>
      <w:rFonts w:ascii="Times New Roman" w:hAnsi="Times New Roman"/>
    </w:rPr>
  </w:style>
  <w:style w:type="paragraph" w:styleId="TOC1">
    <w:name w:val="toc 1"/>
    <w:basedOn w:val="TOCBase"/>
    <w:next w:val="Normal"/>
    <w:rsid w:val="004158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589E"/>
    <w:pPr>
      <w:spacing w:before="5040"/>
      <w:jc w:val="center"/>
    </w:pPr>
    <w:rPr>
      <w:sz w:val="48"/>
      <w:szCs w:val="72"/>
      <w:lang w:val="en-US"/>
    </w:rPr>
  </w:style>
  <w:style w:type="character" w:customStyle="1" w:styleId="TitleChar">
    <w:name w:val="Title Char"/>
    <w:basedOn w:val="DefaultParagraphFont"/>
    <w:link w:val="Title"/>
    <w:rsid w:val="004158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589E"/>
    <w:pPr>
      <w:tabs>
        <w:tab w:val="left" w:pos="3600"/>
        <w:tab w:val="left" w:pos="3958"/>
      </w:tabs>
    </w:pPr>
  </w:style>
  <w:style w:type="paragraph" w:styleId="List">
    <w:name w:val="List"/>
    <w:basedOn w:val="BodyText"/>
    <w:next w:val="BodyText"/>
    <w:rsid w:val="0041589E"/>
    <w:pPr>
      <w:tabs>
        <w:tab w:val="left" w:pos="340"/>
      </w:tabs>
      <w:spacing w:before="60" w:after="60"/>
      <w:ind w:left="340" w:hanging="340"/>
    </w:pPr>
  </w:style>
  <w:style w:type="paragraph" w:styleId="ListBullet">
    <w:name w:val="List Bullet"/>
    <w:basedOn w:val="List"/>
    <w:rsid w:val="0041589E"/>
    <w:pPr>
      <w:numPr>
        <w:numId w:val="11"/>
      </w:numPr>
      <w:tabs>
        <w:tab w:val="clear" w:pos="340"/>
      </w:tabs>
      <w:spacing w:before="40" w:after="40"/>
    </w:pPr>
  </w:style>
  <w:style w:type="paragraph" w:customStyle="1" w:styleId="Note">
    <w:name w:val="Note"/>
    <w:basedOn w:val="BodyText"/>
    <w:rsid w:val="004158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589E"/>
    <w:pPr>
      <w:framePr w:wrap="auto" w:hAnchor="text" w:y="6049"/>
    </w:pPr>
    <w:rPr>
      <w:color w:val="000000"/>
      <w:sz w:val="40"/>
    </w:rPr>
  </w:style>
  <w:style w:type="paragraph" w:customStyle="1" w:styleId="TOCTitle">
    <w:name w:val="TOCTitle"/>
    <w:basedOn w:val="Heading1"/>
    <w:rsid w:val="0041589E"/>
    <w:pPr>
      <w:spacing w:after="240"/>
      <w:jc w:val="center"/>
      <w:outlineLvl w:val="9"/>
    </w:pPr>
    <w:rPr>
      <w:caps/>
    </w:rPr>
  </w:style>
  <w:style w:type="paragraph" w:customStyle="1" w:styleId="Version">
    <w:name w:val="Version"/>
    <w:rsid w:val="004158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589E"/>
    <w:pPr>
      <w:numPr>
        <w:numId w:val="12"/>
      </w:numPr>
      <w:tabs>
        <w:tab w:val="clear" w:pos="680"/>
      </w:tabs>
    </w:pPr>
  </w:style>
  <w:style w:type="paragraph" w:styleId="Index1">
    <w:name w:val="index 1"/>
    <w:basedOn w:val="Normal"/>
    <w:next w:val="Normal"/>
    <w:semiHidden/>
    <w:rsid w:val="0041589E"/>
    <w:pPr>
      <w:keepNext w:val="0"/>
      <w:tabs>
        <w:tab w:val="right" w:pos="4176"/>
      </w:tabs>
      <w:ind w:left="198" w:hanging="198"/>
    </w:pPr>
    <w:rPr>
      <w:rFonts w:ascii="Garamond" w:hAnsi="Garamond"/>
    </w:rPr>
  </w:style>
  <w:style w:type="paragraph" w:styleId="IndexHeading">
    <w:name w:val="index heading"/>
    <w:basedOn w:val="Normal"/>
    <w:next w:val="Index1"/>
    <w:semiHidden/>
    <w:rsid w:val="0041589E"/>
    <w:pPr>
      <w:spacing w:before="120" w:after="120"/>
    </w:pPr>
    <w:rPr>
      <w:rFonts w:ascii="Arial" w:hAnsi="Arial"/>
      <w:b/>
      <w:color w:val="918585"/>
      <w:sz w:val="24"/>
    </w:rPr>
  </w:style>
  <w:style w:type="paragraph" w:customStyle="1" w:styleId="Chapter">
    <w:name w:val="Chapter"/>
    <w:basedOn w:val="Normal"/>
    <w:rsid w:val="0041589E"/>
    <w:pPr>
      <w:spacing w:before="240"/>
    </w:pPr>
    <w:rPr>
      <w:rFonts w:ascii="Times New Roman" w:hAnsi="Times New Roman"/>
      <w:smallCaps/>
      <w:spacing w:val="80"/>
      <w:sz w:val="28"/>
    </w:rPr>
  </w:style>
  <w:style w:type="paragraph" w:customStyle="1" w:styleId="InChapter">
    <w:name w:val="InChapter"/>
    <w:basedOn w:val="Heading3"/>
    <w:rsid w:val="0041589E"/>
    <w:pPr>
      <w:spacing w:after="240"/>
      <w:outlineLvl w:val="9"/>
    </w:pPr>
    <w:rPr>
      <w:noProof/>
    </w:rPr>
  </w:style>
  <w:style w:type="paragraph" w:styleId="Index2">
    <w:name w:val="index 2"/>
    <w:basedOn w:val="Normal"/>
    <w:next w:val="Normal"/>
    <w:semiHidden/>
    <w:rsid w:val="0041589E"/>
    <w:pPr>
      <w:tabs>
        <w:tab w:val="right" w:pos="4176"/>
      </w:tabs>
      <w:ind w:left="568" w:hanging="284"/>
    </w:pPr>
    <w:rPr>
      <w:rFonts w:ascii="Garamond" w:hAnsi="Garamond"/>
    </w:rPr>
  </w:style>
  <w:style w:type="paragraph" w:customStyle="1" w:styleId="Byline">
    <w:name w:val="Byline"/>
    <w:rsid w:val="004158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589E"/>
    <w:pPr>
      <w:tabs>
        <w:tab w:val="clear" w:pos="3600"/>
        <w:tab w:val="clear" w:pos="3958"/>
      </w:tabs>
      <w:jc w:val="right"/>
    </w:pPr>
  </w:style>
  <w:style w:type="character" w:styleId="Emphasis">
    <w:name w:val="Emphasis"/>
    <w:basedOn w:val="DefaultParagraphFont"/>
    <w:qFormat/>
    <w:rsid w:val="0041589E"/>
    <w:rPr>
      <w:i/>
    </w:rPr>
  </w:style>
  <w:style w:type="paragraph" w:styleId="Caption">
    <w:name w:val="caption"/>
    <w:basedOn w:val="BodyText"/>
    <w:next w:val="Normal"/>
    <w:qFormat/>
    <w:rsid w:val="0041589E"/>
    <w:pPr>
      <w:framePr w:w="2268" w:hSpace="181" w:vSpace="181" w:wrap="around" w:vAnchor="text" w:hAnchor="page" w:x="1135" w:y="285" w:anchorLock="1"/>
    </w:pPr>
    <w:rPr>
      <w:i/>
    </w:rPr>
  </w:style>
  <w:style w:type="paragraph" w:customStyle="1" w:styleId="MiniTOCTitle">
    <w:name w:val="MiniTOCTitle"/>
    <w:basedOn w:val="Heading4"/>
    <w:rsid w:val="0041589E"/>
    <w:pPr>
      <w:spacing w:before="240"/>
      <w:outlineLvl w:val="9"/>
    </w:pPr>
    <w:rPr>
      <w:noProof/>
      <w:sz w:val="24"/>
    </w:rPr>
  </w:style>
  <w:style w:type="paragraph" w:customStyle="1" w:styleId="MiniTOCItem">
    <w:name w:val="MiniTOCItem"/>
    <w:basedOn w:val="ListBullet"/>
    <w:rsid w:val="0041589E"/>
    <w:pPr>
      <w:numPr>
        <w:numId w:val="0"/>
      </w:numPr>
      <w:tabs>
        <w:tab w:val="right" w:leader="dot" w:pos="6521"/>
      </w:tabs>
      <w:spacing w:before="0" w:after="0"/>
    </w:pPr>
  </w:style>
  <w:style w:type="paragraph" w:customStyle="1" w:styleId="TOFTitle">
    <w:name w:val="TOFTitle"/>
    <w:basedOn w:val="TOCTitle"/>
    <w:rsid w:val="0041589E"/>
  </w:style>
  <w:style w:type="paragraph" w:styleId="TableofFigures">
    <w:name w:val="table of figures"/>
    <w:basedOn w:val="Normal"/>
    <w:next w:val="Normal"/>
    <w:semiHidden/>
    <w:rsid w:val="0041589E"/>
    <w:pPr>
      <w:tabs>
        <w:tab w:val="right" w:leader="dot" w:pos="9072"/>
      </w:tabs>
      <w:ind w:left="970" w:hanging="403"/>
    </w:pPr>
    <w:rPr>
      <w:rFonts w:ascii="Times New Roman" w:hAnsi="Times New Roman"/>
      <w:b/>
    </w:rPr>
  </w:style>
  <w:style w:type="paragraph" w:styleId="ListNumber">
    <w:name w:val="List Number"/>
    <w:basedOn w:val="List"/>
    <w:rsid w:val="0041589E"/>
    <w:pPr>
      <w:numPr>
        <w:numId w:val="9"/>
      </w:numPr>
    </w:pPr>
  </w:style>
  <w:style w:type="character" w:customStyle="1" w:styleId="WingdingSymbols">
    <w:name w:val="Wingding Symbols"/>
    <w:rsid w:val="0041589E"/>
    <w:rPr>
      <w:rFonts w:ascii="Wingdings" w:hAnsi="Wingdings"/>
    </w:rPr>
  </w:style>
  <w:style w:type="paragraph" w:customStyle="1" w:styleId="TableHeading">
    <w:name w:val="Table Heading"/>
    <w:basedOn w:val="HeadingBase"/>
    <w:rsid w:val="0041589E"/>
    <w:pPr>
      <w:keepLines/>
      <w:pBdr>
        <w:bottom w:val="single" w:sz="6" w:space="1" w:color="918585"/>
      </w:pBdr>
      <w:spacing w:before="240"/>
    </w:pPr>
  </w:style>
  <w:style w:type="character" w:customStyle="1" w:styleId="HotSpot">
    <w:name w:val="HotSpot"/>
    <w:rsid w:val="0041589E"/>
    <w:rPr>
      <w:color w:val="0033CC"/>
      <w:u w:val="none"/>
    </w:rPr>
  </w:style>
  <w:style w:type="paragraph" w:customStyle="1" w:styleId="BodyTextRight">
    <w:name w:val="Body Text Right"/>
    <w:basedOn w:val="BodyText"/>
    <w:rsid w:val="0041589E"/>
    <w:pPr>
      <w:spacing w:before="0" w:after="0"/>
      <w:jc w:val="right"/>
    </w:pPr>
  </w:style>
  <w:style w:type="paragraph" w:styleId="Index3">
    <w:name w:val="index 3"/>
    <w:basedOn w:val="ListNumber2"/>
    <w:next w:val="Normal"/>
    <w:semiHidden/>
    <w:rsid w:val="0041589E"/>
    <w:pPr>
      <w:numPr>
        <w:numId w:val="0"/>
      </w:numPr>
      <w:tabs>
        <w:tab w:val="right" w:leader="dot" w:pos="4176"/>
      </w:tabs>
    </w:pPr>
  </w:style>
  <w:style w:type="paragraph" w:styleId="ListNumber2">
    <w:name w:val="List Number 2"/>
    <w:basedOn w:val="List2"/>
    <w:rsid w:val="0041589E"/>
    <w:pPr>
      <w:numPr>
        <w:numId w:val="8"/>
      </w:numPr>
      <w:tabs>
        <w:tab w:val="clear" w:pos="1060"/>
      </w:tabs>
    </w:pPr>
  </w:style>
  <w:style w:type="paragraph" w:customStyle="1" w:styleId="MarginNote">
    <w:name w:val="Margin Note"/>
    <w:basedOn w:val="BodyText"/>
    <w:rsid w:val="004158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58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58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589E"/>
    <w:rPr>
      <w:sz w:val="32"/>
    </w:rPr>
  </w:style>
  <w:style w:type="paragraph" w:customStyle="1" w:styleId="HeadingProcedure">
    <w:name w:val="Heading Procedure"/>
    <w:basedOn w:val="HeadingBase"/>
    <w:next w:val="Normal"/>
    <w:rsid w:val="0041589E"/>
    <w:pPr>
      <w:tabs>
        <w:tab w:val="left" w:pos="0"/>
      </w:tabs>
      <w:spacing w:before="120" w:after="60"/>
    </w:pPr>
    <w:rPr>
      <w:i/>
      <w:color w:val="918585"/>
      <w:sz w:val="22"/>
    </w:rPr>
  </w:style>
  <w:style w:type="paragraph" w:customStyle="1" w:styleId="TableBodyText">
    <w:name w:val="Table Body Text"/>
    <w:basedOn w:val="BodyText"/>
    <w:rsid w:val="0041589E"/>
    <w:pPr>
      <w:spacing w:before="60" w:after="60"/>
    </w:pPr>
  </w:style>
  <w:style w:type="paragraph" w:styleId="ListContinue">
    <w:name w:val="List Continue"/>
    <w:basedOn w:val="List"/>
    <w:rsid w:val="0041589E"/>
    <w:pPr>
      <w:ind w:firstLine="0"/>
    </w:pPr>
  </w:style>
  <w:style w:type="paragraph" w:customStyle="1" w:styleId="ListNote">
    <w:name w:val="List Note"/>
    <w:basedOn w:val="List"/>
    <w:rsid w:val="0041589E"/>
    <w:pPr>
      <w:pBdr>
        <w:top w:val="single" w:sz="6" w:space="2" w:color="918585"/>
        <w:bottom w:val="single" w:sz="6" w:space="2" w:color="918585"/>
      </w:pBdr>
      <w:tabs>
        <w:tab w:val="left" w:pos="1021"/>
      </w:tabs>
      <w:ind w:firstLine="0"/>
    </w:pPr>
  </w:style>
  <w:style w:type="paragraph" w:customStyle="1" w:styleId="Warning">
    <w:name w:val="Warning"/>
    <w:basedOn w:val="BodyText"/>
    <w:rsid w:val="0041589E"/>
    <w:pPr>
      <w:shd w:val="clear" w:color="auto" w:fill="D9D9D9"/>
      <w:tabs>
        <w:tab w:val="left" w:pos="992"/>
      </w:tabs>
      <w:ind w:left="119" w:right="119"/>
    </w:pPr>
    <w:rPr>
      <w:sz w:val="20"/>
    </w:rPr>
  </w:style>
  <w:style w:type="paragraph" w:customStyle="1" w:styleId="MarginIcons">
    <w:name w:val="Margin Icons"/>
    <w:basedOn w:val="BodyText"/>
    <w:rsid w:val="004158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589E"/>
    <w:rPr>
      <w:rFonts w:ascii="Courier New" w:hAnsi="Courier New"/>
    </w:rPr>
  </w:style>
  <w:style w:type="paragraph" w:customStyle="1" w:styleId="NoteBullet">
    <w:name w:val="Note Bullet"/>
    <w:basedOn w:val="Note"/>
    <w:rsid w:val="0041589E"/>
    <w:pPr>
      <w:tabs>
        <w:tab w:val="clear" w:pos="680"/>
      </w:tabs>
      <w:spacing w:before="60" w:after="60"/>
    </w:pPr>
  </w:style>
  <w:style w:type="paragraph" w:customStyle="1" w:styleId="SubHeading2">
    <w:name w:val="SubHeading2"/>
    <w:basedOn w:val="HeadingBase"/>
    <w:rsid w:val="0041589E"/>
    <w:pPr>
      <w:spacing w:before="240" w:after="60"/>
    </w:pPr>
    <w:rPr>
      <w:sz w:val="20"/>
    </w:rPr>
  </w:style>
  <w:style w:type="paragraph" w:customStyle="1" w:styleId="SubHeading1">
    <w:name w:val="SubHeading1"/>
    <w:basedOn w:val="HeadingBase"/>
    <w:rsid w:val="0041589E"/>
    <w:pPr>
      <w:spacing w:before="240" w:after="60"/>
    </w:pPr>
    <w:rPr>
      <w:color w:val="918585"/>
      <w:sz w:val="22"/>
    </w:rPr>
  </w:style>
  <w:style w:type="paragraph" w:customStyle="1" w:styleId="SideHeading">
    <w:name w:val="Side Heading"/>
    <w:basedOn w:val="HeadingBase"/>
    <w:rsid w:val="004158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589E"/>
    <w:pPr>
      <w:numPr>
        <w:numId w:val="10"/>
      </w:numPr>
    </w:pPr>
  </w:style>
  <w:style w:type="paragraph" w:styleId="PlainText">
    <w:name w:val="Plain Text"/>
    <w:basedOn w:val="Normal"/>
    <w:link w:val="PlainTextChar"/>
    <w:rsid w:val="0041589E"/>
    <w:rPr>
      <w:sz w:val="20"/>
    </w:rPr>
  </w:style>
  <w:style w:type="character" w:customStyle="1" w:styleId="PlainTextChar">
    <w:name w:val="Plain Text Char"/>
    <w:basedOn w:val="DefaultParagraphFont"/>
    <w:link w:val="PlainText"/>
    <w:rsid w:val="004158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589E"/>
    <w:rPr>
      <w:b/>
      <w:smallCaps/>
    </w:rPr>
  </w:style>
  <w:style w:type="paragraph" w:customStyle="1" w:styleId="TableListNumber">
    <w:name w:val="Table List Number"/>
    <w:basedOn w:val="ListNumber"/>
    <w:rsid w:val="0041589E"/>
    <w:pPr>
      <w:numPr>
        <w:numId w:val="0"/>
      </w:numPr>
    </w:pPr>
  </w:style>
  <w:style w:type="paragraph" w:styleId="TOC4">
    <w:name w:val="toc 4"/>
    <w:basedOn w:val="TOCBase"/>
    <w:next w:val="Normal"/>
    <w:semiHidden/>
    <w:rsid w:val="0041589E"/>
    <w:pPr>
      <w:tabs>
        <w:tab w:val="right" w:leader="dot" w:pos="9071"/>
      </w:tabs>
      <w:ind w:left="1701"/>
    </w:pPr>
  </w:style>
  <w:style w:type="paragraph" w:customStyle="1" w:styleId="ListAlpha">
    <w:name w:val="List Alpha"/>
    <w:basedOn w:val="List"/>
    <w:rsid w:val="0041589E"/>
    <w:pPr>
      <w:numPr>
        <w:numId w:val="7"/>
      </w:numPr>
    </w:pPr>
  </w:style>
  <w:style w:type="paragraph" w:customStyle="1" w:styleId="ListAlpha2">
    <w:name w:val="List Alpha 2"/>
    <w:basedOn w:val="List2"/>
    <w:rsid w:val="0041589E"/>
    <w:pPr>
      <w:numPr>
        <w:numId w:val="6"/>
      </w:numPr>
    </w:pPr>
  </w:style>
  <w:style w:type="paragraph" w:styleId="List2">
    <w:name w:val="List 2"/>
    <w:basedOn w:val="BodyText"/>
    <w:rsid w:val="0041589E"/>
    <w:pPr>
      <w:tabs>
        <w:tab w:val="left" w:pos="680"/>
      </w:tabs>
      <w:spacing w:before="60" w:after="60"/>
      <w:ind w:left="680" w:hanging="340"/>
    </w:pPr>
  </w:style>
  <w:style w:type="paragraph" w:styleId="List3">
    <w:name w:val="List 3"/>
    <w:basedOn w:val="BodyText"/>
    <w:rsid w:val="0041589E"/>
    <w:pPr>
      <w:tabs>
        <w:tab w:val="left" w:pos="1021"/>
      </w:tabs>
      <w:spacing w:before="60" w:after="60"/>
      <w:ind w:left="1020" w:hanging="340"/>
    </w:pPr>
  </w:style>
  <w:style w:type="paragraph" w:styleId="List4">
    <w:name w:val="List 4"/>
    <w:basedOn w:val="BodyText"/>
    <w:rsid w:val="0041589E"/>
    <w:pPr>
      <w:tabs>
        <w:tab w:val="left" w:pos="1361"/>
      </w:tabs>
      <w:spacing w:before="60" w:after="60"/>
      <w:ind w:left="1361" w:hanging="340"/>
    </w:pPr>
  </w:style>
  <w:style w:type="paragraph" w:styleId="List5">
    <w:name w:val="List 5"/>
    <w:basedOn w:val="BodyText"/>
    <w:rsid w:val="0041589E"/>
    <w:pPr>
      <w:tabs>
        <w:tab w:val="left" w:pos="1701"/>
      </w:tabs>
      <w:spacing w:before="60" w:after="60"/>
      <w:ind w:left="1701" w:hanging="340"/>
    </w:pPr>
  </w:style>
  <w:style w:type="paragraph" w:styleId="ListBullet3">
    <w:name w:val="List Bullet 3"/>
    <w:basedOn w:val="List3"/>
    <w:rsid w:val="0041589E"/>
    <w:pPr>
      <w:numPr>
        <w:numId w:val="13"/>
      </w:numPr>
      <w:tabs>
        <w:tab w:val="clear" w:pos="1021"/>
      </w:tabs>
      <w:ind w:left="1037" w:hanging="357"/>
    </w:pPr>
  </w:style>
  <w:style w:type="paragraph" w:styleId="ListBullet4">
    <w:name w:val="List Bullet 4"/>
    <w:basedOn w:val="List4"/>
    <w:rsid w:val="0041589E"/>
    <w:pPr>
      <w:numPr>
        <w:numId w:val="1"/>
      </w:numPr>
    </w:pPr>
  </w:style>
  <w:style w:type="paragraph" w:styleId="ListBullet5">
    <w:name w:val="List Bullet 5"/>
    <w:basedOn w:val="List5"/>
    <w:rsid w:val="0041589E"/>
    <w:pPr>
      <w:numPr>
        <w:numId w:val="2"/>
      </w:numPr>
    </w:pPr>
  </w:style>
  <w:style w:type="paragraph" w:styleId="ListContinue2">
    <w:name w:val="List Continue 2"/>
    <w:basedOn w:val="List2"/>
    <w:rsid w:val="0041589E"/>
    <w:pPr>
      <w:ind w:firstLine="0"/>
    </w:pPr>
  </w:style>
  <w:style w:type="paragraph" w:styleId="ListContinue3">
    <w:name w:val="List Continue 3"/>
    <w:basedOn w:val="List3"/>
    <w:rsid w:val="0041589E"/>
    <w:pPr>
      <w:ind w:left="1021" w:firstLine="0"/>
    </w:pPr>
  </w:style>
  <w:style w:type="paragraph" w:styleId="ListContinue4">
    <w:name w:val="List Continue 4"/>
    <w:basedOn w:val="List4"/>
    <w:rsid w:val="0041589E"/>
    <w:pPr>
      <w:ind w:firstLine="0"/>
    </w:pPr>
  </w:style>
  <w:style w:type="paragraph" w:styleId="ListContinue5">
    <w:name w:val="List Continue 5"/>
    <w:basedOn w:val="List5"/>
    <w:rsid w:val="0041589E"/>
    <w:pPr>
      <w:ind w:firstLine="0"/>
    </w:pPr>
  </w:style>
  <w:style w:type="paragraph" w:styleId="ListNumber3">
    <w:name w:val="List Number 3"/>
    <w:basedOn w:val="List3"/>
    <w:rsid w:val="0041589E"/>
    <w:pPr>
      <w:numPr>
        <w:numId w:val="3"/>
      </w:numPr>
    </w:pPr>
  </w:style>
  <w:style w:type="paragraph" w:styleId="ListNumber4">
    <w:name w:val="List Number 4"/>
    <w:basedOn w:val="List4"/>
    <w:rsid w:val="0041589E"/>
    <w:pPr>
      <w:numPr>
        <w:numId w:val="4"/>
      </w:numPr>
    </w:pPr>
  </w:style>
  <w:style w:type="paragraph" w:styleId="ListNumber5">
    <w:name w:val="List Number 5"/>
    <w:basedOn w:val="List5"/>
    <w:rsid w:val="0041589E"/>
    <w:pPr>
      <w:numPr>
        <w:numId w:val="5"/>
      </w:numPr>
    </w:pPr>
  </w:style>
  <w:style w:type="paragraph" w:styleId="BlockText">
    <w:name w:val="Block Text"/>
    <w:basedOn w:val="Normal"/>
    <w:rsid w:val="0041589E"/>
    <w:pPr>
      <w:spacing w:after="120"/>
      <w:ind w:left="1440" w:right="1440"/>
    </w:pPr>
  </w:style>
  <w:style w:type="character" w:customStyle="1" w:styleId="Subscript">
    <w:name w:val="Subscript"/>
    <w:basedOn w:val="DefaultParagraphFont"/>
    <w:rsid w:val="0041589E"/>
    <w:rPr>
      <w:sz w:val="16"/>
      <w:vertAlign w:val="subscript"/>
    </w:rPr>
  </w:style>
  <w:style w:type="character" w:customStyle="1" w:styleId="Superscript">
    <w:name w:val="Superscript"/>
    <w:basedOn w:val="DefaultParagraphFont"/>
    <w:rsid w:val="0041589E"/>
    <w:rPr>
      <w:sz w:val="16"/>
      <w:vertAlign w:val="superscript"/>
    </w:rPr>
  </w:style>
  <w:style w:type="character" w:customStyle="1" w:styleId="Symbols">
    <w:name w:val="Symbols"/>
    <w:basedOn w:val="DefaultParagraphFont"/>
    <w:rsid w:val="0041589E"/>
    <w:rPr>
      <w:rFonts w:ascii="Symbol" w:hAnsi="Symbol"/>
    </w:rPr>
  </w:style>
  <w:style w:type="character" w:customStyle="1" w:styleId="MenuOptions">
    <w:name w:val="Menu Options"/>
    <w:basedOn w:val="DefaultParagraphFont"/>
    <w:rsid w:val="0041589E"/>
    <w:rPr>
      <w:rFonts w:ascii="Arial Narrow" w:hAnsi="Arial Narrow"/>
      <w:smallCaps/>
    </w:rPr>
  </w:style>
  <w:style w:type="character" w:customStyle="1" w:styleId="Buttons">
    <w:name w:val="Buttons"/>
    <w:basedOn w:val="DefaultParagraphFont"/>
    <w:rsid w:val="0041589E"/>
    <w:rPr>
      <w:b/>
    </w:rPr>
  </w:style>
  <w:style w:type="character" w:customStyle="1" w:styleId="Underlined">
    <w:name w:val="Underlined"/>
    <w:basedOn w:val="DefaultParagraphFont"/>
    <w:rsid w:val="0041589E"/>
    <w:rPr>
      <w:u w:val="single"/>
    </w:rPr>
  </w:style>
  <w:style w:type="paragraph" w:customStyle="1" w:styleId="TableBodyTextRight">
    <w:name w:val="Table Body Text Right"/>
    <w:basedOn w:val="TableBodyText"/>
    <w:rsid w:val="0041589E"/>
    <w:pPr>
      <w:widowControl w:val="0"/>
      <w:autoSpaceDE w:val="0"/>
      <w:autoSpaceDN w:val="0"/>
      <w:adjustRightInd w:val="0"/>
      <w:jc w:val="right"/>
    </w:pPr>
    <w:rPr>
      <w:rFonts w:cs="Arial"/>
      <w:szCs w:val="18"/>
    </w:rPr>
  </w:style>
  <w:style w:type="paragraph" w:customStyle="1" w:styleId="CopyrightText">
    <w:name w:val="Copyright Text"/>
    <w:basedOn w:val="BodyText"/>
    <w:rsid w:val="0041589E"/>
    <w:rPr>
      <w:sz w:val="18"/>
    </w:rPr>
  </w:style>
  <w:style w:type="paragraph" w:customStyle="1" w:styleId="BodySmallRight">
    <w:name w:val="Body Small Right"/>
    <w:basedOn w:val="BodyTextRight"/>
    <w:rsid w:val="0041589E"/>
    <w:rPr>
      <w:sz w:val="18"/>
      <w:szCs w:val="18"/>
    </w:rPr>
  </w:style>
  <w:style w:type="paragraph" w:customStyle="1" w:styleId="MarginEdition">
    <w:name w:val="Margin Edition"/>
    <w:basedOn w:val="MarginNote"/>
    <w:rsid w:val="0041589E"/>
    <w:pPr>
      <w:spacing w:before="0" w:after="0"/>
    </w:pPr>
    <w:rPr>
      <w:rFonts w:ascii="Times New Roman" w:hAnsi="Times New Roman"/>
      <w:color w:val="999999"/>
    </w:rPr>
  </w:style>
  <w:style w:type="paragraph" w:customStyle="1" w:styleId="Spacer">
    <w:name w:val="Spacer"/>
    <w:basedOn w:val="Normal"/>
    <w:rsid w:val="0041589E"/>
    <w:rPr>
      <w:sz w:val="2"/>
      <w:szCs w:val="2"/>
    </w:rPr>
  </w:style>
  <w:style w:type="character" w:customStyle="1" w:styleId="Small">
    <w:name w:val="Small"/>
    <w:basedOn w:val="DefaultParagraphFont"/>
    <w:rsid w:val="0041589E"/>
    <w:rPr>
      <w:sz w:val="16"/>
    </w:rPr>
  </w:style>
  <w:style w:type="paragraph" w:customStyle="1" w:styleId="WideTable">
    <w:name w:val="Wide Table"/>
    <w:basedOn w:val="Normal"/>
    <w:rsid w:val="0041589E"/>
    <w:pPr>
      <w:ind w:left="-1418"/>
    </w:pPr>
    <w:rPr>
      <w:sz w:val="2"/>
      <w:szCs w:val="2"/>
    </w:rPr>
  </w:style>
  <w:style w:type="character" w:styleId="PageNumber">
    <w:name w:val="page number"/>
    <w:basedOn w:val="DefaultParagraphFont"/>
    <w:rsid w:val="0041589E"/>
  </w:style>
  <w:style w:type="paragraph" w:styleId="Quote">
    <w:name w:val="Quote"/>
    <w:basedOn w:val="Heading1"/>
    <w:link w:val="QuoteChar"/>
    <w:qFormat/>
    <w:rsid w:val="0041589E"/>
    <w:rPr>
      <w:b w:val="0"/>
      <w:sz w:val="72"/>
      <w:szCs w:val="72"/>
      <w:lang w:val="en-NZ"/>
    </w:rPr>
  </w:style>
  <w:style w:type="character" w:customStyle="1" w:styleId="QuoteChar">
    <w:name w:val="Quote Char"/>
    <w:basedOn w:val="DefaultParagraphFont"/>
    <w:link w:val="Quote"/>
    <w:rsid w:val="004158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589E"/>
    <w:pPr>
      <w:pageBreakBefore/>
    </w:pPr>
  </w:style>
  <w:style w:type="paragraph" w:customStyle="1" w:styleId="Border">
    <w:name w:val="Border"/>
    <w:basedOn w:val="Normal"/>
    <w:qFormat/>
    <w:rsid w:val="004158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589E"/>
    <w:rPr>
      <w:b/>
      <w:bCs/>
      <w:i/>
      <w:iCs/>
      <w:color w:val="auto"/>
    </w:rPr>
  </w:style>
  <w:style w:type="paragraph" w:styleId="IntenseQuote">
    <w:name w:val="Intense Quote"/>
    <w:basedOn w:val="Normal"/>
    <w:next w:val="Normal"/>
    <w:link w:val="IntenseQuoteChar"/>
    <w:uiPriority w:val="30"/>
    <w:qFormat/>
    <w:rsid w:val="004158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58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589E"/>
    <w:rPr>
      <w:smallCaps/>
      <w:color w:val="auto"/>
      <w:u w:val="single"/>
    </w:rPr>
  </w:style>
  <w:style w:type="character" w:styleId="IntenseReference">
    <w:name w:val="Intense Reference"/>
    <w:basedOn w:val="DefaultParagraphFont"/>
    <w:uiPriority w:val="32"/>
    <w:qFormat/>
    <w:rsid w:val="0041589E"/>
    <w:rPr>
      <w:b/>
      <w:bCs/>
      <w:smallCaps/>
      <w:color w:val="auto"/>
      <w:spacing w:val="5"/>
      <w:u w:val="single"/>
    </w:rPr>
  </w:style>
  <w:style w:type="paragraph" w:customStyle="1" w:styleId="2ColumnHeading">
    <w:name w:val="2Column Heading"/>
    <w:basedOn w:val="BodyText"/>
    <w:qFormat/>
    <w:rsid w:val="0041589E"/>
    <w:pPr>
      <w:spacing w:after="60"/>
      <w:ind w:left="-2268"/>
    </w:pPr>
    <w:rPr>
      <w:b/>
    </w:rPr>
  </w:style>
  <w:style w:type="paragraph" w:customStyle="1" w:styleId="Heading1TOC">
    <w:name w:val="Heading1 TOC"/>
    <w:basedOn w:val="Normal"/>
    <w:qFormat/>
    <w:rsid w:val="0041589E"/>
    <w:pPr>
      <w:spacing w:before="240" w:after="120"/>
    </w:pPr>
    <w:rPr>
      <w:rFonts w:ascii="Times New Roman" w:hAnsi="Times New Roman"/>
      <w:b/>
      <w:sz w:val="32"/>
    </w:rPr>
  </w:style>
  <w:style w:type="paragraph" w:customStyle="1" w:styleId="Heading2TOC">
    <w:name w:val="Heading2 TOC"/>
    <w:basedOn w:val="Normal"/>
    <w:qFormat/>
    <w:rsid w:val="0041589E"/>
    <w:pPr>
      <w:spacing w:before="240" w:after="60"/>
    </w:pPr>
    <w:rPr>
      <w:rFonts w:ascii="Times New Roman" w:hAnsi="Times New Roman"/>
      <w:b/>
      <w:sz w:val="28"/>
    </w:rPr>
  </w:style>
  <w:style w:type="character" w:customStyle="1" w:styleId="Underline">
    <w:name w:val="Underline"/>
    <w:basedOn w:val="DefaultParagraphFont"/>
    <w:qFormat/>
    <w:rsid w:val="0041589E"/>
    <w:rPr>
      <w:u w:val="single"/>
    </w:rPr>
  </w:style>
  <w:style w:type="character" w:customStyle="1" w:styleId="BoldandItalics">
    <w:name w:val="Bold and Italics"/>
    <w:qFormat/>
    <w:rsid w:val="0041589E"/>
    <w:rPr>
      <w:b/>
      <w:i/>
      <w:u w:val="none"/>
    </w:rPr>
  </w:style>
  <w:style w:type="paragraph" w:styleId="BalloonText">
    <w:name w:val="Balloon Text"/>
    <w:basedOn w:val="Normal"/>
    <w:link w:val="BalloonTextChar"/>
    <w:rsid w:val="0041589E"/>
    <w:rPr>
      <w:rFonts w:ascii="Tahoma" w:hAnsi="Tahoma" w:cs="Tahoma"/>
      <w:sz w:val="16"/>
      <w:szCs w:val="16"/>
    </w:rPr>
  </w:style>
  <w:style w:type="character" w:customStyle="1" w:styleId="BalloonTextChar">
    <w:name w:val="Balloon Text Char"/>
    <w:basedOn w:val="DefaultParagraphFont"/>
    <w:link w:val="BalloonText"/>
    <w:rsid w:val="004158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58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58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1430</Words>
  <Characters>9554</Characters>
  <Application>Microsoft Office Word</Application>
  <DocSecurity>0</DocSecurity>
  <Lines>334</Lines>
  <Paragraphs>203</Paragraphs>
  <ScaleCrop>false</ScaleCrop>
  <Company>Author-it Software Corporation Ltd.</Company>
  <LinksUpToDate>false</LinksUpToDate>
  <CharactersWithSpaces>10860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TLIO807C Implement cash-in-transit security procedures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2012-05-27T08:19:00Z</dcterms:created>
  <dcterms:modified xsi:type="dcterms:W3CDTF">2012-05-27T08:19:00Z</dcterms:modified>
</cp:coreProperties>
</file>