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117D" w:rsidP="0018117D">
      <w:pPr>
        <w:pStyle w:val="Title"/>
      </w:pPr>
      <w:bookmarkStart w:id="0" w:name="_GoBack"/>
      <w:bookmarkEnd w:id="0"/>
      <w:r>
        <w:fldChar w:fldCharType="begin"/>
      </w:r>
      <w:r>
        <w:instrText xml:space="preserve"> TITLE   \* MERGEFORMAT </w:instrText>
      </w:r>
      <w:r>
        <w:fldChar w:fldCharType="separate"/>
      </w:r>
      <w:r>
        <w:t>TLIO307C Undertake loading and unloading in a designated secured environment</w:t>
      </w:r>
      <w:r>
        <w:fldChar w:fldCharType="end"/>
      </w:r>
    </w:p>
    <w:p w:rsidR="0018117D" w:rsidP="0018117D">
      <w:pPr>
        <w:pStyle w:val="Version"/>
        <w:sectPr w:rsidSect="005D3B3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D3B3B" w:rsidP="005D3B3B">
      <w:pPr>
        <w:pStyle w:val="SuperHeading"/>
      </w:pPr>
      <w:r w:rsidRPr="005D3B3B">
        <w:t>TLIO307C Undertake loading and unloading in a designated secured environment</w:t>
      </w:r>
    </w:p>
    <w:p w:rsidR="00000000" w:rsidRPr="005D3B3B" w:rsidP="005D3B3B">
      <w:pPr>
        <w:pStyle w:val="Heading1"/>
      </w:pPr>
      <w:bookmarkStart w:id="1" w:name="O_317055"/>
      <w:bookmarkEnd w:id="1"/>
      <w:r w:rsidRPr="005D3B3B">
        <w:t>Modification History</w:t>
      </w:r>
    </w:p>
    <w:p w:rsidR="00000000" w:rsidRPr="005D3B3B" w:rsidP="005D3B3B">
      <w:pPr>
        <w:pStyle w:val="BodyText"/>
      </w:pPr>
      <w:r w:rsidRPr="005D3B3B">
        <w:t>Not applicable.</w:t>
      </w:r>
    </w:p>
    <w:p w:rsidR="00000000" w:rsidRPr="005D3B3B" w:rsidP="005D3B3B">
      <w:pPr>
        <w:pStyle w:val="AllowPageBreak"/>
      </w:pPr>
    </w:p>
    <w:p w:rsidR="00000000" w:rsidRPr="005D3B3B" w:rsidP="005D3B3B">
      <w:pPr>
        <w:pStyle w:val="Heading1"/>
      </w:pPr>
      <w:bookmarkStart w:id="2" w:name="O_317056"/>
      <w:bookmarkEnd w:id="2"/>
      <w:r w:rsidRPr="005D3B3B">
        <w:t>Unit Descriptor</w:t>
      </w:r>
    </w:p>
    <w:p w:rsidR="00000000" w:rsidRPr="005D3B3B" w:rsidP="005D3B3B">
      <w:pPr>
        <w:pStyle w:val="BodyText"/>
      </w:pPr>
      <w:r w:rsidRPr="005D3B3B">
        <w:t>Thi</w:t>
      </w:r>
      <w:r w:rsidRPr="005D3B3B">
        <w:t>s unit involves the skills and knowledge required to undertake loading and unloading of cash-in-transit in a designated secured environment, including selecting loading site, undertaking load transfer, and completing required transfer documentation.</w:t>
      </w:r>
    </w:p>
    <w:p w:rsidR="00000000" w:rsidRPr="005D3B3B" w:rsidP="005D3B3B">
      <w:pPr>
        <w:pStyle w:val="AllowPageBreak"/>
      </w:pPr>
    </w:p>
    <w:p w:rsidR="00000000" w:rsidRPr="005D3B3B" w:rsidP="005D3B3B">
      <w:pPr>
        <w:pStyle w:val="Heading1"/>
      </w:pPr>
      <w:bookmarkStart w:id="3" w:name="O_317054"/>
      <w:bookmarkEnd w:id="3"/>
      <w:r w:rsidRPr="005D3B3B">
        <w:t>Application of the Unit</w:t>
      </w:r>
    </w:p>
    <w:p w:rsidR="00000000" w:rsidRPr="005D3B3B" w:rsidP="005D3B3B">
      <w:pPr>
        <w:pStyle w:val="BodyText"/>
      </w:pPr>
      <w:r w:rsidRPr="005D3B3B">
        <w:t>Work must be carried out in compliance with the relevant sections of the regulations of the relevant state or territory authorities concerned with the secure delivery of valuables, secured products, documents and material</w:t>
      </w:r>
      <w:r w:rsidRPr="005D3B3B">
        <w:t>s.</w:t>
      </w:r>
    </w:p>
    <w:p w:rsidR="00000000" w:rsidRPr="005D3B3B" w:rsidP="005D3B3B">
      <w:pPr>
        <w:pStyle w:val="BodyText"/>
      </w:pPr>
      <w:r w:rsidRPr="005D3B3B">
        <w:t>Work is performed under general supervision. It involves the application of the basic principles, routine procedures and regulatory requirements to the transfer of cash in transit in designated secured environments.</w:t>
      </w:r>
    </w:p>
    <w:p w:rsidR="00000000" w:rsidRPr="005D3B3B" w:rsidP="005D3B3B">
      <w:pPr>
        <w:pStyle w:val="AllowPageBreak"/>
      </w:pPr>
    </w:p>
    <w:p w:rsidR="00000000" w:rsidRPr="005D3B3B" w:rsidP="005D3B3B">
      <w:pPr>
        <w:pStyle w:val="Heading1"/>
      </w:pPr>
      <w:bookmarkStart w:id="4" w:name="O_317053"/>
      <w:bookmarkEnd w:id="4"/>
      <w:r w:rsidRPr="005D3B3B">
        <w:t>Licensing/Regulatory</w:t>
      </w:r>
      <w:r w:rsidRPr="005D3B3B">
        <w:t xml:space="preserve"> Information</w:t>
      </w:r>
    </w:p>
    <w:p w:rsidR="00000000" w:rsidRPr="005D3B3B" w:rsidP="005D3B3B">
      <w:pPr>
        <w:pStyle w:val="BodyText"/>
      </w:pPr>
      <w:r w:rsidRPr="005D3B3B">
        <w:t>Not applicable.</w:t>
      </w:r>
    </w:p>
    <w:p w:rsidR="00000000" w:rsidRPr="005D3B3B" w:rsidP="005D3B3B">
      <w:pPr>
        <w:pStyle w:val="AllowPageBreak"/>
      </w:pPr>
    </w:p>
    <w:p w:rsidR="00000000" w:rsidRPr="005D3B3B" w:rsidP="005D3B3B">
      <w:pPr>
        <w:pStyle w:val="Heading1"/>
      </w:pPr>
      <w:bookmarkStart w:id="5" w:name="O_317052"/>
      <w:bookmarkEnd w:id="5"/>
      <w:r w:rsidRPr="005D3B3B">
        <w:t>Pre-Requisites</w:t>
      </w:r>
    </w:p>
    <w:p w:rsidR="00000000" w:rsidRPr="005D3B3B" w:rsidP="005D3B3B">
      <w:pPr>
        <w:pStyle w:val="BodyText"/>
      </w:pPr>
      <w:r w:rsidRPr="005D3B3B">
        <w:t>Not applicable.</w:t>
      </w:r>
    </w:p>
    <w:p w:rsidR="00000000" w:rsidRPr="005D3B3B" w:rsidP="005D3B3B">
      <w:pPr>
        <w:pStyle w:val="AllowPageBreak"/>
      </w:pPr>
    </w:p>
    <w:p w:rsidR="00000000" w:rsidRPr="005D3B3B" w:rsidP="005D3B3B">
      <w:pPr>
        <w:pStyle w:val="Heading1"/>
      </w:pPr>
      <w:bookmarkStart w:id="6" w:name="O_317051"/>
      <w:bookmarkEnd w:id="6"/>
      <w:r w:rsidRPr="005D3B3B">
        <w:t>Employability Skills Information</w:t>
      </w:r>
    </w:p>
    <w:p w:rsidR="00000000" w:rsidRPr="005D3B3B" w:rsidP="005D3B3B">
      <w:pPr>
        <w:pStyle w:val="BodyText"/>
      </w:pPr>
      <w:r w:rsidRPr="005D3B3B">
        <w:t>The required outcomes described in this unit of competency contain applicable facets of Employability Skills. The Employability Skills Summary of the qualification in which this competency is packaged will assist in identifying employability skill requirem</w:t>
      </w:r>
      <w:r w:rsidRPr="005D3B3B">
        <w:t>ents.</w:t>
      </w:r>
    </w:p>
    <w:p w:rsidR="00000000" w:rsidRPr="005D3B3B" w:rsidP="005D3B3B">
      <w:pPr>
        <w:pStyle w:val="AllowPageBreak"/>
      </w:pPr>
    </w:p>
    <w:p w:rsidR="00000000" w:rsidRPr="005D3B3B" w:rsidP="005D3B3B">
      <w:pPr>
        <w:pStyle w:val="Heading1"/>
      </w:pPr>
      <w:bookmarkStart w:id="7" w:name="O_317057"/>
      <w:bookmarkEnd w:id="7"/>
      <w:r w:rsidRPr="005D3B3B">
        <w:t>Elements and Performance Criteria Pre-Content</w:t>
      </w:r>
    </w:p>
    <w:p w:rsidR="00000000" w:rsidRPr="005D3B3B" w:rsidP="005D3B3B">
      <w:pPr>
        <w:pStyle w:val="BodyText"/>
      </w:pPr>
      <w:r w:rsidRPr="005D3B3B">
        <w:t>Elements describe the essential outcomes of a unit of competency.</w:t>
      </w:r>
    </w:p>
    <w:p w:rsidR="00000000" w:rsidRPr="005D3B3B" w:rsidP="005D3B3B">
      <w:pPr>
        <w:pStyle w:val="BodyText"/>
      </w:pPr>
      <w:r w:rsidRPr="005D3B3B">
        <w:t>Performance criteria describe the required performance needed to demonstrate achievement of the element. Assessment of pe</w:t>
      </w:r>
      <w:r w:rsidRPr="005D3B3B">
        <w:t>rformance is to be consistent with the evidence guide.</w:t>
      </w:r>
    </w:p>
    <w:p w:rsidR="00000000" w:rsidRPr="005D3B3B" w:rsidP="005D3B3B">
      <w:pPr>
        <w:pStyle w:val="AllowPageBreak"/>
      </w:pPr>
    </w:p>
    <w:p w:rsidR="00000000" w:rsidRPr="005D3B3B" w:rsidP="005D3B3B">
      <w:pPr>
        <w:pStyle w:val="Heading1"/>
      </w:pPr>
      <w:bookmarkStart w:id="8" w:name="O_317045"/>
      <w:bookmarkEnd w:id="8"/>
      <w:r w:rsidRPr="005D3B3B">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18117D">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5D3B3B">
            <w:pPr>
              <w:pStyle w:val="BodyText"/>
              <w:rPr>
                <w:lang w:val="en-NZ"/>
              </w:rPr>
            </w:pPr>
            <w:r w:rsidRPr="005D3B3B">
              <w:rPr>
                <w:rStyle w:val="SpecialBold"/>
              </w:rPr>
              <w:t>Elements and Performance Criteria</w:t>
            </w:r>
          </w:p>
        </w:tc>
      </w:tr>
      <w:tr w:rsidTr="0018117D">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5D3B3B" w:rsidP="005D3B3B">
            <w:pPr>
              <w:pStyle w:val="BodyText"/>
            </w:pPr>
            <w:r w:rsidRPr="005D3B3B">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5D3B3B">
            <w:pPr>
              <w:pStyle w:val="BodyText"/>
              <w:rPr>
                <w:lang w:val="en-NZ"/>
              </w:rPr>
            </w:pPr>
            <w:r w:rsidRPr="005D3B3B">
              <w:rPr>
                <w:rStyle w:val="SpecialBold"/>
              </w:rPr>
              <w:t>Performance Criteria</w:t>
            </w:r>
          </w:p>
        </w:tc>
      </w:tr>
      <w:tr w:rsidTr="0018117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5D3B3B" w:rsidP="005D3B3B">
            <w:pPr>
              <w:pStyle w:val="BodyText"/>
            </w:pPr>
            <w:r w:rsidRPr="005D3B3B">
              <w:t>1</w:t>
            </w:r>
          </w:p>
        </w:tc>
        <w:tc>
          <w:tcPr>
            <w:tcW w:w="3000" w:type="dxa"/>
            <w:vMerge w:val="restart"/>
            <w:tcBorders>
              <w:top w:val="nil"/>
              <w:left w:val="nil"/>
              <w:bottom w:val="nil"/>
              <w:right w:val="nil"/>
            </w:tcBorders>
            <w:tcMar>
              <w:top w:w="0" w:type="dxa"/>
              <w:left w:w="62" w:type="dxa"/>
              <w:bottom w:w="0" w:type="dxa"/>
              <w:right w:w="62" w:type="dxa"/>
            </w:tcMar>
          </w:tcPr>
          <w:p w:rsidR="00000000" w:rsidP="005D3B3B">
            <w:pPr>
              <w:pStyle w:val="BodyText"/>
              <w:rPr>
                <w:lang w:val="en-NZ"/>
              </w:rPr>
            </w:pPr>
            <w:r w:rsidRPr="005D3B3B">
              <w:rPr>
                <w:rStyle w:val="SpecialBold"/>
              </w:rPr>
              <w:t>Select loading site</w:t>
            </w:r>
          </w:p>
        </w:tc>
        <w:tc>
          <w:tcPr>
            <w:tcW w:w="500" w:type="dxa"/>
            <w:tcBorders>
              <w:top w:val="nil"/>
              <w:left w:val="nil"/>
              <w:bottom w:val="nil"/>
              <w:right w:val="nil"/>
            </w:tcBorders>
            <w:tcMar>
              <w:top w:w="0" w:type="dxa"/>
              <w:left w:w="62" w:type="dxa"/>
              <w:bottom w:w="0" w:type="dxa"/>
              <w:right w:w="62" w:type="dxa"/>
            </w:tcMar>
          </w:tcPr>
          <w:p w:rsidR="00000000" w:rsidP="005D3B3B">
            <w:pPr>
              <w:pStyle w:val="BodyText"/>
              <w:rPr>
                <w:lang w:val="en-NZ"/>
              </w:rPr>
            </w:pPr>
            <w:r w:rsidRPr="005D3B3B">
              <w:t>1.1</w:t>
            </w:r>
          </w:p>
        </w:tc>
        <w:tc>
          <w:tcPr>
            <w:tcW w:w="5100" w:type="dxa"/>
            <w:tcBorders>
              <w:top w:val="nil"/>
              <w:left w:val="nil"/>
              <w:bottom w:val="nil"/>
              <w:right w:val="nil"/>
            </w:tcBorders>
            <w:tcMar>
              <w:top w:w="0" w:type="dxa"/>
              <w:left w:w="62" w:type="dxa"/>
              <w:bottom w:w="0" w:type="dxa"/>
              <w:right w:w="62" w:type="dxa"/>
            </w:tcMar>
          </w:tcPr>
          <w:p w:rsidR="00000000" w:rsidP="005D3B3B">
            <w:pPr>
              <w:pStyle w:val="BodyText"/>
              <w:rPr>
                <w:lang w:val="en-NZ"/>
              </w:rPr>
            </w:pPr>
            <w:r w:rsidRPr="005D3B3B">
              <w:t xml:space="preserve">Plans of site </w:t>
            </w:r>
            <w:r w:rsidRPr="005D3B3B">
              <w:t>access, exit points and key physical features are identified</w:t>
            </w:r>
          </w:p>
        </w:tc>
      </w:tr>
      <w:tr w:rsidTr="0018117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D3B3B">
            <w:pPr>
              <w:pStyle w:val="BodyText"/>
              <w:rPr>
                <w:lang w:val="en-NZ"/>
              </w:rPr>
            </w:pPr>
            <w:r w:rsidRPr="005D3B3B">
              <w:t>1.2</w:t>
            </w:r>
          </w:p>
        </w:tc>
        <w:tc>
          <w:tcPr>
            <w:tcW w:w="5100" w:type="dxa"/>
            <w:tcBorders>
              <w:top w:val="nil"/>
              <w:left w:val="nil"/>
              <w:bottom w:val="nil"/>
              <w:right w:val="nil"/>
            </w:tcBorders>
            <w:tcMar>
              <w:top w:w="0" w:type="dxa"/>
              <w:left w:w="62" w:type="dxa"/>
              <w:bottom w:w="0" w:type="dxa"/>
              <w:right w:w="62" w:type="dxa"/>
            </w:tcMar>
          </w:tcPr>
          <w:p w:rsidR="00000000" w:rsidP="005D3B3B">
            <w:pPr>
              <w:pStyle w:val="BodyText"/>
              <w:rPr>
                <w:lang w:val="en-NZ"/>
              </w:rPr>
            </w:pPr>
            <w:r w:rsidRPr="005D3B3B">
              <w:t>Site for goods transfer is selected in accordance with security plan and with due regard for own safety, safety of security team, members of the public and consignment</w:t>
            </w:r>
          </w:p>
        </w:tc>
      </w:tr>
      <w:tr w:rsidTr="0018117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D3B3B">
            <w:pPr>
              <w:pStyle w:val="BodyText"/>
              <w:rPr>
                <w:lang w:val="en-NZ"/>
              </w:rPr>
            </w:pPr>
            <w:r w:rsidRPr="005D3B3B">
              <w:t>1.3</w:t>
            </w:r>
          </w:p>
        </w:tc>
        <w:tc>
          <w:tcPr>
            <w:tcW w:w="5100" w:type="dxa"/>
            <w:tcBorders>
              <w:top w:val="nil"/>
              <w:left w:val="nil"/>
              <w:bottom w:val="nil"/>
              <w:right w:val="nil"/>
            </w:tcBorders>
            <w:tcMar>
              <w:top w:w="0" w:type="dxa"/>
              <w:left w:w="62" w:type="dxa"/>
              <w:bottom w:w="0" w:type="dxa"/>
              <w:right w:w="62" w:type="dxa"/>
            </w:tcMar>
          </w:tcPr>
          <w:p w:rsidR="00000000" w:rsidP="005D3B3B">
            <w:pPr>
              <w:pStyle w:val="BodyText"/>
              <w:rPr>
                <w:lang w:val="en-NZ"/>
              </w:rPr>
            </w:pPr>
            <w:r w:rsidRPr="005D3B3B">
              <w:t>Loading site(s) mandated by customer and/or specific loading and unloading requirements are identified and assessed for accessibility and security</w:t>
            </w:r>
          </w:p>
        </w:tc>
      </w:tr>
      <w:tr w:rsidTr="0018117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D3B3B">
            <w:pPr>
              <w:pStyle w:val="BodyText"/>
              <w:rPr>
                <w:lang w:val="en-NZ"/>
              </w:rPr>
            </w:pPr>
            <w:r w:rsidRPr="005D3B3B">
              <w:t>1.4</w:t>
            </w:r>
          </w:p>
        </w:tc>
        <w:tc>
          <w:tcPr>
            <w:tcW w:w="5100" w:type="dxa"/>
            <w:tcBorders>
              <w:top w:val="nil"/>
              <w:left w:val="nil"/>
              <w:bottom w:val="nil"/>
              <w:right w:val="nil"/>
            </w:tcBorders>
            <w:tcMar>
              <w:top w:w="0" w:type="dxa"/>
              <w:left w:w="62" w:type="dxa"/>
              <w:bottom w:w="0" w:type="dxa"/>
              <w:right w:w="62" w:type="dxa"/>
            </w:tcMar>
          </w:tcPr>
          <w:p w:rsidR="00000000" w:rsidP="005D3B3B">
            <w:pPr>
              <w:pStyle w:val="BodyText"/>
              <w:rPr>
                <w:lang w:val="en-NZ"/>
              </w:rPr>
            </w:pPr>
            <w:r w:rsidRPr="005D3B3B">
              <w:t>Alternative sites are identified where pre-determined site is assessed as inappropriate</w:t>
            </w:r>
          </w:p>
        </w:tc>
      </w:tr>
      <w:tr w:rsidTr="0018117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D3B3B">
            <w:pPr>
              <w:pStyle w:val="BodyText"/>
              <w:rPr>
                <w:lang w:val="en-NZ"/>
              </w:rPr>
            </w:pPr>
            <w:r w:rsidRPr="005D3B3B">
              <w:t>1.5</w:t>
            </w:r>
          </w:p>
        </w:tc>
        <w:tc>
          <w:tcPr>
            <w:tcW w:w="5100" w:type="dxa"/>
            <w:tcBorders>
              <w:top w:val="nil"/>
              <w:left w:val="nil"/>
              <w:bottom w:val="nil"/>
              <w:right w:val="nil"/>
            </w:tcBorders>
            <w:tcMar>
              <w:top w:w="0" w:type="dxa"/>
              <w:left w:w="62" w:type="dxa"/>
              <w:bottom w:w="0" w:type="dxa"/>
              <w:right w:w="62" w:type="dxa"/>
            </w:tcMar>
          </w:tcPr>
          <w:p w:rsidR="00000000" w:rsidP="005D3B3B">
            <w:pPr>
              <w:pStyle w:val="BodyText"/>
              <w:rPr>
                <w:lang w:val="en-NZ"/>
              </w:rPr>
            </w:pPr>
            <w:r w:rsidRPr="005D3B3B">
              <w:t>Propose</w:t>
            </w:r>
            <w:r w:rsidRPr="005D3B3B">
              <w:t>d changes to loading site(s) are referred to management personnel and authorisation sought where appropriate</w:t>
            </w:r>
          </w:p>
        </w:tc>
      </w:tr>
      <w:tr w:rsidTr="0018117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5D3B3B" w:rsidP="005D3B3B">
            <w:pPr>
              <w:pStyle w:val="BodyText"/>
            </w:pPr>
            <w:r w:rsidRPr="005D3B3B">
              <w:t>2</w:t>
            </w:r>
          </w:p>
        </w:tc>
        <w:tc>
          <w:tcPr>
            <w:tcW w:w="3000" w:type="dxa"/>
            <w:vMerge w:val="restart"/>
            <w:tcBorders>
              <w:top w:val="nil"/>
              <w:left w:val="nil"/>
              <w:bottom w:val="nil"/>
              <w:right w:val="nil"/>
            </w:tcBorders>
            <w:tcMar>
              <w:top w:w="0" w:type="dxa"/>
              <w:left w:w="62" w:type="dxa"/>
              <w:bottom w:w="0" w:type="dxa"/>
              <w:right w:w="62" w:type="dxa"/>
            </w:tcMar>
          </w:tcPr>
          <w:p w:rsidR="00000000" w:rsidP="005D3B3B">
            <w:pPr>
              <w:pStyle w:val="BodyText"/>
              <w:rPr>
                <w:lang w:val="en-NZ"/>
              </w:rPr>
            </w:pPr>
            <w:r w:rsidRPr="005D3B3B">
              <w:rPr>
                <w:rStyle w:val="SpecialBold"/>
              </w:rPr>
              <w:t>Undertake load transfer</w:t>
            </w:r>
          </w:p>
        </w:tc>
        <w:tc>
          <w:tcPr>
            <w:tcW w:w="500" w:type="dxa"/>
            <w:tcBorders>
              <w:top w:val="nil"/>
              <w:left w:val="nil"/>
              <w:bottom w:val="nil"/>
              <w:right w:val="nil"/>
            </w:tcBorders>
            <w:tcMar>
              <w:top w:w="0" w:type="dxa"/>
              <w:left w:w="62" w:type="dxa"/>
              <w:bottom w:w="0" w:type="dxa"/>
              <w:right w:w="62" w:type="dxa"/>
            </w:tcMar>
          </w:tcPr>
          <w:p w:rsidR="00000000" w:rsidP="005D3B3B">
            <w:pPr>
              <w:pStyle w:val="BodyText"/>
              <w:rPr>
                <w:lang w:val="en-NZ"/>
              </w:rPr>
            </w:pPr>
            <w:r w:rsidRPr="005D3B3B">
              <w:t>2.1</w:t>
            </w:r>
          </w:p>
        </w:tc>
        <w:tc>
          <w:tcPr>
            <w:tcW w:w="5100" w:type="dxa"/>
            <w:tcBorders>
              <w:top w:val="nil"/>
              <w:left w:val="nil"/>
              <w:bottom w:val="nil"/>
              <w:right w:val="nil"/>
            </w:tcBorders>
            <w:tcMar>
              <w:top w:w="0" w:type="dxa"/>
              <w:left w:w="62" w:type="dxa"/>
              <w:bottom w:w="0" w:type="dxa"/>
              <w:right w:w="62" w:type="dxa"/>
            </w:tcMar>
          </w:tcPr>
          <w:p w:rsidR="00000000" w:rsidP="005D3B3B">
            <w:pPr>
              <w:pStyle w:val="BodyText"/>
              <w:rPr>
                <w:lang w:val="en-NZ"/>
              </w:rPr>
            </w:pPr>
            <w:r w:rsidRPr="005D3B3B">
              <w:t>Permission to enter and exit loading area (where required) is obtained in accordance with enterprise procedures</w:t>
            </w:r>
          </w:p>
        </w:tc>
      </w:tr>
      <w:tr w:rsidTr="0018117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D3B3B">
            <w:pPr>
              <w:pStyle w:val="BodyText"/>
              <w:rPr>
                <w:lang w:val="en-NZ"/>
              </w:rPr>
            </w:pPr>
            <w:r w:rsidRPr="005D3B3B">
              <w:t>2.2</w:t>
            </w:r>
          </w:p>
        </w:tc>
        <w:tc>
          <w:tcPr>
            <w:tcW w:w="5100" w:type="dxa"/>
            <w:tcBorders>
              <w:top w:val="nil"/>
              <w:left w:val="nil"/>
              <w:bottom w:val="nil"/>
              <w:right w:val="nil"/>
            </w:tcBorders>
            <w:tcMar>
              <w:top w:w="0" w:type="dxa"/>
              <w:left w:w="62" w:type="dxa"/>
              <w:bottom w:w="0" w:type="dxa"/>
              <w:right w:w="62" w:type="dxa"/>
            </w:tcMar>
          </w:tcPr>
          <w:p w:rsidR="00000000" w:rsidP="005D3B3B">
            <w:pPr>
              <w:pStyle w:val="BodyText"/>
              <w:rPr>
                <w:lang w:val="en-NZ"/>
              </w:rPr>
            </w:pPr>
            <w:r w:rsidRPr="005D3B3B">
              <w:t>Security procedures, including positioning of personnel, travelling across public areas, and carrying/loading techniques, are undertaken in accordance with operational plan and regulatory requirements</w:t>
            </w:r>
          </w:p>
        </w:tc>
      </w:tr>
      <w:tr w:rsidTr="0018117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D3B3B">
            <w:pPr>
              <w:pStyle w:val="BodyText"/>
              <w:rPr>
                <w:lang w:val="en-NZ"/>
              </w:rPr>
            </w:pPr>
            <w:r w:rsidRPr="005D3B3B">
              <w:t>2.3</w:t>
            </w:r>
          </w:p>
        </w:tc>
        <w:tc>
          <w:tcPr>
            <w:tcW w:w="5100" w:type="dxa"/>
            <w:tcBorders>
              <w:top w:val="nil"/>
              <w:left w:val="nil"/>
              <w:bottom w:val="nil"/>
              <w:right w:val="nil"/>
            </w:tcBorders>
            <w:tcMar>
              <w:top w:w="0" w:type="dxa"/>
              <w:left w:w="62" w:type="dxa"/>
              <w:bottom w:w="0" w:type="dxa"/>
              <w:right w:w="62" w:type="dxa"/>
            </w:tcMar>
          </w:tcPr>
          <w:p w:rsidR="00000000" w:rsidP="005D3B3B">
            <w:pPr>
              <w:pStyle w:val="BodyText"/>
              <w:rPr>
                <w:lang w:val="en-NZ"/>
              </w:rPr>
            </w:pPr>
            <w:r w:rsidRPr="005D3B3B">
              <w:t>Contingency plans are identified and confirm</w:t>
            </w:r>
            <w:r w:rsidRPr="005D3B3B">
              <w:t>ed with other team members</w:t>
            </w:r>
          </w:p>
        </w:tc>
      </w:tr>
      <w:tr w:rsidTr="0018117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D3B3B">
            <w:pPr>
              <w:pStyle w:val="BodyText"/>
              <w:rPr>
                <w:lang w:val="en-NZ"/>
              </w:rPr>
            </w:pPr>
            <w:r w:rsidRPr="005D3B3B">
              <w:t>2.4</w:t>
            </w:r>
          </w:p>
        </w:tc>
        <w:tc>
          <w:tcPr>
            <w:tcW w:w="5100" w:type="dxa"/>
            <w:tcBorders>
              <w:top w:val="nil"/>
              <w:left w:val="nil"/>
              <w:bottom w:val="nil"/>
              <w:right w:val="nil"/>
            </w:tcBorders>
            <w:tcMar>
              <w:top w:w="0" w:type="dxa"/>
              <w:left w:w="62" w:type="dxa"/>
              <w:bottom w:w="0" w:type="dxa"/>
              <w:right w:w="62" w:type="dxa"/>
            </w:tcMar>
          </w:tcPr>
          <w:p w:rsidR="00000000" w:rsidP="005D3B3B">
            <w:pPr>
              <w:pStyle w:val="BodyText"/>
              <w:rPr>
                <w:lang w:val="en-NZ"/>
              </w:rPr>
            </w:pPr>
            <w:r w:rsidRPr="005D3B3B">
              <w:t>The environment is constantly monitored to maintain a safe working environment</w:t>
            </w:r>
          </w:p>
        </w:tc>
      </w:tr>
      <w:tr w:rsidTr="0018117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D3B3B">
            <w:pPr>
              <w:pStyle w:val="BodyText"/>
              <w:rPr>
                <w:lang w:val="en-NZ"/>
              </w:rPr>
            </w:pPr>
            <w:r w:rsidRPr="005D3B3B">
              <w:t>2.5</w:t>
            </w:r>
          </w:p>
        </w:tc>
        <w:tc>
          <w:tcPr>
            <w:tcW w:w="5100" w:type="dxa"/>
            <w:tcBorders>
              <w:top w:val="nil"/>
              <w:left w:val="nil"/>
              <w:bottom w:val="nil"/>
              <w:right w:val="nil"/>
            </w:tcBorders>
            <w:tcMar>
              <w:top w:w="0" w:type="dxa"/>
              <w:left w:w="62" w:type="dxa"/>
              <w:bottom w:w="0" w:type="dxa"/>
              <w:right w:w="62" w:type="dxa"/>
            </w:tcMar>
          </w:tcPr>
          <w:p w:rsidR="00000000" w:rsidP="005D3B3B">
            <w:pPr>
              <w:pStyle w:val="BodyText"/>
              <w:rPr>
                <w:lang w:val="en-NZ"/>
              </w:rPr>
            </w:pPr>
            <w:r w:rsidRPr="005D3B3B">
              <w:t>Goods are identified and details are verified and checked for conformity with manifest</w:t>
            </w:r>
          </w:p>
        </w:tc>
      </w:tr>
      <w:tr w:rsidTr="0018117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D3B3B">
            <w:pPr>
              <w:pStyle w:val="BodyText"/>
              <w:rPr>
                <w:lang w:val="en-NZ"/>
              </w:rPr>
            </w:pPr>
            <w:r w:rsidRPr="005D3B3B">
              <w:t>2.6</w:t>
            </w:r>
          </w:p>
        </w:tc>
        <w:tc>
          <w:tcPr>
            <w:tcW w:w="5100" w:type="dxa"/>
            <w:tcBorders>
              <w:top w:val="nil"/>
              <w:left w:val="nil"/>
              <w:bottom w:val="nil"/>
              <w:right w:val="nil"/>
            </w:tcBorders>
            <w:tcMar>
              <w:top w:w="0" w:type="dxa"/>
              <w:left w:w="62" w:type="dxa"/>
              <w:bottom w:w="0" w:type="dxa"/>
              <w:right w:w="62" w:type="dxa"/>
            </w:tcMar>
          </w:tcPr>
          <w:p w:rsidR="00000000" w:rsidP="005D3B3B">
            <w:pPr>
              <w:pStyle w:val="BodyText"/>
              <w:rPr>
                <w:lang w:val="en-NZ"/>
              </w:rPr>
            </w:pPr>
            <w:r w:rsidRPr="005D3B3B">
              <w:t>Non-conforming consignments are documented and reported in accordance with enterprise procedures</w:t>
            </w:r>
          </w:p>
        </w:tc>
      </w:tr>
      <w:tr w:rsidTr="0018117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D3B3B">
            <w:pPr>
              <w:pStyle w:val="BodyText"/>
              <w:rPr>
                <w:lang w:val="en-NZ"/>
              </w:rPr>
            </w:pPr>
            <w:r w:rsidRPr="005D3B3B">
              <w:t>2.7</w:t>
            </w:r>
          </w:p>
        </w:tc>
        <w:tc>
          <w:tcPr>
            <w:tcW w:w="5100" w:type="dxa"/>
            <w:tcBorders>
              <w:top w:val="nil"/>
              <w:left w:val="nil"/>
              <w:bottom w:val="nil"/>
              <w:right w:val="nil"/>
            </w:tcBorders>
            <w:tcMar>
              <w:top w:w="0" w:type="dxa"/>
              <w:left w:w="62" w:type="dxa"/>
              <w:bottom w:w="0" w:type="dxa"/>
              <w:right w:w="62" w:type="dxa"/>
            </w:tcMar>
          </w:tcPr>
          <w:p w:rsidR="00000000" w:rsidP="005D3B3B">
            <w:pPr>
              <w:pStyle w:val="BodyText"/>
              <w:rPr>
                <w:lang w:val="en-NZ"/>
              </w:rPr>
            </w:pPr>
            <w:r w:rsidRPr="005D3B3B">
              <w:t>Load characteristics are identified and considered when determining appropriate loading and unloading procedures</w:t>
            </w:r>
          </w:p>
        </w:tc>
      </w:tr>
      <w:tr w:rsidTr="0018117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D3B3B">
            <w:pPr>
              <w:pStyle w:val="BodyText"/>
              <w:rPr>
                <w:lang w:val="en-NZ"/>
              </w:rPr>
            </w:pPr>
            <w:r w:rsidRPr="005D3B3B">
              <w:t>2.8</w:t>
            </w:r>
          </w:p>
        </w:tc>
        <w:tc>
          <w:tcPr>
            <w:tcW w:w="5100" w:type="dxa"/>
            <w:tcBorders>
              <w:top w:val="nil"/>
              <w:left w:val="nil"/>
              <w:bottom w:val="nil"/>
              <w:right w:val="nil"/>
            </w:tcBorders>
            <w:tcMar>
              <w:top w:w="0" w:type="dxa"/>
              <w:left w:w="62" w:type="dxa"/>
              <w:bottom w:w="0" w:type="dxa"/>
              <w:right w:w="62" w:type="dxa"/>
            </w:tcMar>
          </w:tcPr>
          <w:p w:rsidR="00000000" w:rsidP="005D3B3B">
            <w:pPr>
              <w:pStyle w:val="BodyText"/>
              <w:rPr>
                <w:lang w:val="en-NZ"/>
              </w:rPr>
            </w:pPr>
            <w:r w:rsidRPr="005D3B3B">
              <w:t>Load handling demonstrates compl</w:t>
            </w:r>
            <w:r w:rsidRPr="005D3B3B">
              <w:t>iance with (any) loading regulations and workplace safety requirements</w:t>
            </w:r>
          </w:p>
        </w:tc>
      </w:tr>
      <w:tr w:rsidTr="0018117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D3B3B">
            <w:pPr>
              <w:pStyle w:val="BodyText"/>
              <w:rPr>
                <w:lang w:val="en-NZ"/>
              </w:rPr>
            </w:pPr>
            <w:r w:rsidRPr="005D3B3B">
              <w:t>2.9</w:t>
            </w:r>
          </w:p>
        </w:tc>
        <w:tc>
          <w:tcPr>
            <w:tcW w:w="5100" w:type="dxa"/>
            <w:tcBorders>
              <w:top w:val="nil"/>
              <w:left w:val="nil"/>
              <w:bottom w:val="nil"/>
              <w:right w:val="nil"/>
            </w:tcBorders>
            <w:tcMar>
              <w:top w:w="0" w:type="dxa"/>
              <w:left w:w="62" w:type="dxa"/>
              <w:bottom w:w="0" w:type="dxa"/>
              <w:right w:w="62" w:type="dxa"/>
            </w:tcMar>
          </w:tcPr>
          <w:p w:rsidR="00000000" w:rsidP="005D3B3B">
            <w:pPr>
              <w:pStyle w:val="BodyText"/>
              <w:rPr>
                <w:lang w:val="en-NZ"/>
              </w:rPr>
            </w:pPr>
            <w:r w:rsidRPr="005D3B3B">
              <w:t>Consignment is delivered/stored and secured in accordance with operational plan, enterprise procedures and regulatory requirements</w:t>
            </w:r>
          </w:p>
        </w:tc>
      </w:tr>
      <w:tr w:rsidTr="0018117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5D3B3B" w:rsidP="005D3B3B">
            <w:pPr>
              <w:pStyle w:val="BodyText"/>
            </w:pPr>
            <w:r w:rsidRPr="005D3B3B">
              <w:t>3</w:t>
            </w:r>
          </w:p>
        </w:tc>
        <w:tc>
          <w:tcPr>
            <w:tcW w:w="3000" w:type="dxa"/>
            <w:vMerge w:val="restart"/>
            <w:tcBorders>
              <w:top w:val="nil"/>
              <w:left w:val="nil"/>
              <w:bottom w:val="nil"/>
              <w:right w:val="nil"/>
            </w:tcBorders>
            <w:tcMar>
              <w:top w:w="0" w:type="dxa"/>
              <w:left w:w="62" w:type="dxa"/>
              <w:bottom w:w="0" w:type="dxa"/>
              <w:right w:w="62" w:type="dxa"/>
            </w:tcMar>
          </w:tcPr>
          <w:p w:rsidR="00000000" w:rsidP="005D3B3B">
            <w:pPr>
              <w:pStyle w:val="BodyText"/>
              <w:rPr>
                <w:lang w:val="en-NZ"/>
              </w:rPr>
            </w:pPr>
            <w:r w:rsidRPr="005D3B3B">
              <w:rPr>
                <w:rStyle w:val="SpecialBold"/>
              </w:rPr>
              <w:t>Complete transfer documentation</w:t>
            </w:r>
          </w:p>
        </w:tc>
        <w:tc>
          <w:tcPr>
            <w:tcW w:w="500" w:type="dxa"/>
            <w:tcBorders>
              <w:top w:val="nil"/>
              <w:left w:val="nil"/>
              <w:bottom w:val="nil"/>
              <w:right w:val="nil"/>
            </w:tcBorders>
            <w:tcMar>
              <w:top w:w="0" w:type="dxa"/>
              <w:left w:w="62" w:type="dxa"/>
              <w:bottom w:w="0" w:type="dxa"/>
              <w:right w:w="62" w:type="dxa"/>
            </w:tcMar>
          </w:tcPr>
          <w:p w:rsidR="00000000" w:rsidP="005D3B3B">
            <w:pPr>
              <w:pStyle w:val="BodyText"/>
              <w:rPr>
                <w:lang w:val="en-NZ"/>
              </w:rPr>
            </w:pPr>
            <w:r w:rsidRPr="005D3B3B">
              <w:t>3.1</w:t>
            </w:r>
          </w:p>
        </w:tc>
        <w:tc>
          <w:tcPr>
            <w:tcW w:w="5100" w:type="dxa"/>
            <w:tcBorders>
              <w:top w:val="nil"/>
              <w:left w:val="nil"/>
              <w:bottom w:val="nil"/>
              <w:right w:val="nil"/>
            </w:tcBorders>
            <w:tcMar>
              <w:top w:w="0" w:type="dxa"/>
              <w:left w:w="62" w:type="dxa"/>
              <w:bottom w:w="0" w:type="dxa"/>
              <w:right w:w="62" w:type="dxa"/>
            </w:tcMar>
          </w:tcPr>
          <w:p w:rsidR="00000000" w:rsidP="005D3B3B">
            <w:pPr>
              <w:pStyle w:val="BodyText"/>
              <w:rPr>
                <w:lang w:val="en-NZ"/>
              </w:rPr>
            </w:pPr>
            <w:r w:rsidRPr="005D3B3B">
              <w:t>Details of consignment delivery are verified by client or client representative</w:t>
            </w:r>
          </w:p>
        </w:tc>
      </w:tr>
      <w:tr w:rsidTr="0018117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D3B3B">
            <w:pPr>
              <w:pStyle w:val="BodyText"/>
              <w:rPr>
                <w:lang w:val="en-NZ"/>
              </w:rPr>
            </w:pPr>
            <w:r w:rsidRPr="005D3B3B">
              <w:t>3.2</w:t>
            </w:r>
          </w:p>
        </w:tc>
        <w:tc>
          <w:tcPr>
            <w:tcW w:w="5100" w:type="dxa"/>
            <w:tcBorders>
              <w:top w:val="nil"/>
              <w:left w:val="nil"/>
              <w:bottom w:val="nil"/>
              <w:right w:val="nil"/>
            </w:tcBorders>
            <w:tcMar>
              <w:top w:w="0" w:type="dxa"/>
              <w:left w:w="62" w:type="dxa"/>
              <w:bottom w:w="0" w:type="dxa"/>
              <w:right w:w="62" w:type="dxa"/>
            </w:tcMar>
          </w:tcPr>
          <w:p w:rsidR="00000000" w:rsidRPr="005D3B3B" w:rsidP="005D3B3B">
            <w:pPr>
              <w:pStyle w:val="BodyText"/>
            </w:pPr>
            <w:r w:rsidRPr="005D3B3B">
              <w:t>Transfer documentation is completed in accordance with enterprise procedures</w:t>
            </w:r>
          </w:p>
        </w:tc>
      </w:tr>
    </w:tbl>
    <w:p w:rsidR="00000000" w:rsidRPr="005D3B3B" w:rsidP="005D3B3B">
      <w:pPr>
        <w:pStyle w:val="BodyText"/>
      </w:pPr>
    </w:p>
    <w:p w:rsidR="00000000" w:rsidRPr="005D3B3B" w:rsidP="005D3B3B">
      <w:pPr>
        <w:pStyle w:val="AllowPageBreak"/>
      </w:pPr>
    </w:p>
    <w:p w:rsidR="00000000" w:rsidRPr="005D3B3B" w:rsidP="005D3B3B">
      <w:pPr>
        <w:pStyle w:val="Heading1"/>
      </w:pPr>
      <w:bookmarkStart w:id="9" w:name="O_317050"/>
      <w:bookmarkEnd w:id="9"/>
      <w:r w:rsidRPr="005D3B3B">
        <w:t>Required Skills and Knowledge</w:t>
      </w:r>
    </w:p>
    <w:tbl>
      <w:tblPr>
        <w:tblW w:w="0" w:type="auto"/>
        <w:tblLayout w:type="fixed"/>
        <w:tblCellMar>
          <w:left w:w="62" w:type="dxa"/>
          <w:right w:w="62" w:type="dxa"/>
        </w:tblCellMar>
        <w:tblLook w:val="0000"/>
      </w:tblPr>
      <w:tblGrid>
        <w:gridCol w:w="9000"/>
      </w:tblGrid>
      <w:tr w:rsidTr="0018117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D3B3B">
            <w:pPr>
              <w:pStyle w:val="BodyText"/>
              <w:rPr>
                <w:lang w:val="en-NZ"/>
              </w:rPr>
            </w:pPr>
            <w:r w:rsidRPr="005D3B3B">
              <w:rPr>
                <w:rStyle w:val="SpecialBold"/>
              </w:rPr>
              <w:t>REQUIRED KNOWLEDGE AND SKILLS</w:t>
            </w:r>
          </w:p>
        </w:tc>
      </w:tr>
      <w:tr w:rsidTr="0018117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D3B3B">
            <w:pPr>
              <w:pStyle w:val="BodyText"/>
              <w:rPr>
                <w:lang w:val="en-NZ"/>
              </w:rPr>
            </w:pPr>
            <w:r w:rsidRPr="005D3B3B">
              <w:t xml:space="preserve">This describes the essential knowledge and skills and their level required for this unit. </w:t>
            </w:r>
          </w:p>
        </w:tc>
      </w:tr>
      <w:tr w:rsidTr="0018117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D3B3B">
            <w:pPr>
              <w:pStyle w:val="BodyText"/>
              <w:rPr>
                <w:lang w:val="en-NZ"/>
              </w:rPr>
            </w:pPr>
            <w:r w:rsidRPr="005D3B3B">
              <w:rPr>
                <w:rStyle w:val="SpecialBold"/>
              </w:rPr>
              <w:t>Required knowledge</w:t>
            </w:r>
            <w:r w:rsidRPr="005D3B3B">
              <w:t xml:space="preserve">: </w:t>
            </w:r>
          </w:p>
        </w:tc>
      </w:tr>
      <w:tr w:rsidTr="0018117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D3B3B">
            <w:pPr>
              <w:pStyle w:val="BodyText"/>
              <w:rPr>
                <w:lang w:val="en-NZ"/>
              </w:rPr>
            </w:pPr>
            <w:r w:rsidRPr="005D3B3B">
              <w:t xml:space="preserve">Relevant state and territory permit and licence regulations and requirements </w:t>
            </w:r>
          </w:p>
        </w:tc>
      </w:tr>
      <w:tr w:rsidTr="0018117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D3B3B">
            <w:pPr>
              <w:pStyle w:val="BodyText"/>
              <w:rPr>
                <w:lang w:val="en-NZ"/>
              </w:rPr>
            </w:pPr>
            <w:r w:rsidRPr="005D3B3B">
              <w:t>OH&amp;S procedures and guidelines concerning the lifting and movem</w:t>
            </w:r>
            <w:r w:rsidRPr="005D3B3B">
              <w:t xml:space="preserve">ent of loads </w:t>
            </w:r>
          </w:p>
        </w:tc>
      </w:tr>
      <w:tr w:rsidTr="0018117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D3B3B">
            <w:pPr>
              <w:pStyle w:val="BodyText"/>
              <w:rPr>
                <w:lang w:val="en-NZ"/>
              </w:rPr>
            </w:pPr>
            <w:r w:rsidRPr="005D3B3B">
              <w:t xml:space="preserve">Risks and hazards when transferring cash-in-transit and related precautions to control the risk </w:t>
            </w:r>
          </w:p>
        </w:tc>
      </w:tr>
      <w:tr w:rsidTr="0018117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D3B3B">
            <w:pPr>
              <w:pStyle w:val="BodyText"/>
              <w:rPr>
                <w:lang w:val="en-NZ"/>
              </w:rPr>
            </w:pPr>
            <w:r w:rsidRPr="005D3B3B">
              <w:t xml:space="preserve">Operational procedures for identification of security risks </w:t>
            </w:r>
          </w:p>
        </w:tc>
      </w:tr>
      <w:tr w:rsidTr="0018117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D3B3B">
            <w:pPr>
              <w:pStyle w:val="BodyText"/>
              <w:rPr>
                <w:lang w:val="en-NZ"/>
              </w:rPr>
            </w:pPr>
            <w:r w:rsidRPr="005D3B3B">
              <w:t xml:space="preserve">Contingency planning relating to managing and controlling security risks </w:t>
            </w:r>
          </w:p>
        </w:tc>
      </w:tr>
      <w:tr w:rsidTr="0018117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D3B3B">
            <w:pPr>
              <w:pStyle w:val="BodyText"/>
              <w:rPr>
                <w:lang w:val="en-NZ"/>
              </w:rPr>
            </w:pPr>
            <w:r w:rsidRPr="005D3B3B">
              <w:t xml:space="preserve">Requirements for approved work procedures and relevant equipment </w:t>
            </w:r>
          </w:p>
        </w:tc>
      </w:tr>
      <w:tr w:rsidTr="0018117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D3B3B">
            <w:pPr>
              <w:pStyle w:val="BodyText"/>
              <w:rPr>
                <w:lang w:val="en-NZ"/>
              </w:rPr>
            </w:pPr>
            <w:r w:rsidRPr="005D3B3B">
              <w:t xml:space="preserve">Housekeeping standards procedures required in the workplace </w:t>
            </w:r>
          </w:p>
        </w:tc>
      </w:tr>
      <w:tr w:rsidTr="0018117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5D3B3B" w:rsidP="005D3B3B">
            <w:pPr>
              <w:pStyle w:val="BodyText"/>
            </w:pPr>
            <w:r w:rsidRPr="005D3B3B">
              <w:t xml:space="preserve">Typical problems that can occur when loading and unloading cash-in-transit in a designated secured environment and appropriate </w:t>
            </w:r>
            <w:r w:rsidRPr="005D3B3B">
              <w:t xml:space="preserve">action that can be taken to prevent or solve them </w:t>
            </w:r>
          </w:p>
        </w:tc>
      </w:tr>
    </w:tbl>
    <w:p w:rsidR="00000000" w:rsidRPr="005D3B3B" w:rsidP="005D3B3B">
      <w:pPr>
        <w:pStyle w:val="BodyText"/>
      </w:pPr>
    </w:p>
    <w:tbl>
      <w:tblPr>
        <w:tblW w:w="0" w:type="auto"/>
        <w:tblLayout w:type="fixed"/>
        <w:tblCellMar>
          <w:left w:w="62" w:type="dxa"/>
          <w:right w:w="62" w:type="dxa"/>
        </w:tblCellMar>
        <w:tblLook w:val="0000"/>
      </w:tblPr>
      <w:tblGrid>
        <w:gridCol w:w="9000"/>
      </w:tblGrid>
      <w:tr w:rsidTr="0018117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D3B3B">
            <w:pPr>
              <w:pStyle w:val="BodyText"/>
              <w:rPr>
                <w:lang w:val="en-NZ"/>
              </w:rPr>
            </w:pPr>
            <w:r w:rsidRPr="005D3B3B">
              <w:rPr>
                <w:rStyle w:val="SpecialBold"/>
              </w:rPr>
              <w:t>Required skills</w:t>
            </w:r>
            <w:r w:rsidRPr="005D3B3B">
              <w:t>:</w:t>
            </w:r>
          </w:p>
        </w:tc>
      </w:tr>
      <w:tr w:rsidTr="0018117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D3B3B">
            <w:pPr>
              <w:pStyle w:val="BodyText"/>
              <w:rPr>
                <w:lang w:val="en-NZ"/>
              </w:rPr>
            </w:pPr>
            <w:r w:rsidRPr="005D3B3B">
              <w:t xml:space="preserve">Communicate effectively with others when loading and unloading cash-in-transit in a designated secured environment </w:t>
            </w:r>
          </w:p>
        </w:tc>
      </w:tr>
      <w:tr w:rsidTr="0018117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D3B3B">
            <w:pPr>
              <w:pStyle w:val="BodyText"/>
              <w:rPr>
                <w:lang w:val="en-NZ"/>
              </w:rPr>
            </w:pPr>
            <w:r w:rsidRPr="005D3B3B">
              <w:t xml:space="preserve">Read and interpret instructions, procedures, information and labels </w:t>
            </w:r>
            <w:r w:rsidRPr="005D3B3B">
              <w:t xml:space="preserve">relevant to the loading and unloading of cash-in-transit in a designated secured environment </w:t>
            </w:r>
          </w:p>
        </w:tc>
      </w:tr>
      <w:tr w:rsidTr="0018117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D3B3B">
            <w:pPr>
              <w:pStyle w:val="BodyText"/>
              <w:rPr>
                <w:lang w:val="en-NZ"/>
              </w:rPr>
            </w:pPr>
            <w:r w:rsidRPr="005D3B3B">
              <w:t xml:space="preserve">Interpret and follow operational instructions and prioritise work </w:t>
            </w:r>
          </w:p>
        </w:tc>
      </w:tr>
      <w:tr w:rsidTr="0018117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D3B3B">
            <w:pPr>
              <w:pStyle w:val="BodyText"/>
              <w:rPr>
                <w:lang w:val="en-NZ"/>
              </w:rPr>
            </w:pPr>
            <w:r w:rsidRPr="005D3B3B">
              <w:t>Complete documentation related to the loading and unloading of cash-in-transit in a designate</w:t>
            </w:r>
            <w:r w:rsidRPr="005D3B3B">
              <w:t xml:space="preserve">d secured environment </w:t>
            </w:r>
          </w:p>
        </w:tc>
      </w:tr>
      <w:tr w:rsidTr="0018117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D3B3B">
            <w:pPr>
              <w:pStyle w:val="BodyText"/>
              <w:rPr>
                <w:lang w:val="en-NZ"/>
              </w:rPr>
            </w:pPr>
            <w:r w:rsidRPr="005D3B3B">
              <w:t xml:space="preserve">Operate electronic communication equipment to required protocol </w:t>
            </w:r>
          </w:p>
        </w:tc>
      </w:tr>
      <w:tr w:rsidTr="0018117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D3B3B">
            <w:pPr>
              <w:pStyle w:val="BodyText"/>
              <w:rPr>
                <w:lang w:val="en-NZ"/>
              </w:rPr>
            </w:pPr>
            <w:r w:rsidRPr="005D3B3B">
              <w:t xml:space="preserve">Work collaboratively with others when loading and unloading cash-in-transit in a designated secured environment </w:t>
            </w:r>
          </w:p>
        </w:tc>
      </w:tr>
      <w:tr w:rsidTr="0018117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D3B3B">
            <w:pPr>
              <w:pStyle w:val="BodyText"/>
              <w:rPr>
                <w:lang w:val="en-NZ"/>
              </w:rPr>
            </w:pPr>
            <w:r w:rsidRPr="005D3B3B">
              <w:t xml:space="preserve">Adapt appropriately to cultural differences in the workplace, including modes of behaviour and interactions with others </w:t>
            </w:r>
          </w:p>
        </w:tc>
      </w:tr>
      <w:tr w:rsidTr="0018117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D3B3B">
            <w:pPr>
              <w:pStyle w:val="BodyText"/>
              <w:rPr>
                <w:lang w:val="en-NZ"/>
              </w:rPr>
            </w:pPr>
            <w:r w:rsidRPr="005D3B3B">
              <w:t>Promptly report and/or rectify any identified problems or incidents that may occur when loading and unloading cash-in-transit in a des</w:t>
            </w:r>
            <w:r w:rsidRPr="005D3B3B">
              <w:t xml:space="preserve">ignated secured environment in accordance </w:t>
            </w:r>
            <w:r w:rsidRPr="005D3B3B">
              <w:t xml:space="preserve">with regulatory requirements and workplace procedures </w:t>
            </w:r>
          </w:p>
        </w:tc>
      </w:tr>
      <w:tr w:rsidTr="0018117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D3B3B">
            <w:pPr>
              <w:pStyle w:val="BodyText"/>
              <w:rPr>
                <w:lang w:val="en-NZ"/>
              </w:rPr>
            </w:pPr>
            <w:r w:rsidRPr="005D3B3B">
              <w:t>Apply precautions and required action to minimise, control or eliminate hazards that may exist during loading and unloading of cash-in-transit in a designated</w:t>
            </w:r>
            <w:r w:rsidRPr="005D3B3B">
              <w:t xml:space="preserve"> secured environment </w:t>
            </w:r>
          </w:p>
        </w:tc>
      </w:tr>
      <w:tr w:rsidTr="0018117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D3B3B">
            <w:pPr>
              <w:pStyle w:val="BodyText"/>
              <w:rPr>
                <w:lang w:val="en-NZ"/>
              </w:rPr>
            </w:pPr>
            <w:r w:rsidRPr="005D3B3B">
              <w:t xml:space="preserve">Plan own work including predicting consequences and identifying improvements </w:t>
            </w:r>
          </w:p>
        </w:tc>
      </w:tr>
      <w:tr w:rsidTr="0018117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D3B3B">
            <w:pPr>
              <w:pStyle w:val="BodyText"/>
              <w:rPr>
                <w:lang w:val="en-NZ"/>
              </w:rPr>
            </w:pPr>
            <w:r w:rsidRPr="005D3B3B">
              <w:t xml:space="preserve">Apply relevant agreements, codes of practice or other legislative requirements </w:t>
            </w:r>
          </w:p>
        </w:tc>
      </w:tr>
      <w:tr w:rsidTr="0018117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D3B3B">
            <w:pPr>
              <w:pStyle w:val="BodyText"/>
              <w:rPr>
                <w:lang w:val="en-NZ"/>
              </w:rPr>
            </w:pPr>
            <w:r w:rsidRPr="005D3B3B">
              <w:t xml:space="preserve">Monitor work activities in terms of planned schedule </w:t>
            </w:r>
          </w:p>
        </w:tc>
      </w:tr>
      <w:tr w:rsidTr="0018117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D3B3B">
            <w:pPr>
              <w:pStyle w:val="BodyText"/>
              <w:rPr>
                <w:lang w:val="en-NZ"/>
              </w:rPr>
            </w:pPr>
            <w:r w:rsidRPr="005D3B3B">
              <w:t xml:space="preserve">Modify activities </w:t>
            </w:r>
            <w:r w:rsidRPr="005D3B3B">
              <w:t xml:space="preserve">depending on differing operational contingencies, risk situations and environments </w:t>
            </w:r>
          </w:p>
        </w:tc>
      </w:tr>
      <w:tr w:rsidTr="0018117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D3B3B">
            <w:pPr>
              <w:pStyle w:val="BodyText"/>
              <w:rPr>
                <w:lang w:val="en-NZ"/>
              </w:rPr>
            </w:pPr>
            <w:r w:rsidRPr="005D3B3B">
              <w:t xml:space="preserve">Work systematically with required attention to detail without injury to self or others, or damage to goods or equipment </w:t>
            </w:r>
          </w:p>
        </w:tc>
      </w:tr>
      <w:tr w:rsidTr="0018117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D3B3B">
            <w:pPr>
              <w:pStyle w:val="BodyText"/>
              <w:rPr>
                <w:lang w:val="en-NZ"/>
              </w:rPr>
            </w:pPr>
            <w:r w:rsidRPr="005D3B3B">
              <w:t>Identify and correctly use equipment, processes a</w:t>
            </w:r>
            <w:r w:rsidRPr="005D3B3B">
              <w:t xml:space="preserve">nd procedures </w:t>
            </w:r>
          </w:p>
        </w:tc>
      </w:tr>
      <w:tr w:rsidTr="0018117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D3B3B">
            <w:pPr>
              <w:pStyle w:val="BodyText"/>
              <w:rPr>
                <w:lang w:val="en-NZ"/>
              </w:rPr>
            </w:pPr>
            <w:r w:rsidRPr="005D3B3B">
              <w:t xml:space="preserve">Adapt to differences in equipment in accordance with standard operating procedures </w:t>
            </w:r>
          </w:p>
        </w:tc>
      </w:tr>
      <w:tr w:rsidTr="0018117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D3B3B">
            <w:pPr>
              <w:pStyle w:val="BodyText"/>
              <w:rPr>
                <w:lang w:val="en-NZ"/>
              </w:rPr>
            </w:pPr>
            <w:r w:rsidRPr="005D3B3B">
              <w:t xml:space="preserve">Safely use correct manual handling techniques </w:t>
            </w:r>
          </w:p>
        </w:tc>
      </w:tr>
      <w:tr w:rsidTr="0018117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5D3B3B" w:rsidP="005D3B3B">
            <w:pPr>
              <w:pStyle w:val="BodyText"/>
            </w:pPr>
            <w:r w:rsidRPr="005D3B3B">
              <w:t xml:space="preserve">Select and use required personal protective equipment conforming to industry and OH&amp;S standards </w:t>
            </w:r>
          </w:p>
        </w:tc>
      </w:tr>
    </w:tbl>
    <w:p w:rsidR="00000000" w:rsidRPr="005D3B3B" w:rsidP="005D3B3B">
      <w:pPr>
        <w:pStyle w:val="BodyText"/>
      </w:pPr>
    </w:p>
    <w:p w:rsidR="00000000" w:rsidRPr="005D3B3B" w:rsidP="005D3B3B">
      <w:pPr>
        <w:pStyle w:val="AllowPageBreak"/>
      </w:pPr>
    </w:p>
    <w:p w:rsidR="00000000" w:rsidRPr="005D3B3B" w:rsidP="005D3B3B">
      <w:pPr>
        <w:pStyle w:val="Heading1"/>
      </w:pPr>
      <w:bookmarkStart w:id="10" w:name="O_317049"/>
      <w:bookmarkEnd w:id="10"/>
      <w:r w:rsidRPr="005D3B3B">
        <w:t>Evidence Guide</w:t>
      </w:r>
    </w:p>
    <w:tbl>
      <w:tblPr>
        <w:tblW w:w="0" w:type="auto"/>
        <w:tblLayout w:type="fixed"/>
        <w:tblCellMar>
          <w:left w:w="62" w:type="dxa"/>
          <w:right w:w="62" w:type="dxa"/>
        </w:tblCellMar>
        <w:tblLook w:val="0000"/>
      </w:tblPr>
      <w:tblGrid>
        <w:gridCol w:w="4500"/>
        <w:gridCol w:w="4500"/>
      </w:tblGrid>
      <w:tr w:rsidTr="0018117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D3B3B">
            <w:pPr>
              <w:pStyle w:val="BodyText"/>
              <w:rPr>
                <w:lang w:val="en-NZ"/>
              </w:rPr>
            </w:pPr>
          </w:p>
        </w:tc>
      </w:tr>
      <w:tr w:rsidTr="0018117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D3B3B">
            <w:pPr>
              <w:pStyle w:val="BodyText"/>
              <w:rPr>
                <w:lang w:val="en-NZ"/>
              </w:rPr>
            </w:pPr>
            <w:r w:rsidRPr="005D3B3B">
              <w:t xml:space="preserve">The evidence guide provides advice on assessment and must be read in conjunction with the performance criteria, required knowledge and skills, the range statement and the assessment guidelines for this Training Package. </w:t>
            </w:r>
          </w:p>
        </w:tc>
      </w:tr>
      <w:tr w:rsidTr="0018117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D3B3B">
            <w:pPr>
              <w:pStyle w:val="BodyText"/>
              <w:rPr>
                <w:lang w:val="en-NZ"/>
              </w:rPr>
            </w:pPr>
            <w:r w:rsidRPr="005D3B3B">
              <w:rPr>
                <w:rStyle w:val="SpecialBold"/>
              </w:rPr>
              <w:t>Critical aspects for assessment and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5D3B3B" w:rsidP="005D3B3B">
            <w:pPr>
              <w:pStyle w:val="BodyText"/>
            </w:pPr>
            <w:r w:rsidRPr="005D3B3B">
              <w:t>The evidence required to demonstrate competency in this unit must be relevant to and satisfy all of the requirements of the elements and performance criteria of t</w:t>
            </w:r>
            <w:r w:rsidRPr="005D3B3B">
              <w:t xml:space="preserve">his unit and include demonstration of applying:   </w:t>
            </w:r>
          </w:p>
          <w:p w:rsidR="00000000" w:rsidRPr="005D3B3B" w:rsidP="005D3B3B">
            <w:pPr>
              <w:pStyle w:val="BodyText"/>
            </w:pPr>
            <w:r w:rsidRPr="005D3B3B">
              <w:t>the underpinning knowledge and skills</w:t>
            </w:r>
          </w:p>
          <w:p w:rsidR="00000000" w:rsidRPr="005D3B3B" w:rsidP="005D3B3B">
            <w:pPr>
              <w:pStyle w:val="BodyText"/>
            </w:pPr>
            <w:r w:rsidRPr="005D3B3B">
              <w:t>relevant legislation and workplace procedures</w:t>
            </w:r>
          </w:p>
          <w:p w:rsidR="00000000" w:rsidP="005D3B3B">
            <w:pPr>
              <w:pStyle w:val="BodyText"/>
              <w:rPr>
                <w:lang w:val="en-NZ"/>
              </w:rPr>
            </w:pPr>
            <w:r w:rsidRPr="005D3B3B">
              <w:t xml:space="preserve">other relevant aspects of the range statement </w:t>
            </w:r>
          </w:p>
        </w:tc>
      </w:tr>
      <w:tr w:rsidTr="0018117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D3B3B">
            <w:pPr>
              <w:pStyle w:val="BodyText"/>
              <w:rPr>
                <w:lang w:val="en-NZ"/>
              </w:rPr>
            </w:pPr>
            <w:r w:rsidRPr="005D3B3B">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5D3B3B" w:rsidP="005D3B3B">
            <w:pPr>
              <w:pStyle w:val="BodyText"/>
            </w:pPr>
            <w:r w:rsidRPr="005D3B3B">
              <w:t>Performance is demonstrated consistently over a period of time and in a suitable range of contexts</w:t>
            </w:r>
          </w:p>
          <w:p w:rsidR="00000000" w:rsidRPr="005D3B3B" w:rsidP="005D3B3B">
            <w:pPr>
              <w:pStyle w:val="BodyText"/>
            </w:pPr>
            <w:r w:rsidRPr="005D3B3B">
              <w:t xml:space="preserve">Resources for assessment include:   </w:t>
            </w:r>
          </w:p>
          <w:p w:rsidR="00000000" w:rsidRPr="005D3B3B" w:rsidP="005D3B3B">
            <w:pPr>
              <w:pStyle w:val="BodyText"/>
            </w:pPr>
            <w:r w:rsidRPr="005D3B3B">
              <w:t>a range of relevant exercises, case studies and other simulated practical and knowledge assessment, and/or</w:t>
            </w:r>
          </w:p>
          <w:p w:rsidR="00000000" w:rsidRPr="005D3B3B" w:rsidP="005D3B3B">
            <w:pPr>
              <w:pStyle w:val="BodyText"/>
            </w:pPr>
            <w:r w:rsidRPr="005D3B3B">
              <w:t xml:space="preserve">access to an </w:t>
            </w:r>
            <w:r w:rsidRPr="005D3B3B">
              <w:t>appropriate range of relevant operational situations in the workplace</w:t>
            </w:r>
          </w:p>
          <w:p w:rsidR="00000000" w:rsidRPr="005D3B3B" w:rsidP="005D3B3B">
            <w:pPr>
              <w:pStyle w:val="BodyText"/>
            </w:pPr>
          </w:p>
          <w:p w:rsidR="00000000" w:rsidRPr="005D3B3B" w:rsidP="005D3B3B">
            <w:pPr>
              <w:pStyle w:val="BodyText"/>
            </w:pPr>
            <w:r w:rsidRPr="005D3B3B">
              <w:t xml:space="preserve">In both real and simulated environments, access is required to:     </w:t>
            </w:r>
          </w:p>
          <w:p w:rsidR="00000000" w:rsidRPr="005D3B3B" w:rsidP="005D3B3B">
            <w:pPr>
              <w:pStyle w:val="BodyText"/>
            </w:pPr>
            <w:r w:rsidRPr="005D3B3B">
              <w:t>relevant and appropriate materials and/or equipment, and/or</w:t>
            </w:r>
          </w:p>
          <w:p w:rsidR="00000000" w:rsidP="005D3B3B">
            <w:pPr>
              <w:pStyle w:val="BodyText"/>
              <w:rPr>
                <w:lang w:val="en-NZ"/>
              </w:rPr>
            </w:pPr>
            <w:r w:rsidRPr="005D3B3B">
              <w:t>applicable documentation including workplace procedures,</w:t>
            </w:r>
            <w:r w:rsidRPr="005D3B3B">
              <w:t xml:space="preserve"> regulations, codes of practice and operation manuals </w:t>
            </w:r>
          </w:p>
        </w:tc>
      </w:tr>
      <w:tr w:rsidTr="0018117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D3B3B">
            <w:pPr>
              <w:pStyle w:val="BodyText"/>
              <w:rPr>
                <w:lang w:val="en-NZ"/>
              </w:rPr>
            </w:pPr>
            <w:r w:rsidRPr="005D3B3B">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5D3B3B" w:rsidP="005D3B3B">
            <w:pPr>
              <w:pStyle w:val="BodyText"/>
            </w:pPr>
            <w:r w:rsidRPr="005D3B3B">
              <w:t>Assessment of this unit must be undertaken by a registered training organisation</w:t>
            </w:r>
          </w:p>
          <w:p w:rsidR="00000000" w:rsidRPr="005D3B3B" w:rsidP="005D3B3B">
            <w:pPr>
              <w:pStyle w:val="BodyText"/>
            </w:pPr>
            <w:r w:rsidRPr="005D3B3B">
              <w:t>As a minimum, assessment of knowledge must be conducted through appropriate written/oral tests</w:t>
            </w:r>
          </w:p>
          <w:p w:rsidR="00000000" w:rsidRPr="005D3B3B" w:rsidP="005D3B3B">
            <w:pPr>
              <w:pStyle w:val="BodyText"/>
            </w:pPr>
            <w:r w:rsidRPr="005D3B3B">
              <w:t>Pra</w:t>
            </w:r>
            <w:r w:rsidRPr="005D3B3B">
              <w:t xml:space="preserve">ctical assessment must occur:   </w:t>
            </w:r>
          </w:p>
          <w:p w:rsidR="00000000" w:rsidRPr="005D3B3B" w:rsidP="005D3B3B">
            <w:pPr>
              <w:pStyle w:val="BodyText"/>
            </w:pPr>
            <w:r w:rsidRPr="005D3B3B">
              <w:t>through appropriately simulated activities at the registered training organisation, and/or</w:t>
            </w:r>
          </w:p>
          <w:p w:rsidR="00000000" w:rsidRPr="005D3B3B" w:rsidP="005D3B3B">
            <w:pPr>
              <w:pStyle w:val="BodyText"/>
            </w:pPr>
            <w:r w:rsidRPr="005D3B3B">
              <w:t xml:space="preserve">in an appropriate range of situations in the workplace </w:t>
            </w:r>
          </w:p>
        </w:tc>
      </w:tr>
    </w:tbl>
    <w:p w:rsidR="00000000" w:rsidRPr="005D3B3B" w:rsidP="005D3B3B">
      <w:pPr>
        <w:pStyle w:val="BodyText"/>
      </w:pPr>
    </w:p>
    <w:p w:rsidR="00000000" w:rsidRPr="005D3B3B" w:rsidP="005D3B3B">
      <w:pPr>
        <w:pStyle w:val="AllowPageBreak"/>
      </w:pPr>
    </w:p>
    <w:p w:rsidR="00000000" w:rsidRPr="005D3B3B" w:rsidP="005D3B3B">
      <w:pPr>
        <w:pStyle w:val="Heading1"/>
      </w:pPr>
      <w:bookmarkStart w:id="11" w:name="O_317048"/>
      <w:bookmarkEnd w:id="11"/>
      <w:r w:rsidRPr="005D3B3B">
        <w:t>Range Statement</w:t>
      </w:r>
    </w:p>
    <w:tbl>
      <w:tblPr>
        <w:tblW w:w="0" w:type="auto"/>
        <w:tblLayout w:type="fixed"/>
        <w:tblCellMar>
          <w:left w:w="62" w:type="dxa"/>
          <w:right w:w="62" w:type="dxa"/>
        </w:tblCellMar>
        <w:tblLook w:val="0000"/>
      </w:tblPr>
      <w:tblGrid>
        <w:gridCol w:w="4500"/>
        <w:gridCol w:w="4500"/>
      </w:tblGrid>
      <w:tr w:rsidTr="0018117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D3B3B">
            <w:pPr>
              <w:pStyle w:val="BodyText"/>
              <w:rPr>
                <w:lang w:val="en-NZ"/>
              </w:rPr>
            </w:pPr>
            <w:r w:rsidRPr="005D3B3B">
              <w:rPr>
                <w:rStyle w:val="SpecialBold"/>
              </w:rPr>
              <w:t>RANGE STATEMENT</w:t>
            </w:r>
          </w:p>
        </w:tc>
      </w:tr>
      <w:tr w:rsidTr="0018117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D3B3B">
            <w:pPr>
              <w:pStyle w:val="BodyText"/>
              <w:rPr>
                <w:lang w:val="en-NZ"/>
              </w:rPr>
            </w:pPr>
            <w:r w:rsidRPr="005D3B3B">
              <w:t xml:space="preserve">The range statement relates to the unit of competency as a whole. It allows for different work environments and situations that may affect performance. </w:t>
            </w:r>
          </w:p>
        </w:tc>
      </w:tr>
      <w:tr w:rsidTr="0018117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D3B3B">
            <w:pPr>
              <w:pStyle w:val="BodyText"/>
              <w:rPr>
                <w:lang w:val="en-NZ"/>
              </w:rPr>
            </w:pPr>
            <w:r w:rsidRPr="005D3B3B">
              <w:t xml:space="preserve">Operations may be conducted: </w:t>
            </w:r>
          </w:p>
        </w:tc>
        <w:tc>
          <w:tcPr>
            <w:tcW w:w="4500" w:type="dxa"/>
            <w:tcBorders>
              <w:top w:val="nil"/>
              <w:left w:val="nil"/>
              <w:bottom w:val="nil"/>
              <w:right w:val="nil"/>
            </w:tcBorders>
            <w:tcMar>
              <w:top w:w="0" w:type="dxa"/>
              <w:left w:w="62" w:type="dxa"/>
              <w:bottom w:w="0" w:type="dxa"/>
              <w:right w:w="62" w:type="dxa"/>
            </w:tcMar>
          </w:tcPr>
          <w:p w:rsidR="00000000" w:rsidRPr="005D3B3B" w:rsidP="005D3B3B">
            <w:pPr>
              <w:pStyle w:val="BodyText"/>
            </w:pPr>
            <w:r w:rsidRPr="005D3B3B">
              <w:t>in a range of work environments and weather conditions</w:t>
            </w:r>
          </w:p>
          <w:p w:rsidR="00000000" w:rsidP="005D3B3B">
            <w:pPr>
              <w:pStyle w:val="BodyText"/>
              <w:rPr>
                <w:lang w:val="en-NZ"/>
              </w:rPr>
            </w:pPr>
            <w:r w:rsidRPr="005D3B3B">
              <w:t xml:space="preserve">by day or night </w:t>
            </w:r>
          </w:p>
        </w:tc>
      </w:tr>
      <w:tr w:rsidTr="0018117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D3B3B">
            <w:pPr>
              <w:pStyle w:val="BodyText"/>
              <w:rPr>
                <w:lang w:val="en-NZ"/>
              </w:rPr>
            </w:pPr>
            <w:r w:rsidRPr="005D3B3B">
              <w:t xml:space="preserve">Customers may be: </w:t>
            </w:r>
          </w:p>
        </w:tc>
        <w:tc>
          <w:tcPr>
            <w:tcW w:w="4500" w:type="dxa"/>
            <w:tcBorders>
              <w:top w:val="nil"/>
              <w:left w:val="nil"/>
              <w:bottom w:val="nil"/>
              <w:right w:val="nil"/>
            </w:tcBorders>
            <w:tcMar>
              <w:top w:w="0" w:type="dxa"/>
              <w:left w:w="62" w:type="dxa"/>
              <w:bottom w:w="0" w:type="dxa"/>
              <w:right w:w="62" w:type="dxa"/>
            </w:tcMar>
          </w:tcPr>
          <w:p w:rsidR="00000000" w:rsidP="005D3B3B">
            <w:pPr>
              <w:pStyle w:val="BodyText"/>
              <w:rPr>
                <w:lang w:val="en-NZ"/>
              </w:rPr>
            </w:pPr>
            <w:r w:rsidRPr="005D3B3B">
              <w:t xml:space="preserve">internal or external </w:t>
            </w:r>
          </w:p>
        </w:tc>
      </w:tr>
      <w:tr w:rsidTr="0018117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D3B3B">
            <w:pPr>
              <w:pStyle w:val="BodyText"/>
              <w:rPr>
                <w:lang w:val="en-NZ"/>
              </w:rPr>
            </w:pPr>
            <w:r w:rsidRPr="005D3B3B">
              <w:t xml:space="preserve">Hazards may include: </w:t>
            </w:r>
          </w:p>
        </w:tc>
        <w:tc>
          <w:tcPr>
            <w:tcW w:w="4500" w:type="dxa"/>
            <w:tcBorders>
              <w:top w:val="nil"/>
              <w:left w:val="nil"/>
              <w:bottom w:val="nil"/>
              <w:right w:val="nil"/>
            </w:tcBorders>
            <w:tcMar>
              <w:top w:w="0" w:type="dxa"/>
              <w:left w:w="62" w:type="dxa"/>
              <w:bottom w:w="0" w:type="dxa"/>
              <w:right w:w="62" w:type="dxa"/>
            </w:tcMar>
          </w:tcPr>
          <w:p w:rsidR="00000000" w:rsidRPr="005D3B3B" w:rsidP="005D3B3B">
            <w:pPr>
              <w:pStyle w:val="BodyText"/>
            </w:pPr>
            <w:r w:rsidRPr="005D3B3B">
              <w:t>vehicular and pedestrian traffic</w:t>
            </w:r>
          </w:p>
          <w:p w:rsidR="00000000" w:rsidRPr="005D3B3B" w:rsidP="005D3B3B">
            <w:pPr>
              <w:pStyle w:val="BodyText"/>
            </w:pPr>
            <w:r w:rsidRPr="005D3B3B">
              <w:t>firearm handling</w:t>
            </w:r>
          </w:p>
          <w:p w:rsidR="00000000" w:rsidRPr="005D3B3B" w:rsidP="005D3B3B">
            <w:pPr>
              <w:pStyle w:val="BodyText"/>
            </w:pPr>
            <w:r w:rsidRPr="005D3B3B">
              <w:t>persons with felonious intent</w:t>
            </w:r>
          </w:p>
          <w:p w:rsidR="00000000" w:rsidRPr="005D3B3B" w:rsidP="005D3B3B">
            <w:pPr>
              <w:pStyle w:val="BodyText"/>
            </w:pPr>
            <w:r w:rsidRPr="005D3B3B">
              <w:t>uneven ground, steps, road surfaces</w:t>
            </w:r>
          </w:p>
          <w:p w:rsidR="00000000" w:rsidRPr="005D3B3B" w:rsidP="005D3B3B">
            <w:pPr>
              <w:pStyle w:val="BodyText"/>
            </w:pPr>
            <w:r w:rsidRPr="005D3B3B">
              <w:t>contamination of, or from, materials being handled</w:t>
            </w:r>
          </w:p>
          <w:p w:rsidR="00000000" w:rsidRPr="005D3B3B" w:rsidP="005D3B3B">
            <w:pPr>
              <w:pStyle w:val="BodyText"/>
            </w:pPr>
            <w:r w:rsidRPr="005D3B3B">
              <w:t>dust and vapours</w:t>
            </w:r>
          </w:p>
          <w:p w:rsidR="00000000" w:rsidRPr="005D3B3B" w:rsidP="005D3B3B">
            <w:pPr>
              <w:pStyle w:val="BodyText"/>
            </w:pPr>
            <w:r w:rsidRPr="005D3B3B">
              <w:t>hazardous or dangerous materials</w:t>
            </w:r>
          </w:p>
          <w:p w:rsidR="00000000" w:rsidP="005D3B3B">
            <w:pPr>
              <w:pStyle w:val="BodyText"/>
              <w:rPr>
                <w:lang w:val="en-NZ"/>
              </w:rPr>
            </w:pPr>
            <w:r w:rsidRPr="005D3B3B">
              <w:t xml:space="preserve">humidity, air temperature </w:t>
            </w:r>
          </w:p>
        </w:tc>
      </w:tr>
      <w:tr w:rsidTr="0018117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D3B3B">
            <w:pPr>
              <w:pStyle w:val="BodyText"/>
              <w:rPr>
                <w:lang w:val="en-NZ"/>
              </w:rPr>
            </w:pPr>
            <w:r w:rsidRPr="005D3B3B">
              <w:t xml:space="preserve">Consultative processes may involve: </w:t>
            </w:r>
          </w:p>
        </w:tc>
        <w:tc>
          <w:tcPr>
            <w:tcW w:w="4500" w:type="dxa"/>
            <w:tcBorders>
              <w:top w:val="nil"/>
              <w:left w:val="nil"/>
              <w:bottom w:val="nil"/>
              <w:right w:val="nil"/>
            </w:tcBorders>
            <w:tcMar>
              <w:top w:w="0" w:type="dxa"/>
              <w:left w:w="62" w:type="dxa"/>
              <w:bottom w:w="0" w:type="dxa"/>
              <w:right w:w="62" w:type="dxa"/>
            </w:tcMar>
          </w:tcPr>
          <w:p w:rsidR="00000000" w:rsidRPr="005D3B3B" w:rsidP="005D3B3B">
            <w:pPr>
              <w:pStyle w:val="BodyText"/>
            </w:pPr>
            <w:r w:rsidRPr="005D3B3B">
              <w:t>clients</w:t>
            </w:r>
          </w:p>
          <w:p w:rsidR="00000000" w:rsidRPr="005D3B3B" w:rsidP="005D3B3B">
            <w:pPr>
              <w:pStyle w:val="BodyText"/>
            </w:pPr>
            <w:r w:rsidRPr="005D3B3B">
              <w:t>private security personnel</w:t>
            </w:r>
          </w:p>
          <w:p w:rsidR="00000000" w:rsidRPr="005D3B3B" w:rsidP="005D3B3B">
            <w:pPr>
              <w:pStyle w:val="BodyText"/>
            </w:pPr>
            <w:r w:rsidRPr="005D3B3B">
              <w:t>public sector security personnel</w:t>
            </w:r>
          </w:p>
          <w:p w:rsidR="00000000" w:rsidRPr="005D3B3B" w:rsidP="005D3B3B">
            <w:pPr>
              <w:pStyle w:val="BodyText"/>
            </w:pPr>
            <w:r w:rsidRPr="005D3B3B">
              <w:t>police</w:t>
            </w:r>
          </w:p>
          <w:p w:rsidR="00000000" w:rsidRPr="005D3B3B" w:rsidP="005D3B3B">
            <w:pPr>
              <w:pStyle w:val="BodyText"/>
            </w:pPr>
            <w:r w:rsidRPr="005D3B3B">
              <w:t>security consultants</w:t>
            </w:r>
          </w:p>
          <w:p w:rsidR="00000000" w:rsidRPr="005D3B3B" w:rsidP="005D3B3B">
            <w:pPr>
              <w:pStyle w:val="BodyText"/>
            </w:pPr>
            <w:r w:rsidRPr="005D3B3B">
              <w:t>other employees and supervisors</w:t>
            </w:r>
          </w:p>
          <w:p w:rsidR="00000000" w:rsidRPr="005D3B3B" w:rsidP="005D3B3B">
            <w:pPr>
              <w:pStyle w:val="BodyText"/>
            </w:pPr>
            <w:r w:rsidRPr="005D3B3B">
              <w:t>management</w:t>
            </w:r>
          </w:p>
          <w:p w:rsidR="00000000" w:rsidP="005D3B3B">
            <w:pPr>
              <w:pStyle w:val="BodyText"/>
              <w:rPr>
                <w:lang w:val="en-NZ"/>
              </w:rPr>
            </w:pPr>
            <w:r w:rsidRPr="005D3B3B">
              <w:t xml:space="preserve">other professional </w:t>
            </w:r>
            <w:r w:rsidRPr="005D3B3B">
              <w:t xml:space="preserve">or technical staff </w:t>
            </w:r>
          </w:p>
        </w:tc>
      </w:tr>
      <w:tr w:rsidTr="0018117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D3B3B">
            <w:pPr>
              <w:pStyle w:val="BodyText"/>
              <w:rPr>
                <w:lang w:val="en-NZ"/>
              </w:rPr>
            </w:pPr>
            <w:r w:rsidRPr="005D3B3B">
              <w:t xml:space="preserve">Consignment risk may include: </w:t>
            </w:r>
          </w:p>
        </w:tc>
        <w:tc>
          <w:tcPr>
            <w:tcW w:w="4500" w:type="dxa"/>
            <w:tcBorders>
              <w:top w:val="nil"/>
              <w:left w:val="nil"/>
              <w:bottom w:val="nil"/>
              <w:right w:val="nil"/>
            </w:tcBorders>
            <w:tcMar>
              <w:top w:w="0" w:type="dxa"/>
              <w:left w:w="62" w:type="dxa"/>
              <w:bottom w:w="0" w:type="dxa"/>
              <w:right w:w="62" w:type="dxa"/>
            </w:tcMar>
          </w:tcPr>
          <w:p w:rsidR="00000000" w:rsidRPr="005D3B3B" w:rsidP="005D3B3B">
            <w:pPr>
              <w:pStyle w:val="BodyText"/>
            </w:pPr>
            <w:r w:rsidRPr="005D3B3B">
              <w:t>staff fidelity</w:t>
            </w:r>
          </w:p>
          <w:p w:rsidR="00000000" w:rsidRPr="005D3B3B" w:rsidP="005D3B3B">
            <w:pPr>
              <w:pStyle w:val="BodyText"/>
            </w:pPr>
            <w:r w:rsidRPr="005D3B3B">
              <w:t>other theft</w:t>
            </w:r>
          </w:p>
          <w:p w:rsidR="00000000" w:rsidP="005D3B3B">
            <w:pPr>
              <w:pStyle w:val="BodyText"/>
              <w:rPr>
                <w:lang w:val="en-NZ"/>
              </w:rPr>
            </w:pPr>
            <w:r w:rsidRPr="005D3B3B">
              <w:t xml:space="preserve">loss through negligence </w:t>
            </w:r>
          </w:p>
        </w:tc>
      </w:tr>
      <w:tr w:rsidTr="0018117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D3B3B">
            <w:pPr>
              <w:pStyle w:val="BodyText"/>
              <w:rPr>
                <w:lang w:val="en-NZ"/>
              </w:rPr>
            </w:pPr>
            <w:r w:rsidRPr="005D3B3B">
              <w:t xml:space="preserve">Communication in the work area may include: </w:t>
            </w:r>
          </w:p>
        </w:tc>
        <w:tc>
          <w:tcPr>
            <w:tcW w:w="4500" w:type="dxa"/>
            <w:tcBorders>
              <w:top w:val="nil"/>
              <w:left w:val="nil"/>
              <w:bottom w:val="nil"/>
              <w:right w:val="nil"/>
            </w:tcBorders>
            <w:tcMar>
              <w:top w:w="0" w:type="dxa"/>
              <w:left w:w="62" w:type="dxa"/>
              <w:bottom w:w="0" w:type="dxa"/>
              <w:right w:w="62" w:type="dxa"/>
            </w:tcMar>
          </w:tcPr>
          <w:p w:rsidR="00000000" w:rsidRPr="005D3B3B" w:rsidP="005D3B3B">
            <w:pPr>
              <w:pStyle w:val="BodyText"/>
            </w:pPr>
            <w:r w:rsidRPr="005D3B3B">
              <w:t>mobile and fixed phones</w:t>
            </w:r>
          </w:p>
          <w:p w:rsidR="00000000" w:rsidRPr="005D3B3B" w:rsidP="005D3B3B">
            <w:pPr>
              <w:pStyle w:val="BodyText"/>
            </w:pPr>
            <w:r w:rsidRPr="005D3B3B">
              <w:t>radio</w:t>
            </w:r>
          </w:p>
          <w:p w:rsidR="00000000" w:rsidP="005D3B3B">
            <w:pPr>
              <w:pStyle w:val="BodyText"/>
              <w:rPr>
                <w:lang w:val="en-NZ"/>
              </w:rPr>
            </w:pPr>
            <w:r w:rsidRPr="005D3B3B">
              <w:t xml:space="preserve">oral, aural or signed communications </w:t>
            </w:r>
          </w:p>
        </w:tc>
      </w:tr>
      <w:tr w:rsidTr="0018117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D3B3B">
            <w:pPr>
              <w:pStyle w:val="BodyText"/>
              <w:rPr>
                <w:lang w:val="en-NZ"/>
              </w:rPr>
            </w:pPr>
            <w:r w:rsidRPr="005D3B3B">
              <w:t xml:space="preserve">Security systems/devices may include: </w:t>
            </w:r>
          </w:p>
        </w:tc>
        <w:tc>
          <w:tcPr>
            <w:tcW w:w="4500" w:type="dxa"/>
            <w:tcBorders>
              <w:top w:val="nil"/>
              <w:left w:val="nil"/>
              <w:bottom w:val="nil"/>
              <w:right w:val="nil"/>
            </w:tcBorders>
            <w:tcMar>
              <w:top w:w="0" w:type="dxa"/>
              <w:left w:w="62" w:type="dxa"/>
              <w:bottom w:w="0" w:type="dxa"/>
              <w:right w:w="62" w:type="dxa"/>
            </w:tcMar>
          </w:tcPr>
          <w:p w:rsidR="00000000" w:rsidRPr="005D3B3B" w:rsidP="005D3B3B">
            <w:pPr>
              <w:pStyle w:val="BodyText"/>
            </w:pPr>
            <w:r w:rsidRPr="005D3B3B">
              <w:t>two key safes</w:t>
            </w:r>
          </w:p>
          <w:p w:rsidR="00000000" w:rsidRPr="005D3B3B" w:rsidP="005D3B3B">
            <w:pPr>
              <w:pStyle w:val="BodyText"/>
            </w:pPr>
            <w:r w:rsidRPr="005D3B3B">
              <w:t>ATM vaults</w:t>
            </w:r>
          </w:p>
          <w:p w:rsidR="00000000" w:rsidRPr="005D3B3B" w:rsidP="005D3B3B">
            <w:pPr>
              <w:pStyle w:val="BodyText"/>
            </w:pPr>
            <w:r w:rsidRPr="005D3B3B">
              <w:t>surveillance cameras</w:t>
            </w:r>
          </w:p>
          <w:p w:rsidR="00000000" w:rsidRPr="005D3B3B" w:rsidP="005D3B3B">
            <w:pPr>
              <w:pStyle w:val="BodyText"/>
            </w:pPr>
            <w:r w:rsidRPr="005D3B3B">
              <w:t>VCRs</w:t>
            </w:r>
          </w:p>
          <w:p w:rsidR="00000000" w:rsidRPr="005D3B3B" w:rsidP="005D3B3B">
            <w:pPr>
              <w:pStyle w:val="BodyText"/>
            </w:pPr>
            <w:r w:rsidRPr="005D3B3B">
              <w:t>alarm systems</w:t>
            </w:r>
          </w:p>
          <w:p w:rsidR="00000000" w:rsidRPr="005D3B3B" w:rsidP="005D3B3B">
            <w:pPr>
              <w:pStyle w:val="BodyText"/>
            </w:pPr>
            <w:r w:rsidRPr="005D3B3B">
              <w:t>access control systems</w:t>
            </w:r>
          </w:p>
          <w:p w:rsidR="00000000" w:rsidP="005D3B3B">
            <w:pPr>
              <w:pStyle w:val="BodyText"/>
              <w:rPr>
                <w:lang w:val="en-NZ"/>
              </w:rPr>
            </w:pPr>
            <w:r w:rsidRPr="005D3B3B">
              <w:t xml:space="preserve">time delay devices </w:t>
            </w:r>
          </w:p>
        </w:tc>
      </w:tr>
      <w:tr w:rsidTr="0018117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D3B3B">
            <w:pPr>
              <w:pStyle w:val="BodyText"/>
              <w:rPr>
                <w:lang w:val="en-NZ"/>
              </w:rPr>
            </w:pPr>
            <w:r w:rsidRPr="005D3B3B">
              <w:t xml:space="preserve">Secured environment may be: </w:t>
            </w:r>
          </w:p>
        </w:tc>
        <w:tc>
          <w:tcPr>
            <w:tcW w:w="4500" w:type="dxa"/>
            <w:tcBorders>
              <w:top w:val="nil"/>
              <w:left w:val="nil"/>
              <w:bottom w:val="nil"/>
              <w:right w:val="nil"/>
            </w:tcBorders>
            <w:tcMar>
              <w:top w:w="0" w:type="dxa"/>
              <w:left w:w="62" w:type="dxa"/>
              <w:bottom w:w="0" w:type="dxa"/>
              <w:right w:w="62" w:type="dxa"/>
            </w:tcMar>
          </w:tcPr>
          <w:p w:rsidR="00000000" w:rsidP="005D3B3B">
            <w:pPr>
              <w:pStyle w:val="BodyText"/>
              <w:rPr>
                <w:lang w:val="en-NZ"/>
              </w:rPr>
            </w:pPr>
            <w:r w:rsidRPr="005D3B3B">
              <w:t xml:space="preserve">on or off normal site of operations </w:t>
            </w:r>
          </w:p>
        </w:tc>
      </w:tr>
      <w:tr w:rsidTr="0018117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D3B3B">
            <w:pPr>
              <w:pStyle w:val="BodyText"/>
              <w:rPr>
                <w:lang w:val="en-NZ"/>
              </w:rPr>
            </w:pPr>
            <w:r w:rsidRPr="005D3B3B">
              <w:t xml:space="preserve">Security arrangements are varied in line </w:t>
            </w:r>
            <w:r w:rsidRPr="005D3B3B">
              <w:t xml:space="preserve">with: </w:t>
            </w:r>
          </w:p>
        </w:tc>
        <w:tc>
          <w:tcPr>
            <w:tcW w:w="4500" w:type="dxa"/>
            <w:tcBorders>
              <w:top w:val="nil"/>
              <w:left w:val="nil"/>
              <w:bottom w:val="nil"/>
              <w:right w:val="nil"/>
            </w:tcBorders>
            <w:tcMar>
              <w:top w:w="0" w:type="dxa"/>
              <w:left w:w="62" w:type="dxa"/>
              <w:bottom w:w="0" w:type="dxa"/>
              <w:right w:w="62" w:type="dxa"/>
            </w:tcMar>
          </w:tcPr>
          <w:p w:rsidR="00000000" w:rsidP="005D3B3B">
            <w:pPr>
              <w:pStyle w:val="BodyText"/>
              <w:rPr>
                <w:lang w:val="en-NZ"/>
              </w:rPr>
            </w:pPr>
            <w:r w:rsidRPr="005D3B3B">
              <w:t xml:space="preserve">workplace policies and procedures </w:t>
            </w:r>
          </w:p>
        </w:tc>
      </w:tr>
      <w:tr w:rsidTr="0018117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D3B3B">
            <w:pPr>
              <w:pStyle w:val="BodyText"/>
              <w:rPr>
                <w:lang w:val="en-NZ"/>
              </w:rPr>
            </w:pPr>
            <w:r w:rsidRPr="005D3B3B">
              <w:t xml:space="preserve">Depending on the type of organisation concerned and the local terminology used, workplace procedures may include: </w:t>
            </w:r>
          </w:p>
        </w:tc>
        <w:tc>
          <w:tcPr>
            <w:tcW w:w="4500" w:type="dxa"/>
            <w:tcBorders>
              <w:top w:val="nil"/>
              <w:left w:val="nil"/>
              <w:bottom w:val="nil"/>
              <w:right w:val="nil"/>
            </w:tcBorders>
            <w:tcMar>
              <w:top w:w="0" w:type="dxa"/>
              <w:left w:w="62" w:type="dxa"/>
              <w:bottom w:w="0" w:type="dxa"/>
              <w:right w:w="62" w:type="dxa"/>
            </w:tcMar>
          </w:tcPr>
          <w:p w:rsidR="00000000" w:rsidRPr="005D3B3B" w:rsidP="005D3B3B">
            <w:pPr>
              <w:pStyle w:val="BodyText"/>
            </w:pPr>
            <w:r w:rsidRPr="005D3B3B">
              <w:t>company procedures</w:t>
            </w:r>
          </w:p>
          <w:p w:rsidR="00000000" w:rsidRPr="005D3B3B" w:rsidP="005D3B3B">
            <w:pPr>
              <w:pStyle w:val="BodyText"/>
            </w:pPr>
            <w:r w:rsidRPr="005D3B3B">
              <w:t>enterprise procedures</w:t>
            </w:r>
          </w:p>
          <w:p w:rsidR="00000000" w:rsidRPr="005D3B3B" w:rsidP="005D3B3B">
            <w:pPr>
              <w:pStyle w:val="BodyText"/>
            </w:pPr>
            <w:r w:rsidRPr="005D3B3B">
              <w:t>organisational procedures</w:t>
            </w:r>
          </w:p>
          <w:p w:rsidR="00000000" w:rsidP="005D3B3B">
            <w:pPr>
              <w:pStyle w:val="BodyText"/>
              <w:rPr>
                <w:lang w:val="en-NZ"/>
              </w:rPr>
            </w:pPr>
            <w:r w:rsidRPr="005D3B3B">
              <w:t xml:space="preserve">established procedures </w:t>
            </w:r>
          </w:p>
        </w:tc>
      </w:tr>
      <w:tr w:rsidTr="0018117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D3B3B">
            <w:pPr>
              <w:pStyle w:val="BodyText"/>
              <w:rPr>
                <w:lang w:val="en-NZ"/>
              </w:rPr>
            </w:pPr>
            <w:r w:rsidRPr="005D3B3B">
              <w:t xml:space="preserve">Personal protective equipment may include: </w:t>
            </w:r>
          </w:p>
        </w:tc>
        <w:tc>
          <w:tcPr>
            <w:tcW w:w="4500" w:type="dxa"/>
            <w:tcBorders>
              <w:top w:val="nil"/>
              <w:left w:val="nil"/>
              <w:bottom w:val="nil"/>
              <w:right w:val="nil"/>
            </w:tcBorders>
            <w:tcMar>
              <w:top w:w="0" w:type="dxa"/>
              <w:left w:w="62" w:type="dxa"/>
              <w:bottom w:w="0" w:type="dxa"/>
              <w:right w:w="62" w:type="dxa"/>
            </w:tcMar>
          </w:tcPr>
          <w:p w:rsidR="00000000" w:rsidRPr="005D3B3B" w:rsidP="005D3B3B">
            <w:pPr>
              <w:pStyle w:val="BodyText"/>
            </w:pPr>
            <w:r w:rsidRPr="005D3B3B">
              <w:t>gloves</w:t>
            </w:r>
          </w:p>
          <w:p w:rsidR="00000000" w:rsidRPr="005D3B3B" w:rsidP="005D3B3B">
            <w:pPr>
              <w:pStyle w:val="BodyText"/>
            </w:pPr>
            <w:r w:rsidRPr="005D3B3B">
              <w:t>safety headwear and footwear</w:t>
            </w:r>
          </w:p>
          <w:p w:rsidR="00000000" w:rsidRPr="005D3B3B" w:rsidP="005D3B3B">
            <w:pPr>
              <w:pStyle w:val="BodyText"/>
            </w:pPr>
            <w:r w:rsidRPr="005D3B3B">
              <w:t>firearms</w:t>
            </w:r>
          </w:p>
          <w:p w:rsidR="00000000" w:rsidP="005D3B3B">
            <w:pPr>
              <w:pStyle w:val="BodyText"/>
              <w:rPr>
                <w:lang w:val="en-NZ"/>
              </w:rPr>
            </w:pPr>
            <w:r w:rsidRPr="005D3B3B">
              <w:t xml:space="preserve">two-way radios </w:t>
            </w:r>
          </w:p>
        </w:tc>
      </w:tr>
      <w:tr w:rsidTr="0018117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D3B3B">
            <w:pPr>
              <w:pStyle w:val="BodyText"/>
              <w:rPr>
                <w:lang w:val="en-NZ"/>
              </w:rPr>
            </w:pPr>
            <w:r w:rsidRPr="005D3B3B">
              <w:t xml:space="preserve">Information documents may include: </w:t>
            </w:r>
          </w:p>
        </w:tc>
        <w:tc>
          <w:tcPr>
            <w:tcW w:w="4500" w:type="dxa"/>
            <w:tcBorders>
              <w:top w:val="nil"/>
              <w:left w:val="nil"/>
              <w:bottom w:val="nil"/>
              <w:right w:val="nil"/>
            </w:tcBorders>
            <w:tcMar>
              <w:top w:w="0" w:type="dxa"/>
              <w:left w:w="62" w:type="dxa"/>
              <w:bottom w:w="0" w:type="dxa"/>
              <w:right w:w="62" w:type="dxa"/>
            </w:tcMar>
          </w:tcPr>
          <w:p w:rsidR="00000000" w:rsidRPr="005D3B3B" w:rsidP="005D3B3B">
            <w:pPr>
              <w:pStyle w:val="BodyText"/>
            </w:pPr>
            <w:r w:rsidRPr="005D3B3B">
              <w:t>workplace procedures and policies</w:t>
            </w:r>
          </w:p>
          <w:p w:rsidR="00000000" w:rsidRPr="005D3B3B" w:rsidP="005D3B3B">
            <w:pPr>
              <w:pStyle w:val="BodyText"/>
            </w:pPr>
            <w:r w:rsidRPr="005D3B3B">
              <w:t>job specifications</w:t>
            </w:r>
          </w:p>
          <w:p w:rsidR="00000000" w:rsidRPr="005D3B3B" w:rsidP="005D3B3B">
            <w:pPr>
              <w:pStyle w:val="BodyText"/>
            </w:pPr>
            <w:r w:rsidRPr="005D3B3B">
              <w:t>relevant manufacturers specifications</w:t>
            </w:r>
          </w:p>
          <w:p w:rsidR="00000000" w:rsidRPr="005D3B3B" w:rsidP="005D3B3B">
            <w:pPr>
              <w:pStyle w:val="BodyText"/>
            </w:pPr>
            <w:r w:rsidRPr="005D3B3B">
              <w:t>competency standards an</w:t>
            </w:r>
            <w:r w:rsidRPr="005D3B3B">
              <w:t>d training materials</w:t>
            </w:r>
          </w:p>
          <w:p w:rsidR="00000000" w:rsidRPr="005D3B3B" w:rsidP="005D3B3B">
            <w:pPr>
              <w:pStyle w:val="BodyText"/>
            </w:pPr>
            <w:r w:rsidRPr="005D3B3B">
              <w:t>supplier and/or client instructions</w:t>
            </w:r>
          </w:p>
          <w:p w:rsidR="00000000" w:rsidRPr="005D3B3B" w:rsidP="005D3B3B">
            <w:pPr>
              <w:pStyle w:val="BodyText"/>
            </w:pPr>
            <w:r w:rsidRPr="005D3B3B">
              <w:t>material safety data sheets</w:t>
            </w:r>
          </w:p>
          <w:p w:rsidR="00000000" w:rsidRPr="005D3B3B" w:rsidP="005D3B3B">
            <w:pPr>
              <w:pStyle w:val="BodyText"/>
            </w:pPr>
            <w:r w:rsidRPr="005D3B3B">
              <w:t>codes of practice including the National Standards for Manual Handling and the Industry Safety Code</w:t>
            </w:r>
          </w:p>
          <w:p w:rsidR="00000000" w:rsidRPr="005D3B3B" w:rsidP="005D3B3B">
            <w:pPr>
              <w:pStyle w:val="BodyText"/>
            </w:pPr>
            <w:r w:rsidRPr="005D3B3B">
              <w:t>award, enterprise bargaining agreement, other industrial arrangements</w:t>
            </w:r>
          </w:p>
          <w:p w:rsidR="00000000" w:rsidRPr="005D3B3B" w:rsidP="005D3B3B">
            <w:pPr>
              <w:pStyle w:val="BodyText"/>
            </w:pPr>
            <w:r w:rsidRPr="005D3B3B">
              <w:t>s</w:t>
            </w:r>
            <w:r w:rsidRPr="005D3B3B">
              <w:t>tandards and certification requirements</w:t>
            </w:r>
          </w:p>
          <w:p w:rsidR="00000000" w:rsidRPr="005D3B3B" w:rsidP="005D3B3B">
            <w:pPr>
              <w:pStyle w:val="BodyText"/>
            </w:pPr>
            <w:r w:rsidRPr="005D3B3B">
              <w:t>quality assurance procedures</w:t>
            </w:r>
          </w:p>
          <w:p w:rsidR="00000000" w:rsidP="005D3B3B">
            <w:pPr>
              <w:pStyle w:val="BodyText"/>
              <w:rPr>
                <w:lang w:val="en-NZ"/>
              </w:rPr>
            </w:pPr>
            <w:r w:rsidRPr="005D3B3B">
              <w:t xml:space="preserve">emergency procedures </w:t>
            </w:r>
          </w:p>
        </w:tc>
      </w:tr>
      <w:tr w:rsidTr="0018117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D3B3B">
            <w:pPr>
              <w:pStyle w:val="BodyText"/>
              <w:rPr>
                <w:lang w:val="en-NZ"/>
              </w:rPr>
            </w:pPr>
            <w:r w:rsidRPr="005D3B3B">
              <w:t xml:space="preserve">Applicable regulations and legislation may include: </w:t>
            </w:r>
          </w:p>
        </w:tc>
        <w:tc>
          <w:tcPr>
            <w:tcW w:w="4500" w:type="dxa"/>
            <w:tcBorders>
              <w:top w:val="nil"/>
              <w:left w:val="nil"/>
              <w:bottom w:val="nil"/>
              <w:right w:val="nil"/>
            </w:tcBorders>
            <w:tcMar>
              <w:top w:w="0" w:type="dxa"/>
              <w:left w:w="62" w:type="dxa"/>
              <w:bottom w:w="0" w:type="dxa"/>
              <w:right w:w="62" w:type="dxa"/>
            </w:tcMar>
          </w:tcPr>
          <w:p w:rsidR="00000000" w:rsidRPr="005D3B3B" w:rsidP="005D3B3B">
            <w:pPr>
              <w:pStyle w:val="BodyText"/>
            </w:pPr>
            <w:r w:rsidRPr="005D3B3B">
              <w:t>state/territory OH&amp;S regulations and legislation, including manual handling regulations</w:t>
            </w:r>
          </w:p>
          <w:p w:rsidR="00000000" w:rsidRPr="005D3B3B" w:rsidP="005D3B3B">
            <w:pPr>
              <w:pStyle w:val="BodyText"/>
            </w:pPr>
            <w:r w:rsidRPr="005D3B3B">
              <w:t>relevant Australian Standards and certification requirements</w:t>
            </w:r>
          </w:p>
          <w:p w:rsidR="00000000" w:rsidRPr="005D3B3B" w:rsidP="005D3B3B">
            <w:pPr>
              <w:pStyle w:val="BodyText"/>
            </w:pPr>
            <w:r w:rsidRPr="005D3B3B">
              <w:t>relevant state/territory privacy legislation</w:t>
            </w:r>
          </w:p>
          <w:p w:rsidR="00000000" w:rsidRPr="005D3B3B" w:rsidP="005D3B3B">
            <w:pPr>
              <w:pStyle w:val="BodyText"/>
            </w:pPr>
            <w:r w:rsidRPr="005D3B3B">
              <w:t>relevant state/territory firearms legislation</w:t>
            </w:r>
          </w:p>
          <w:p w:rsidR="00000000" w:rsidRPr="005D3B3B" w:rsidP="005D3B3B">
            <w:pPr>
              <w:pStyle w:val="BodyText"/>
            </w:pPr>
            <w:r w:rsidRPr="005D3B3B">
              <w:t>licensing and permits for firearms and security occupations</w:t>
            </w:r>
          </w:p>
          <w:p w:rsidR="00000000" w:rsidRPr="005D3B3B" w:rsidP="005D3B3B">
            <w:pPr>
              <w:pStyle w:val="BodyText"/>
            </w:pPr>
            <w:r w:rsidRPr="005D3B3B">
              <w:t>licensing requirements for driving and carry</w:t>
            </w:r>
            <w:r w:rsidRPr="005D3B3B">
              <w:t>ing particular classes of goods</w:t>
            </w:r>
          </w:p>
          <w:p w:rsidR="00000000" w:rsidRPr="005D3B3B" w:rsidP="005D3B3B">
            <w:pPr>
              <w:pStyle w:val="BodyText"/>
            </w:pPr>
            <w:r w:rsidRPr="005D3B3B">
              <w:t xml:space="preserve">relevant state/territory road rules and traffic acts </w:t>
            </w:r>
          </w:p>
        </w:tc>
      </w:tr>
    </w:tbl>
    <w:p w:rsidR="00000000" w:rsidRPr="005D3B3B" w:rsidP="005D3B3B">
      <w:pPr>
        <w:pStyle w:val="BodyText"/>
      </w:pPr>
    </w:p>
    <w:p w:rsidR="00000000" w:rsidRPr="005D3B3B" w:rsidP="005D3B3B">
      <w:pPr>
        <w:pStyle w:val="AllowPageBreak"/>
      </w:pPr>
    </w:p>
    <w:p w:rsidR="00000000" w:rsidRPr="005D3B3B" w:rsidP="005D3B3B">
      <w:pPr>
        <w:pStyle w:val="Heading1"/>
      </w:pPr>
      <w:bookmarkStart w:id="12" w:name="O_317046"/>
      <w:bookmarkEnd w:id="12"/>
      <w:r w:rsidRPr="005D3B3B">
        <w:t>Unit Sector(s)</w:t>
      </w:r>
    </w:p>
    <w:p w:rsidR="00000000" w:rsidRPr="005D3B3B" w:rsidP="005D3B3B">
      <w:pPr>
        <w:pStyle w:val="BodyText"/>
      </w:pPr>
      <w:r w:rsidRPr="005D3B3B">
        <w:t>Not applicable.</w:t>
      </w:r>
    </w:p>
    <w:p w:rsidR="00000000" w:rsidRPr="005D3B3B" w:rsidP="005D3B3B">
      <w:pPr>
        <w:pStyle w:val="AllowPageBreak"/>
      </w:pPr>
    </w:p>
    <w:p w:rsidR="00000000" w:rsidRPr="005D3B3B" w:rsidP="005D3B3B">
      <w:pPr>
        <w:pStyle w:val="Heading1"/>
      </w:pPr>
      <w:bookmarkStart w:id="13" w:name="O_317047"/>
      <w:bookmarkEnd w:id="13"/>
      <w:r w:rsidRPr="005D3B3B">
        <w:t xml:space="preserve">Competency Field </w:t>
      </w:r>
    </w:p>
    <w:p w:rsidR="00000000" w:rsidRPr="005D3B3B" w:rsidP="005D3B3B">
      <w:pPr>
        <w:pStyle w:val="BodyText"/>
      </w:pPr>
      <w:r w:rsidRPr="005D3B3B">
        <w:t>O - Security</w:t>
      </w:r>
    </w:p>
    <w:p w:rsidR="00000000" w:rsidRPr="005D3B3B" w:rsidP="005D3B3B"/>
    <w:sectPr w:rsidSect="005D3B3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B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8117D" w:rsidP="0018117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B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17D" w:rsidP="005D3B3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18117D" w:rsidP="005D3B3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18117D" w:rsidP="005D3B3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B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B3B" w:rsidRPr="0018117D" w:rsidP="0018117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B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17D" w:rsidRPr="002D2AF8" w:rsidP="005D3B3B">
    <w:pPr>
      <w:pStyle w:val="Header"/>
      <w:framePr w:wrap="around"/>
    </w:pPr>
    <w:r>
      <w:fldChar w:fldCharType="begin"/>
    </w:r>
    <w:r>
      <w:instrText xml:space="preserve"> TITLE   \* MERGEFORMAT </w:instrText>
    </w:r>
    <w:r>
      <w:fldChar w:fldCharType="separate"/>
    </w:r>
    <w:r>
      <w:t>TLIO307C Undertake loading and unloading in a designated secured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18117D" w:rsidP="005D3B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B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D3B3B"/>
    <w:pPr>
      <w:spacing w:before="360" w:after="60"/>
      <w:outlineLvl w:val="0"/>
    </w:pPr>
    <w:rPr>
      <w:sz w:val="32"/>
    </w:rPr>
  </w:style>
  <w:style w:type="paragraph" w:styleId="Heading2">
    <w:name w:val="heading 2"/>
    <w:basedOn w:val="HeadingBase"/>
    <w:next w:val="BodyText"/>
    <w:link w:val="Heading2Char"/>
    <w:qFormat/>
    <w:rsid w:val="005D3B3B"/>
    <w:pPr>
      <w:keepLines/>
      <w:spacing w:before="240" w:after="120"/>
      <w:outlineLvl w:val="1"/>
    </w:pPr>
    <w:rPr>
      <w:sz w:val="28"/>
      <w:szCs w:val="40"/>
    </w:rPr>
  </w:style>
  <w:style w:type="paragraph" w:styleId="Heading3">
    <w:name w:val="heading 3"/>
    <w:basedOn w:val="HeadingBase"/>
    <w:next w:val="BodyText"/>
    <w:link w:val="Heading3Char"/>
    <w:qFormat/>
    <w:rsid w:val="005D3B3B"/>
    <w:pPr>
      <w:spacing w:before="180" w:after="120"/>
      <w:outlineLvl w:val="2"/>
    </w:pPr>
    <w:rPr>
      <w:spacing w:val="-10"/>
      <w:kern w:val="32"/>
    </w:rPr>
  </w:style>
  <w:style w:type="paragraph" w:styleId="Heading4">
    <w:name w:val="heading 4"/>
    <w:basedOn w:val="HeadingBase"/>
    <w:next w:val="BodyText"/>
    <w:link w:val="Heading4Char"/>
    <w:qFormat/>
    <w:rsid w:val="005D3B3B"/>
    <w:pPr>
      <w:spacing w:before="160" w:after="120"/>
      <w:outlineLvl w:val="3"/>
    </w:pPr>
    <w:rPr>
      <w:sz w:val="22"/>
    </w:rPr>
  </w:style>
  <w:style w:type="paragraph" w:styleId="Heading5">
    <w:name w:val="heading 5"/>
    <w:basedOn w:val="HeadingBase"/>
    <w:next w:val="Normal"/>
    <w:link w:val="Heading5Char"/>
    <w:qFormat/>
    <w:rsid w:val="005D3B3B"/>
    <w:pPr>
      <w:spacing w:before="80"/>
      <w:outlineLvl w:val="4"/>
    </w:pPr>
    <w:rPr>
      <w:color w:val="918585"/>
      <w:sz w:val="20"/>
    </w:rPr>
  </w:style>
  <w:style w:type="paragraph" w:styleId="Heading6">
    <w:name w:val="heading 6"/>
    <w:basedOn w:val="HeadingBase"/>
    <w:next w:val="Normal"/>
    <w:link w:val="Heading6Char"/>
    <w:qFormat/>
    <w:rsid w:val="005D3B3B"/>
    <w:pPr>
      <w:spacing w:before="60"/>
      <w:outlineLvl w:val="5"/>
    </w:pPr>
    <w:rPr>
      <w:color w:val="918585"/>
      <w:sz w:val="20"/>
    </w:rPr>
  </w:style>
  <w:style w:type="paragraph" w:styleId="Heading7">
    <w:name w:val="heading 7"/>
    <w:basedOn w:val="Normal"/>
    <w:next w:val="Normal"/>
    <w:link w:val="Heading7Char"/>
    <w:qFormat/>
    <w:rsid w:val="005D3B3B"/>
    <w:pPr>
      <w:ind w:left="720"/>
      <w:outlineLvl w:val="6"/>
    </w:pPr>
    <w:rPr>
      <w:i/>
    </w:rPr>
  </w:style>
  <w:style w:type="paragraph" w:styleId="Heading8">
    <w:name w:val="heading 8"/>
    <w:basedOn w:val="Normal"/>
    <w:next w:val="Normal"/>
    <w:link w:val="Heading8Char"/>
    <w:qFormat/>
    <w:rsid w:val="005D3B3B"/>
    <w:pPr>
      <w:ind w:left="720"/>
      <w:outlineLvl w:val="7"/>
    </w:pPr>
    <w:rPr>
      <w:i/>
    </w:rPr>
  </w:style>
  <w:style w:type="paragraph" w:styleId="Heading9">
    <w:name w:val="heading 9"/>
    <w:basedOn w:val="Normal"/>
    <w:next w:val="Normal"/>
    <w:link w:val="Heading9Char"/>
    <w:qFormat/>
    <w:rsid w:val="005D3B3B"/>
    <w:pPr>
      <w:ind w:left="720"/>
      <w:outlineLvl w:val="8"/>
    </w:pPr>
    <w:rPr>
      <w:i/>
    </w:rPr>
  </w:style>
  <w:style w:type="character" w:default="1" w:styleId="DefaultParagraphFont">
    <w:name w:val="Default Paragraph Font"/>
    <w:uiPriority w:val="1"/>
    <w:unhideWhenUsed/>
    <w:rsid w:val="005D3B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3B3B"/>
  </w:style>
  <w:style w:type="character" w:customStyle="1" w:styleId="Heading1Char">
    <w:name w:val="Heading 1 Char"/>
    <w:basedOn w:val="DefaultParagraphFont"/>
    <w:link w:val="Heading1"/>
    <w:rsid w:val="005D3B3B"/>
    <w:rPr>
      <w:rFonts w:ascii="Times New Roman" w:eastAsia="Times New Roman" w:hAnsi="Times New Roman" w:cs="Times New Roman"/>
      <w:b/>
      <w:sz w:val="32"/>
      <w:szCs w:val="20"/>
      <w:lang w:eastAsia="en-US"/>
    </w:rPr>
  </w:style>
  <w:style w:type="paragraph" w:styleId="BodyText">
    <w:name w:val="Body Text"/>
    <w:basedOn w:val="Normal"/>
    <w:link w:val="BodyTextChar"/>
    <w:rsid w:val="005D3B3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D3B3B"/>
    <w:rPr>
      <w:rFonts w:ascii="Times New Roman" w:eastAsia="Times New Roman" w:hAnsi="Times New Roman" w:cs="Times New Roman"/>
      <w:sz w:val="24"/>
      <w:lang w:eastAsia="en-US"/>
    </w:rPr>
  </w:style>
  <w:style w:type="paragraph" w:styleId="Footer">
    <w:name w:val="footer"/>
    <w:basedOn w:val="Normal"/>
    <w:link w:val="FooterChar"/>
    <w:rsid w:val="005D3B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3B3B"/>
    <w:rPr>
      <w:rFonts w:ascii="Times New Roman" w:eastAsia="Times New Roman" w:hAnsi="Times New Roman" w:cs="Times New Roman"/>
      <w:sz w:val="16"/>
      <w:lang w:eastAsia="en-US"/>
    </w:rPr>
  </w:style>
  <w:style w:type="character" w:customStyle="1" w:styleId="SpecialBold">
    <w:name w:val="Special Bold"/>
    <w:basedOn w:val="DefaultParagraphFont"/>
    <w:rsid w:val="005D3B3B"/>
    <w:rPr>
      <w:b/>
      <w:spacing w:val="0"/>
    </w:rPr>
  </w:style>
  <w:style w:type="paragraph" w:customStyle="1" w:styleId="SuperHeading">
    <w:name w:val="SuperHeading"/>
    <w:basedOn w:val="Normal"/>
    <w:rsid w:val="005D3B3B"/>
    <w:pPr>
      <w:spacing w:before="240" w:after="120"/>
      <w:outlineLvl w:val="0"/>
    </w:pPr>
    <w:rPr>
      <w:rFonts w:ascii="Times New Roman" w:hAnsi="Times New Roman"/>
      <w:b/>
      <w:sz w:val="28"/>
    </w:rPr>
  </w:style>
  <w:style w:type="paragraph" w:customStyle="1" w:styleId="AllowPageBreak">
    <w:name w:val="AllowPageBreak"/>
    <w:rsid w:val="005D3B3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D3B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3B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3B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3B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3B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3B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D3B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D3B3B"/>
    <w:rPr>
      <w:rFonts w:ascii="Courier New" w:eastAsia="Times New Roman" w:hAnsi="Courier New" w:cs="Times New Roman"/>
      <w:i/>
      <w:szCs w:val="20"/>
      <w:lang w:eastAsia="en-US"/>
    </w:rPr>
  </w:style>
  <w:style w:type="paragraph" w:customStyle="1" w:styleId="HeadingBase">
    <w:name w:val="Heading Base"/>
    <w:rsid w:val="005D3B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3B3B"/>
    <w:pPr>
      <w:tabs>
        <w:tab w:val="right" w:leader="dot" w:pos="9072"/>
      </w:tabs>
      <w:ind w:left="567"/>
    </w:pPr>
    <w:rPr>
      <w:szCs w:val="22"/>
    </w:rPr>
  </w:style>
  <w:style w:type="paragraph" w:customStyle="1" w:styleId="TOCBase">
    <w:name w:val="TOC Base"/>
    <w:rsid w:val="005D3B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3B3B"/>
    <w:pPr>
      <w:tabs>
        <w:tab w:val="right" w:leader="dot" w:pos="9072"/>
      </w:tabs>
      <w:spacing w:before="40" w:after="40"/>
      <w:ind w:left="284"/>
    </w:pPr>
    <w:rPr>
      <w:rFonts w:ascii="Times New Roman" w:hAnsi="Times New Roman"/>
    </w:rPr>
  </w:style>
  <w:style w:type="paragraph" w:styleId="TOC1">
    <w:name w:val="toc 1"/>
    <w:basedOn w:val="TOCBase"/>
    <w:next w:val="Normal"/>
    <w:rsid w:val="005D3B3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D3B3B"/>
    <w:pPr>
      <w:spacing w:before="5040"/>
      <w:jc w:val="center"/>
    </w:pPr>
    <w:rPr>
      <w:sz w:val="48"/>
      <w:szCs w:val="72"/>
      <w:lang w:val="en-US"/>
    </w:rPr>
  </w:style>
  <w:style w:type="character" w:customStyle="1" w:styleId="TitleChar">
    <w:name w:val="Title Char"/>
    <w:basedOn w:val="DefaultParagraphFont"/>
    <w:link w:val="Title"/>
    <w:rsid w:val="005D3B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3B3B"/>
    <w:pPr>
      <w:tabs>
        <w:tab w:val="left" w:pos="3600"/>
        <w:tab w:val="left" w:pos="3958"/>
      </w:tabs>
    </w:pPr>
  </w:style>
  <w:style w:type="paragraph" w:styleId="List">
    <w:name w:val="List"/>
    <w:basedOn w:val="BodyText"/>
    <w:next w:val="BodyText"/>
    <w:rsid w:val="005D3B3B"/>
    <w:pPr>
      <w:tabs>
        <w:tab w:val="left" w:pos="340"/>
      </w:tabs>
      <w:spacing w:before="60" w:after="60"/>
      <w:ind w:left="340" w:hanging="340"/>
    </w:pPr>
  </w:style>
  <w:style w:type="paragraph" w:styleId="ListBullet">
    <w:name w:val="List Bullet"/>
    <w:basedOn w:val="List"/>
    <w:rsid w:val="005D3B3B"/>
    <w:pPr>
      <w:numPr>
        <w:numId w:val="11"/>
      </w:numPr>
      <w:tabs>
        <w:tab w:val="clear" w:pos="340"/>
      </w:tabs>
      <w:spacing w:before="40" w:after="40"/>
    </w:pPr>
  </w:style>
  <w:style w:type="paragraph" w:customStyle="1" w:styleId="Note">
    <w:name w:val="Note"/>
    <w:basedOn w:val="BodyText"/>
    <w:rsid w:val="005D3B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3B3B"/>
    <w:pPr>
      <w:framePr w:wrap="auto" w:hAnchor="text" w:y="6049"/>
    </w:pPr>
    <w:rPr>
      <w:color w:val="000000"/>
      <w:sz w:val="40"/>
    </w:rPr>
  </w:style>
  <w:style w:type="paragraph" w:customStyle="1" w:styleId="TOCTitle">
    <w:name w:val="TOCTitle"/>
    <w:basedOn w:val="Heading1"/>
    <w:rsid w:val="005D3B3B"/>
    <w:pPr>
      <w:spacing w:after="240"/>
      <w:jc w:val="center"/>
      <w:outlineLvl w:val="9"/>
    </w:pPr>
    <w:rPr>
      <w:caps/>
    </w:rPr>
  </w:style>
  <w:style w:type="paragraph" w:customStyle="1" w:styleId="Version">
    <w:name w:val="Version"/>
    <w:rsid w:val="005D3B3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D3B3B"/>
    <w:pPr>
      <w:numPr>
        <w:numId w:val="12"/>
      </w:numPr>
      <w:tabs>
        <w:tab w:val="clear" w:pos="680"/>
      </w:tabs>
    </w:pPr>
  </w:style>
  <w:style w:type="paragraph" w:styleId="Index1">
    <w:name w:val="index 1"/>
    <w:basedOn w:val="Normal"/>
    <w:next w:val="Normal"/>
    <w:semiHidden/>
    <w:rsid w:val="005D3B3B"/>
    <w:pPr>
      <w:keepNext w:val="0"/>
      <w:tabs>
        <w:tab w:val="right" w:pos="4176"/>
      </w:tabs>
      <w:ind w:left="198" w:hanging="198"/>
    </w:pPr>
    <w:rPr>
      <w:rFonts w:ascii="Garamond" w:hAnsi="Garamond"/>
    </w:rPr>
  </w:style>
  <w:style w:type="paragraph" w:styleId="IndexHeading">
    <w:name w:val="index heading"/>
    <w:basedOn w:val="Normal"/>
    <w:next w:val="Index1"/>
    <w:semiHidden/>
    <w:rsid w:val="005D3B3B"/>
    <w:pPr>
      <w:spacing w:before="120" w:after="120"/>
    </w:pPr>
    <w:rPr>
      <w:rFonts w:ascii="Arial" w:hAnsi="Arial"/>
      <w:b/>
      <w:color w:val="918585"/>
      <w:sz w:val="24"/>
    </w:rPr>
  </w:style>
  <w:style w:type="paragraph" w:styleId="Header">
    <w:name w:val="header"/>
    <w:basedOn w:val="Normal"/>
    <w:link w:val="HeaderChar"/>
    <w:rsid w:val="005D3B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3B3B"/>
    <w:rPr>
      <w:rFonts w:ascii="Times New Roman" w:eastAsia="Times New Roman" w:hAnsi="Times New Roman" w:cs="Times New Roman"/>
      <w:sz w:val="16"/>
      <w:szCs w:val="20"/>
      <w:lang w:val="en-GB" w:eastAsia="en-US"/>
    </w:rPr>
  </w:style>
  <w:style w:type="paragraph" w:customStyle="1" w:styleId="Chapter">
    <w:name w:val="Chapter"/>
    <w:basedOn w:val="Normal"/>
    <w:rsid w:val="005D3B3B"/>
    <w:pPr>
      <w:spacing w:before="240"/>
    </w:pPr>
    <w:rPr>
      <w:rFonts w:ascii="Times New Roman" w:hAnsi="Times New Roman"/>
      <w:smallCaps/>
      <w:spacing w:val="80"/>
      <w:sz w:val="28"/>
    </w:rPr>
  </w:style>
  <w:style w:type="paragraph" w:customStyle="1" w:styleId="InChapter">
    <w:name w:val="InChapter"/>
    <w:basedOn w:val="Heading3"/>
    <w:rsid w:val="005D3B3B"/>
    <w:pPr>
      <w:spacing w:after="240"/>
      <w:outlineLvl w:val="9"/>
    </w:pPr>
    <w:rPr>
      <w:noProof/>
    </w:rPr>
  </w:style>
  <w:style w:type="paragraph" w:styleId="Index2">
    <w:name w:val="index 2"/>
    <w:basedOn w:val="Normal"/>
    <w:next w:val="Normal"/>
    <w:semiHidden/>
    <w:rsid w:val="005D3B3B"/>
    <w:pPr>
      <w:tabs>
        <w:tab w:val="right" w:pos="4176"/>
      </w:tabs>
      <w:ind w:left="568" w:hanging="284"/>
    </w:pPr>
    <w:rPr>
      <w:rFonts w:ascii="Garamond" w:hAnsi="Garamond"/>
    </w:rPr>
  </w:style>
  <w:style w:type="paragraph" w:customStyle="1" w:styleId="Byline">
    <w:name w:val="Byline"/>
    <w:rsid w:val="005D3B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3B3B"/>
    <w:pPr>
      <w:tabs>
        <w:tab w:val="clear" w:pos="3600"/>
        <w:tab w:val="clear" w:pos="3958"/>
      </w:tabs>
      <w:jc w:val="right"/>
    </w:pPr>
  </w:style>
  <w:style w:type="character" w:styleId="Emphasis">
    <w:name w:val="Emphasis"/>
    <w:basedOn w:val="DefaultParagraphFont"/>
    <w:qFormat/>
    <w:rsid w:val="005D3B3B"/>
    <w:rPr>
      <w:i/>
    </w:rPr>
  </w:style>
  <w:style w:type="paragraph" w:styleId="Caption">
    <w:name w:val="caption"/>
    <w:basedOn w:val="BodyText"/>
    <w:next w:val="Normal"/>
    <w:qFormat/>
    <w:rsid w:val="005D3B3B"/>
    <w:pPr>
      <w:framePr w:w="2268" w:hSpace="181" w:vSpace="181" w:wrap="around" w:vAnchor="text" w:hAnchor="page" w:x="1135" w:y="285" w:anchorLock="1"/>
    </w:pPr>
    <w:rPr>
      <w:i/>
    </w:rPr>
  </w:style>
  <w:style w:type="paragraph" w:customStyle="1" w:styleId="MiniTOCTitle">
    <w:name w:val="MiniTOCTitle"/>
    <w:basedOn w:val="Heading4"/>
    <w:rsid w:val="005D3B3B"/>
    <w:pPr>
      <w:spacing w:before="240"/>
      <w:outlineLvl w:val="9"/>
    </w:pPr>
    <w:rPr>
      <w:noProof/>
      <w:sz w:val="24"/>
    </w:rPr>
  </w:style>
  <w:style w:type="paragraph" w:customStyle="1" w:styleId="MiniTOCItem">
    <w:name w:val="MiniTOCItem"/>
    <w:basedOn w:val="ListBullet"/>
    <w:rsid w:val="005D3B3B"/>
    <w:pPr>
      <w:numPr>
        <w:numId w:val="0"/>
      </w:numPr>
      <w:tabs>
        <w:tab w:val="right" w:leader="dot" w:pos="6521"/>
      </w:tabs>
      <w:spacing w:before="0" w:after="0"/>
    </w:pPr>
  </w:style>
  <w:style w:type="paragraph" w:customStyle="1" w:styleId="TOFTitle">
    <w:name w:val="TOFTitle"/>
    <w:basedOn w:val="TOCTitle"/>
    <w:rsid w:val="005D3B3B"/>
  </w:style>
  <w:style w:type="paragraph" w:styleId="TableofFigures">
    <w:name w:val="table of figures"/>
    <w:basedOn w:val="Normal"/>
    <w:next w:val="Normal"/>
    <w:semiHidden/>
    <w:rsid w:val="005D3B3B"/>
    <w:pPr>
      <w:tabs>
        <w:tab w:val="right" w:leader="dot" w:pos="9072"/>
      </w:tabs>
      <w:ind w:left="970" w:hanging="403"/>
    </w:pPr>
    <w:rPr>
      <w:rFonts w:ascii="Times New Roman" w:hAnsi="Times New Roman"/>
      <w:b/>
    </w:rPr>
  </w:style>
  <w:style w:type="paragraph" w:styleId="ListNumber">
    <w:name w:val="List Number"/>
    <w:basedOn w:val="List"/>
    <w:rsid w:val="005D3B3B"/>
    <w:pPr>
      <w:numPr>
        <w:numId w:val="9"/>
      </w:numPr>
    </w:pPr>
  </w:style>
  <w:style w:type="character" w:customStyle="1" w:styleId="WingdingSymbols">
    <w:name w:val="Wingding Symbols"/>
    <w:rsid w:val="005D3B3B"/>
    <w:rPr>
      <w:rFonts w:ascii="Wingdings" w:hAnsi="Wingdings"/>
    </w:rPr>
  </w:style>
  <w:style w:type="paragraph" w:customStyle="1" w:styleId="TableHeading">
    <w:name w:val="Table Heading"/>
    <w:basedOn w:val="HeadingBase"/>
    <w:rsid w:val="005D3B3B"/>
    <w:pPr>
      <w:keepLines/>
      <w:pBdr>
        <w:bottom w:val="single" w:sz="6" w:space="1" w:color="918585"/>
      </w:pBdr>
      <w:spacing w:before="240"/>
    </w:pPr>
  </w:style>
  <w:style w:type="character" w:customStyle="1" w:styleId="HotSpot">
    <w:name w:val="HotSpot"/>
    <w:rsid w:val="005D3B3B"/>
    <w:rPr>
      <w:color w:val="0033CC"/>
      <w:u w:val="none"/>
    </w:rPr>
  </w:style>
  <w:style w:type="paragraph" w:customStyle="1" w:styleId="BodyTextRight">
    <w:name w:val="Body Text Right"/>
    <w:basedOn w:val="BodyText"/>
    <w:rsid w:val="005D3B3B"/>
    <w:pPr>
      <w:spacing w:before="0" w:after="0"/>
      <w:jc w:val="right"/>
    </w:pPr>
  </w:style>
  <w:style w:type="paragraph" w:styleId="Index3">
    <w:name w:val="index 3"/>
    <w:basedOn w:val="ListNumber2"/>
    <w:next w:val="Normal"/>
    <w:semiHidden/>
    <w:rsid w:val="005D3B3B"/>
    <w:pPr>
      <w:numPr>
        <w:numId w:val="0"/>
      </w:numPr>
      <w:tabs>
        <w:tab w:val="right" w:leader="dot" w:pos="4176"/>
      </w:tabs>
    </w:pPr>
  </w:style>
  <w:style w:type="paragraph" w:styleId="ListNumber2">
    <w:name w:val="List Number 2"/>
    <w:basedOn w:val="List2"/>
    <w:rsid w:val="005D3B3B"/>
    <w:pPr>
      <w:numPr>
        <w:numId w:val="8"/>
      </w:numPr>
      <w:tabs>
        <w:tab w:val="clear" w:pos="1060"/>
      </w:tabs>
    </w:pPr>
  </w:style>
  <w:style w:type="paragraph" w:customStyle="1" w:styleId="MarginNote">
    <w:name w:val="Margin Note"/>
    <w:basedOn w:val="BodyText"/>
    <w:rsid w:val="005D3B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3B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3B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D3B3B"/>
    <w:rPr>
      <w:sz w:val="32"/>
    </w:rPr>
  </w:style>
  <w:style w:type="paragraph" w:customStyle="1" w:styleId="HeadingProcedure">
    <w:name w:val="Heading Procedure"/>
    <w:basedOn w:val="HeadingBase"/>
    <w:next w:val="Normal"/>
    <w:rsid w:val="005D3B3B"/>
    <w:pPr>
      <w:tabs>
        <w:tab w:val="left" w:pos="0"/>
      </w:tabs>
      <w:spacing w:before="120" w:after="60"/>
    </w:pPr>
    <w:rPr>
      <w:i/>
      <w:color w:val="918585"/>
      <w:sz w:val="22"/>
    </w:rPr>
  </w:style>
  <w:style w:type="paragraph" w:customStyle="1" w:styleId="TableBodyText">
    <w:name w:val="Table Body Text"/>
    <w:basedOn w:val="BodyText"/>
    <w:rsid w:val="005D3B3B"/>
    <w:pPr>
      <w:spacing w:before="60" w:after="60"/>
    </w:pPr>
  </w:style>
  <w:style w:type="paragraph" w:styleId="ListContinue">
    <w:name w:val="List Continue"/>
    <w:basedOn w:val="List"/>
    <w:rsid w:val="005D3B3B"/>
    <w:pPr>
      <w:ind w:firstLine="0"/>
    </w:pPr>
  </w:style>
  <w:style w:type="paragraph" w:customStyle="1" w:styleId="ListNote">
    <w:name w:val="List Note"/>
    <w:basedOn w:val="List"/>
    <w:rsid w:val="005D3B3B"/>
    <w:pPr>
      <w:pBdr>
        <w:top w:val="single" w:sz="6" w:space="2" w:color="918585"/>
        <w:bottom w:val="single" w:sz="6" w:space="2" w:color="918585"/>
      </w:pBdr>
      <w:tabs>
        <w:tab w:val="left" w:pos="1021"/>
      </w:tabs>
      <w:ind w:firstLine="0"/>
    </w:pPr>
  </w:style>
  <w:style w:type="paragraph" w:customStyle="1" w:styleId="Warning">
    <w:name w:val="Warning"/>
    <w:basedOn w:val="BodyText"/>
    <w:rsid w:val="005D3B3B"/>
    <w:pPr>
      <w:shd w:val="clear" w:color="auto" w:fill="D9D9D9"/>
      <w:tabs>
        <w:tab w:val="left" w:pos="992"/>
      </w:tabs>
      <w:ind w:left="119" w:right="119"/>
    </w:pPr>
    <w:rPr>
      <w:sz w:val="20"/>
    </w:rPr>
  </w:style>
  <w:style w:type="paragraph" w:customStyle="1" w:styleId="MarginIcons">
    <w:name w:val="Margin Icons"/>
    <w:basedOn w:val="BodyText"/>
    <w:rsid w:val="005D3B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3B3B"/>
    <w:rPr>
      <w:rFonts w:ascii="Courier New" w:hAnsi="Courier New"/>
    </w:rPr>
  </w:style>
  <w:style w:type="paragraph" w:customStyle="1" w:styleId="NoteBullet">
    <w:name w:val="Note Bullet"/>
    <w:basedOn w:val="Note"/>
    <w:rsid w:val="005D3B3B"/>
    <w:pPr>
      <w:tabs>
        <w:tab w:val="clear" w:pos="680"/>
      </w:tabs>
      <w:spacing w:before="60" w:after="60"/>
    </w:pPr>
  </w:style>
  <w:style w:type="paragraph" w:customStyle="1" w:styleId="SubHeading2">
    <w:name w:val="SubHeading2"/>
    <w:basedOn w:val="HeadingBase"/>
    <w:rsid w:val="005D3B3B"/>
    <w:pPr>
      <w:spacing w:before="240" w:after="60"/>
    </w:pPr>
    <w:rPr>
      <w:sz w:val="20"/>
    </w:rPr>
  </w:style>
  <w:style w:type="paragraph" w:customStyle="1" w:styleId="SubHeading1">
    <w:name w:val="SubHeading1"/>
    <w:basedOn w:val="HeadingBase"/>
    <w:rsid w:val="005D3B3B"/>
    <w:pPr>
      <w:spacing w:before="240" w:after="60"/>
    </w:pPr>
    <w:rPr>
      <w:color w:val="918585"/>
      <w:sz w:val="22"/>
    </w:rPr>
  </w:style>
  <w:style w:type="paragraph" w:customStyle="1" w:styleId="SideHeading">
    <w:name w:val="Side Heading"/>
    <w:basedOn w:val="HeadingBase"/>
    <w:rsid w:val="005D3B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3B3B"/>
    <w:pPr>
      <w:numPr>
        <w:numId w:val="10"/>
      </w:numPr>
    </w:pPr>
  </w:style>
  <w:style w:type="paragraph" w:styleId="PlainText">
    <w:name w:val="Plain Text"/>
    <w:basedOn w:val="Normal"/>
    <w:link w:val="PlainTextChar"/>
    <w:rsid w:val="005D3B3B"/>
    <w:rPr>
      <w:sz w:val="20"/>
    </w:rPr>
  </w:style>
  <w:style w:type="character" w:customStyle="1" w:styleId="PlainTextChar">
    <w:name w:val="Plain Text Char"/>
    <w:basedOn w:val="DefaultParagraphFont"/>
    <w:link w:val="PlainText"/>
    <w:rsid w:val="005D3B3B"/>
    <w:rPr>
      <w:rFonts w:ascii="Courier New" w:eastAsia="Times New Roman" w:hAnsi="Courier New" w:cs="Times New Roman"/>
      <w:sz w:val="20"/>
      <w:szCs w:val="20"/>
      <w:lang w:eastAsia="en-US"/>
    </w:rPr>
  </w:style>
  <w:style w:type="character" w:customStyle="1" w:styleId="MenuOption">
    <w:name w:val="Menu Option"/>
    <w:basedOn w:val="DefaultParagraphFont"/>
    <w:rsid w:val="005D3B3B"/>
    <w:rPr>
      <w:b/>
      <w:smallCaps/>
    </w:rPr>
  </w:style>
  <w:style w:type="paragraph" w:customStyle="1" w:styleId="TableListNumber">
    <w:name w:val="Table List Number"/>
    <w:basedOn w:val="ListNumber"/>
    <w:rsid w:val="005D3B3B"/>
    <w:pPr>
      <w:numPr>
        <w:numId w:val="0"/>
      </w:numPr>
    </w:pPr>
  </w:style>
  <w:style w:type="paragraph" w:styleId="TOC4">
    <w:name w:val="toc 4"/>
    <w:basedOn w:val="TOCBase"/>
    <w:next w:val="Normal"/>
    <w:semiHidden/>
    <w:rsid w:val="005D3B3B"/>
    <w:pPr>
      <w:tabs>
        <w:tab w:val="right" w:leader="dot" w:pos="9071"/>
      </w:tabs>
      <w:ind w:left="1701"/>
    </w:pPr>
  </w:style>
  <w:style w:type="paragraph" w:customStyle="1" w:styleId="ListAlpha">
    <w:name w:val="List Alpha"/>
    <w:basedOn w:val="List"/>
    <w:rsid w:val="005D3B3B"/>
    <w:pPr>
      <w:numPr>
        <w:numId w:val="7"/>
      </w:numPr>
    </w:pPr>
  </w:style>
  <w:style w:type="paragraph" w:customStyle="1" w:styleId="ListAlpha2">
    <w:name w:val="List Alpha 2"/>
    <w:basedOn w:val="List2"/>
    <w:rsid w:val="005D3B3B"/>
    <w:pPr>
      <w:numPr>
        <w:numId w:val="6"/>
      </w:numPr>
    </w:pPr>
  </w:style>
  <w:style w:type="paragraph" w:styleId="List2">
    <w:name w:val="List 2"/>
    <w:basedOn w:val="BodyText"/>
    <w:rsid w:val="005D3B3B"/>
    <w:pPr>
      <w:tabs>
        <w:tab w:val="left" w:pos="680"/>
      </w:tabs>
      <w:spacing w:before="60" w:after="60"/>
      <w:ind w:left="680" w:hanging="340"/>
    </w:pPr>
  </w:style>
  <w:style w:type="paragraph" w:styleId="List3">
    <w:name w:val="List 3"/>
    <w:basedOn w:val="BodyText"/>
    <w:rsid w:val="005D3B3B"/>
    <w:pPr>
      <w:tabs>
        <w:tab w:val="left" w:pos="1021"/>
      </w:tabs>
      <w:spacing w:before="60" w:after="60"/>
      <w:ind w:left="1020" w:hanging="340"/>
    </w:pPr>
  </w:style>
  <w:style w:type="paragraph" w:styleId="List4">
    <w:name w:val="List 4"/>
    <w:basedOn w:val="BodyText"/>
    <w:rsid w:val="005D3B3B"/>
    <w:pPr>
      <w:tabs>
        <w:tab w:val="left" w:pos="1361"/>
      </w:tabs>
      <w:spacing w:before="60" w:after="60"/>
      <w:ind w:left="1361" w:hanging="340"/>
    </w:pPr>
  </w:style>
  <w:style w:type="paragraph" w:styleId="List5">
    <w:name w:val="List 5"/>
    <w:basedOn w:val="BodyText"/>
    <w:rsid w:val="005D3B3B"/>
    <w:pPr>
      <w:tabs>
        <w:tab w:val="left" w:pos="1701"/>
      </w:tabs>
      <w:spacing w:before="60" w:after="60"/>
      <w:ind w:left="1701" w:hanging="340"/>
    </w:pPr>
  </w:style>
  <w:style w:type="paragraph" w:styleId="ListBullet3">
    <w:name w:val="List Bullet 3"/>
    <w:basedOn w:val="List3"/>
    <w:rsid w:val="005D3B3B"/>
    <w:pPr>
      <w:numPr>
        <w:numId w:val="13"/>
      </w:numPr>
      <w:tabs>
        <w:tab w:val="clear" w:pos="1021"/>
      </w:tabs>
      <w:ind w:left="1037" w:hanging="357"/>
    </w:pPr>
  </w:style>
  <w:style w:type="paragraph" w:styleId="ListBullet4">
    <w:name w:val="List Bullet 4"/>
    <w:basedOn w:val="List4"/>
    <w:rsid w:val="005D3B3B"/>
    <w:pPr>
      <w:numPr>
        <w:numId w:val="1"/>
      </w:numPr>
    </w:pPr>
  </w:style>
  <w:style w:type="paragraph" w:styleId="ListBullet5">
    <w:name w:val="List Bullet 5"/>
    <w:basedOn w:val="List5"/>
    <w:rsid w:val="005D3B3B"/>
    <w:pPr>
      <w:numPr>
        <w:numId w:val="2"/>
      </w:numPr>
    </w:pPr>
  </w:style>
  <w:style w:type="paragraph" w:styleId="ListContinue2">
    <w:name w:val="List Continue 2"/>
    <w:basedOn w:val="List2"/>
    <w:rsid w:val="005D3B3B"/>
    <w:pPr>
      <w:ind w:firstLine="0"/>
    </w:pPr>
  </w:style>
  <w:style w:type="paragraph" w:styleId="ListContinue3">
    <w:name w:val="List Continue 3"/>
    <w:basedOn w:val="List3"/>
    <w:rsid w:val="005D3B3B"/>
    <w:pPr>
      <w:ind w:left="1021" w:firstLine="0"/>
    </w:pPr>
  </w:style>
  <w:style w:type="paragraph" w:styleId="ListContinue4">
    <w:name w:val="List Continue 4"/>
    <w:basedOn w:val="List4"/>
    <w:rsid w:val="005D3B3B"/>
    <w:pPr>
      <w:ind w:firstLine="0"/>
    </w:pPr>
  </w:style>
  <w:style w:type="paragraph" w:styleId="ListContinue5">
    <w:name w:val="List Continue 5"/>
    <w:basedOn w:val="List5"/>
    <w:rsid w:val="005D3B3B"/>
    <w:pPr>
      <w:ind w:firstLine="0"/>
    </w:pPr>
  </w:style>
  <w:style w:type="paragraph" w:styleId="ListNumber3">
    <w:name w:val="List Number 3"/>
    <w:basedOn w:val="List3"/>
    <w:rsid w:val="005D3B3B"/>
    <w:pPr>
      <w:numPr>
        <w:numId w:val="3"/>
      </w:numPr>
    </w:pPr>
  </w:style>
  <w:style w:type="paragraph" w:styleId="ListNumber4">
    <w:name w:val="List Number 4"/>
    <w:basedOn w:val="List4"/>
    <w:rsid w:val="005D3B3B"/>
    <w:pPr>
      <w:numPr>
        <w:numId w:val="4"/>
      </w:numPr>
    </w:pPr>
  </w:style>
  <w:style w:type="paragraph" w:styleId="ListNumber5">
    <w:name w:val="List Number 5"/>
    <w:basedOn w:val="List5"/>
    <w:rsid w:val="005D3B3B"/>
    <w:pPr>
      <w:numPr>
        <w:numId w:val="5"/>
      </w:numPr>
    </w:pPr>
  </w:style>
  <w:style w:type="paragraph" w:styleId="BlockText">
    <w:name w:val="Block Text"/>
    <w:basedOn w:val="Normal"/>
    <w:rsid w:val="005D3B3B"/>
    <w:pPr>
      <w:spacing w:after="120"/>
      <w:ind w:left="1440" w:right="1440"/>
    </w:pPr>
  </w:style>
  <w:style w:type="character" w:customStyle="1" w:styleId="Subscript">
    <w:name w:val="Subscript"/>
    <w:basedOn w:val="DefaultParagraphFont"/>
    <w:rsid w:val="005D3B3B"/>
    <w:rPr>
      <w:sz w:val="16"/>
      <w:vertAlign w:val="subscript"/>
    </w:rPr>
  </w:style>
  <w:style w:type="character" w:customStyle="1" w:styleId="Superscript">
    <w:name w:val="Superscript"/>
    <w:basedOn w:val="DefaultParagraphFont"/>
    <w:rsid w:val="005D3B3B"/>
    <w:rPr>
      <w:sz w:val="16"/>
      <w:vertAlign w:val="superscript"/>
    </w:rPr>
  </w:style>
  <w:style w:type="character" w:customStyle="1" w:styleId="Symbols">
    <w:name w:val="Symbols"/>
    <w:basedOn w:val="DefaultParagraphFont"/>
    <w:rsid w:val="005D3B3B"/>
    <w:rPr>
      <w:rFonts w:ascii="Symbol" w:hAnsi="Symbol"/>
    </w:rPr>
  </w:style>
  <w:style w:type="character" w:customStyle="1" w:styleId="MenuOptions">
    <w:name w:val="Menu Options"/>
    <w:basedOn w:val="DefaultParagraphFont"/>
    <w:rsid w:val="005D3B3B"/>
    <w:rPr>
      <w:rFonts w:ascii="Arial Narrow" w:hAnsi="Arial Narrow"/>
      <w:smallCaps/>
    </w:rPr>
  </w:style>
  <w:style w:type="character" w:customStyle="1" w:styleId="Buttons">
    <w:name w:val="Buttons"/>
    <w:basedOn w:val="DefaultParagraphFont"/>
    <w:rsid w:val="005D3B3B"/>
    <w:rPr>
      <w:b/>
    </w:rPr>
  </w:style>
  <w:style w:type="character" w:customStyle="1" w:styleId="Underlined">
    <w:name w:val="Underlined"/>
    <w:basedOn w:val="DefaultParagraphFont"/>
    <w:rsid w:val="005D3B3B"/>
    <w:rPr>
      <w:u w:val="single"/>
    </w:rPr>
  </w:style>
  <w:style w:type="paragraph" w:customStyle="1" w:styleId="TableBodyTextRight">
    <w:name w:val="Table Body Text Right"/>
    <w:basedOn w:val="TableBodyText"/>
    <w:rsid w:val="005D3B3B"/>
    <w:pPr>
      <w:widowControl w:val="0"/>
      <w:autoSpaceDE w:val="0"/>
      <w:autoSpaceDN w:val="0"/>
      <w:adjustRightInd w:val="0"/>
      <w:jc w:val="right"/>
    </w:pPr>
    <w:rPr>
      <w:rFonts w:cs="Arial"/>
      <w:szCs w:val="18"/>
    </w:rPr>
  </w:style>
  <w:style w:type="paragraph" w:customStyle="1" w:styleId="CopyrightText">
    <w:name w:val="Copyright Text"/>
    <w:basedOn w:val="BodyText"/>
    <w:rsid w:val="005D3B3B"/>
    <w:rPr>
      <w:sz w:val="18"/>
    </w:rPr>
  </w:style>
  <w:style w:type="paragraph" w:customStyle="1" w:styleId="BodySmallRight">
    <w:name w:val="Body Small Right"/>
    <w:basedOn w:val="BodyTextRight"/>
    <w:rsid w:val="005D3B3B"/>
    <w:rPr>
      <w:sz w:val="18"/>
      <w:szCs w:val="18"/>
    </w:rPr>
  </w:style>
  <w:style w:type="paragraph" w:customStyle="1" w:styleId="MarginEdition">
    <w:name w:val="Margin Edition"/>
    <w:basedOn w:val="MarginNote"/>
    <w:rsid w:val="005D3B3B"/>
    <w:pPr>
      <w:spacing w:before="0" w:after="0"/>
    </w:pPr>
    <w:rPr>
      <w:rFonts w:ascii="Times New Roman" w:hAnsi="Times New Roman"/>
      <w:color w:val="999999"/>
    </w:rPr>
  </w:style>
  <w:style w:type="paragraph" w:customStyle="1" w:styleId="Spacer">
    <w:name w:val="Spacer"/>
    <w:basedOn w:val="Normal"/>
    <w:rsid w:val="005D3B3B"/>
    <w:rPr>
      <w:sz w:val="2"/>
      <w:szCs w:val="2"/>
    </w:rPr>
  </w:style>
  <w:style w:type="character" w:customStyle="1" w:styleId="Small">
    <w:name w:val="Small"/>
    <w:basedOn w:val="DefaultParagraphFont"/>
    <w:rsid w:val="005D3B3B"/>
    <w:rPr>
      <w:sz w:val="16"/>
    </w:rPr>
  </w:style>
  <w:style w:type="paragraph" w:customStyle="1" w:styleId="WideTable">
    <w:name w:val="Wide Table"/>
    <w:basedOn w:val="Normal"/>
    <w:rsid w:val="005D3B3B"/>
    <w:pPr>
      <w:ind w:left="-1418"/>
    </w:pPr>
    <w:rPr>
      <w:sz w:val="2"/>
      <w:szCs w:val="2"/>
    </w:rPr>
  </w:style>
  <w:style w:type="character" w:styleId="PageNumber">
    <w:name w:val="page number"/>
    <w:basedOn w:val="DefaultParagraphFont"/>
    <w:rsid w:val="005D3B3B"/>
  </w:style>
  <w:style w:type="paragraph" w:styleId="Quote">
    <w:name w:val="Quote"/>
    <w:basedOn w:val="Heading1"/>
    <w:link w:val="QuoteChar"/>
    <w:qFormat/>
    <w:rsid w:val="005D3B3B"/>
    <w:rPr>
      <w:b w:val="0"/>
      <w:sz w:val="72"/>
      <w:szCs w:val="72"/>
      <w:lang w:val="en-NZ"/>
    </w:rPr>
  </w:style>
  <w:style w:type="character" w:customStyle="1" w:styleId="QuoteChar">
    <w:name w:val="Quote Char"/>
    <w:basedOn w:val="DefaultParagraphFont"/>
    <w:link w:val="Quote"/>
    <w:rsid w:val="005D3B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3B3B"/>
    <w:pPr>
      <w:pageBreakBefore/>
    </w:pPr>
  </w:style>
  <w:style w:type="paragraph" w:customStyle="1" w:styleId="Border">
    <w:name w:val="Border"/>
    <w:basedOn w:val="Normal"/>
    <w:qFormat/>
    <w:rsid w:val="005D3B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3B3B"/>
    <w:rPr>
      <w:b/>
      <w:bCs/>
      <w:i/>
      <w:iCs/>
      <w:color w:val="auto"/>
    </w:rPr>
  </w:style>
  <w:style w:type="paragraph" w:styleId="IntenseQuote">
    <w:name w:val="Intense Quote"/>
    <w:basedOn w:val="Normal"/>
    <w:next w:val="Normal"/>
    <w:link w:val="IntenseQuoteChar"/>
    <w:uiPriority w:val="30"/>
    <w:qFormat/>
    <w:rsid w:val="005D3B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3B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D3B3B"/>
    <w:rPr>
      <w:smallCaps/>
      <w:color w:val="auto"/>
      <w:u w:val="single"/>
    </w:rPr>
  </w:style>
  <w:style w:type="character" w:styleId="IntenseReference">
    <w:name w:val="Intense Reference"/>
    <w:basedOn w:val="DefaultParagraphFont"/>
    <w:uiPriority w:val="32"/>
    <w:qFormat/>
    <w:rsid w:val="005D3B3B"/>
    <w:rPr>
      <w:b/>
      <w:bCs/>
      <w:smallCaps/>
      <w:color w:val="auto"/>
      <w:spacing w:val="5"/>
      <w:u w:val="single"/>
    </w:rPr>
  </w:style>
  <w:style w:type="paragraph" w:customStyle="1" w:styleId="2ColumnHeading">
    <w:name w:val="2Column Heading"/>
    <w:basedOn w:val="BodyText"/>
    <w:qFormat/>
    <w:rsid w:val="005D3B3B"/>
    <w:pPr>
      <w:spacing w:after="60"/>
      <w:ind w:left="-2268"/>
    </w:pPr>
    <w:rPr>
      <w:b/>
    </w:rPr>
  </w:style>
  <w:style w:type="paragraph" w:customStyle="1" w:styleId="Heading1TOC">
    <w:name w:val="Heading1 TOC"/>
    <w:basedOn w:val="Normal"/>
    <w:qFormat/>
    <w:rsid w:val="005D3B3B"/>
    <w:pPr>
      <w:spacing w:before="240" w:after="120"/>
    </w:pPr>
    <w:rPr>
      <w:rFonts w:ascii="Times New Roman" w:hAnsi="Times New Roman"/>
      <w:b/>
      <w:sz w:val="32"/>
    </w:rPr>
  </w:style>
  <w:style w:type="paragraph" w:customStyle="1" w:styleId="Heading2TOC">
    <w:name w:val="Heading2 TOC"/>
    <w:basedOn w:val="Normal"/>
    <w:qFormat/>
    <w:rsid w:val="005D3B3B"/>
    <w:pPr>
      <w:spacing w:before="240" w:after="60"/>
    </w:pPr>
    <w:rPr>
      <w:rFonts w:ascii="Times New Roman" w:hAnsi="Times New Roman"/>
      <w:b/>
      <w:sz w:val="28"/>
    </w:rPr>
  </w:style>
  <w:style w:type="character" w:customStyle="1" w:styleId="Underline">
    <w:name w:val="Underline"/>
    <w:basedOn w:val="DefaultParagraphFont"/>
    <w:qFormat/>
    <w:rsid w:val="005D3B3B"/>
    <w:rPr>
      <w:u w:val="single"/>
    </w:rPr>
  </w:style>
  <w:style w:type="character" w:customStyle="1" w:styleId="BoldandItalics">
    <w:name w:val="Bold and Italics"/>
    <w:qFormat/>
    <w:rsid w:val="005D3B3B"/>
    <w:rPr>
      <w:b/>
      <w:i/>
      <w:u w:val="none"/>
    </w:rPr>
  </w:style>
  <w:style w:type="paragraph" w:styleId="BalloonText">
    <w:name w:val="Balloon Text"/>
    <w:basedOn w:val="Normal"/>
    <w:link w:val="BalloonTextChar"/>
    <w:rsid w:val="005D3B3B"/>
    <w:rPr>
      <w:rFonts w:ascii="Tahoma" w:hAnsi="Tahoma" w:cs="Tahoma"/>
      <w:sz w:val="16"/>
      <w:szCs w:val="16"/>
    </w:rPr>
  </w:style>
  <w:style w:type="character" w:customStyle="1" w:styleId="BalloonTextChar">
    <w:name w:val="Balloon Text Char"/>
    <w:basedOn w:val="DefaultParagraphFont"/>
    <w:link w:val="BalloonText"/>
    <w:rsid w:val="005D3B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D3B3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D3B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D3B3B"/>
    <w:rPr>
      <w:b/>
      <w:color w:val="660033"/>
      <w:spacing w:val="0"/>
    </w:rPr>
  </w:style>
  <w:style w:type="paragraph" w:customStyle="1" w:styleId="Nameditemlist">
    <w:name w:val="Named item list"/>
    <w:basedOn w:val="BodyText"/>
    <w:qFormat/>
    <w:rsid w:val="005D3B3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1411</Words>
  <Characters>9202</Characters>
  <Application>Microsoft Office Word</Application>
  <DocSecurity>0</DocSecurity>
  <Lines>335</Lines>
  <Paragraphs>193</Paragraphs>
  <ScaleCrop>false</ScaleCrop>
  <Company>Author-it Software Corporation Ltd.</Company>
  <LinksUpToDate>false</LinksUpToDate>
  <CharactersWithSpaces>10493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TLIO307C Undertake loading and unloading in a designated secured environment</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2012-10-10T07:10:00Z</dcterms:created>
  <dcterms:modified xsi:type="dcterms:W3CDTF">2012-10-10T07:10:00Z</dcterms:modified>
</cp:coreProperties>
</file>