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3D7" w:rsidP="003703D7">
      <w:pPr>
        <w:pStyle w:val="Title"/>
      </w:pPr>
      <w:r>
        <w:fldChar w:fldCharType="begin"/>
      </w:r>
      <w:r>
        <w:instrText xml:space="preserve"> TITLE   \* MERGEFORMAT </w:instrText>
      </w:r>
      <w:r>
        <w:fldChar w:fldCharType="separate"/>
      </w:r>
      <w:r>
        <w:t>TLIL1907C Implement and monitor transport logistics</w:t>
      </w:r>
      <w:r>
        <w:fldChar w:fldCharType="end"/>
      </w:r>
    </w:p>
    <w:p w:rsidR="003703D7" w:rsidP="003703D7">
      <w:pPr>
        <w:pStyle w:val="Version"/>
        <w:sectPr w:rsidSect="00236D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DF0" w:rsidP="00236DF0">
      <w:pPr>
        <w:pStyle w:val="SuperHeading"/>
      </w:pPr>
      <w:r w:rsidRPr="00236DF0">
        <w:t>TLIL1907C Implement and monitor transport logistics</w:t>
      </w:r>
    </w:p>
    <w:p w:rsidR="00000000" w:rsidRPr="00236DF0" w:rsidP="00236DF0">
      <w:pPr>
        <w:pStyle w:val="Heading1"/>
      </w:pPr>
      <w:bookmarkStart w:id="1" w:name="O_315464"/>
      <w:bookmarkEnd w:id="1"/>
      <w:r w:rsidRPr="00236DF0">
        <w:t>Modification History</w:t>
      </w:r>
    </w:p>
    <w:p w:rsidR="00000000" w:rsidRPr="00236DF0" w:rsidP="00236DF0">
      <w:pPr>
        <w:pStyle w:val="BodyText"/>
      </w:pPr>
      <w:r w:rsidRPr="00236DF0">
        <w:t>Not applicable.</w:t>
      </w:r>
    </w:p>
    <w:p w:rsidR="00000000" w:rsidRPr="00236DF0" w:rsidP="00236DF0">
      <w:pPr>
        <w:pStyle w:val="AllowPageBreak"/>
      </w:pPr>
    </w:p>
    <w:p w:rsidR="00000000" w:rsidRPr="00236DF0" w:rsidP="00236DF0">
      <w:pPr>
        <w:pStyle w:val="Heading1"/>
      </w:pPr>
      <w:bookmarkStart w:id="2" w:name="O_315463"/>
      <w:bookmarkEnd w:id="2"/>
      <w:r w:rsidRPr="00236DF0">
        <w:t>Unit Descriptor</w:t>
      </w:r>
    </w:p>
    <w:p w:rsidR="00000000" w:rsidRPr="00236DF0" w:rsidP="00236DF0">
      <w:pPr>
        <w:pStyle w:val="BodyText"/>
      </w:pPr>
      <w:r w:rsidRPr="00236DF0">
        <w:t>This unit involves the skills and knowledge required to implement and monitor transport logistics in a</w:t>
      </w:r>
      <w:r w:rsidRPr="00236DF0">
        <w:t>ccordance with relevant regulatory requirements and workplace procedures, including mobilising resources, coordinating multi-modal transport activities, monitoring consignment(s) tracking, and implementing a contingency management strategy.</w:t>
      </w:r>
    </w:p>
    <w:p w:rsidR="00000000" w:rsidRPr="00236DF0" w:rsidP="00236DF0">
      <w:pPr>
        <w:pStyle w:val="AllowPageBreak"/>
      </w:pPr>
    </w:p>
    <w:p w:rsidR="00000000" w:rsidRPr="00236DF0" w:rsidP="00236DF0">
      <w:pPr>
        <w:pStyle w:val="Heading1"/>
      </w:pPr>
      <w:bookmarkStart w:id="3" w:name="O_315462"/>
      <w:bookmarkEnd w:id="3"/>
      <w:r w:rsidRPr="00236DF0">
        <w:t>Application of the Unit</w:t>
      </w:r>
    </w:p>
    <w:p w:rsidR="00000000" w:rsidRPr="00236DF0" w:rsidP="00236DF0">
      <w:pPr>
        <w:pStyle w:val="BodyText"/>
      </w:pPr>
      <w:r w:rsidRPr="00236DF0">
        <w:t>Work must be carried out in compliance with the relevant regulations, standards and codes of practice, including the ADG Code.</w:t>
      </w:r>
    </w:p>
    <w:p w:rsidR="00000000" w:rsidRPr="00236DF0" w:rsidP="00236DF0">
      <w:pPr>
        <w:pStyle w:val="BodyText"/>
      </w:pPr>
      <w:r w:rsidRPr="00236DF0">
        <w:t>Work is under general guidance on progress and outcomes of work. It requires discretion and judgement f</w:t>
      </w:r>
      <w:r w:rsidRPr="00236DF0">
        <w:t>or self and others in planning and using resources, services and processes to achieve required outcomes within workplace policy and procedures.</w:t>
      </w:r>
    </w:p>
    <w:p w:rsidR="00000000" w:rsidRPr="00236DF0" w:rsidP="00236DF0">
      <w:pPr>
        <w:pStyle w:val="BodyText"/>
      </w:pPr>
      <w:r w:rsidRPr="00236DF0">
        <w:t>A range of opportunities may be used to develop the work area and to support the development of work systems, in</w:t>
      </w:r>
      <w:r w:rsidRPr="00236DF0">
        <w:t>novative strategies to deal with contingencies and to encourage the achievement of the workplaces goals and key performance objectives by the work area and the individuals and teams within it.</w:t>
      </w:r>
    </w:p>
    <w:p w:rsidR="00000000" w:rsidRPr="00236DF0" w:rsidP="00236DF0">
      <w:pPr>
        <w:pStyle w:val="BodyText"/>
      </w:pPr>
      <w:r w:rsidRPr="00236DF0">
        <w:t>The unit generally applies to those with responsibility for res</w:t>
      </w:r>
      <w:r w:rsidRPr="00236DF0">
        <w:t>ource coordination and allocation and provides leadership of others individually or in teams.</w:t>
      </w:r>
    </w:p>
    <w:p w:rsidR="00000000" w:rsidRPr="00236DF0" w:rsidP="00236DF0">
      <w:pPr>
        <w:pStyle w:val="AllowPageBreak"/>
      </w:pPr>
    </w:p>
    <w:p w:rsidR="00000000" w:rsidRPr="00236DF0" w:rsidP="00236DF0">
      <w:pPr>
        <w:pStyle w:val="Heading1"/>
      </w:pPr>
      <w:bookmarkStart w:id="4" w:name="O_315461"/>
      <w:bookmarkEnd w:id="4"/>
      <w:r w:rsidRPr="00236DF0">
        <w:t>Licensing/Regulatory Information</w:t>
      </w:r>
    </w:p>
    <w:p w:rsidR="00000000" w:rsidRPr="00236DF0" w:rsidP="00236DF0">
      <w:pPr>
        <w:pStyle w:val="BodyText"/>
      </w:pPr>
      <w:r w:rsidRPr="00236DF0">
        <w:t>Not applicable.</w:t>
      </w:r>
    </w:p>
    <w:p w:rsidR="00000000" w:rsidRPr="00236DF0" w:rsidP="00236DF0">
      <w:pPr>
        <w:pStyle w:val="AllowPageBreak"/>
      </w:pPr>
    </w:p>
    <w:p w:rsidR="00000000" w:rsidRPr="00236DF0" w:rsidP="00236DF0">
      <w:pPr>
        <w:pStyle w:val="Heading1"/>
      </w:pPr>
      <w:bookmarkStart w:id="5" w:name="O_315460"/>
      <w:bookmarkEnd w:id="5"/>
      <w:r w:rsidRPr="00236DF0">
        <w:t>Pre-Requisites</w:t>
      </w:r>
    </w:p>
    <w:p w:rsidR="00000000" w:rsidRPr="00236DF0" w:rsidP="00236DF0">
      <w:pPr>
        <w:pStyle w:val="BodyText"/>
      </w:pPr>
      <w:r w:rsidRPr="00236DF0">
        <w:t>Not applicable.</w:t>
      </w:r>
    </w:p>
    <w:p w:rsidR="00000000" w:rsidRPr="00236DF0" w:rsidP="00236DF0">
      <w:pPr>
        <w:pStyle w:val="AllowPageBreak"/>
      </w:pPr>
    </w:p>
    <w:p w:rsidR="00000000" w:rsidRPr="00236DF0" w:rsidP="00236DF0">
      <w:pPr>
        <w:pStyle w:val="Heading1"/>
      </w:pPr>
      <w:bookmarkStart w:id="6" w:name="O_315465"/>
      <w:bookmarkEnd w:id="6"/>
      <w:r w:rsidRPr="00236DF0">
        <w:t>Employability Skills Information</w:t>
      </w:r>
    </w:p>
    <w:p w:rsidR="00000000" w:rsidRPr="00236DF0" w:rsidP="00236DF0">
      <w:pPr>
        <w:pStyle w:val="BodyText"/>
      </w:pPr>
      <w:r w:rsidRPr="00236DF0">
        <w:t>The required outcomes described in this unit of competency contain applicable facets of Employability Skills. The Employability Skills Summary of the qualification in which this competency is packaged will assist in identif</w:t>
      </w:r>
      <w:r w:rsidRPr="00236DF0">
        <w:t>ying employability skill requirements.</w:t>
      </w:r>
    </w:p>
    <w:p w:rsidR="00000000" w:rsidRPr="00236DF0" w:rsidP="00236DF0">
      <w:pPr>
        <w:pStyle w:val="AllowPageBreak"/>
      </w:pPr>
    </w:p>
    <w:p w:rsidR="00000000" w:rsidRPr="00236DF0" w:rsidP="00236DF0">
      <w:pPr>
        <w:pStyle w:val="Heading1"/>
      </w:pPr>
      <w:bookmarkStart w:id="7" w:name="O_315453"/>
      <w:bookmarkEnd w:id="7"/>
      <w:r w:rsidRPr="00236DF0">
        <w:t>Elements and Performance Criteria Pre-Content</w:t>
      </w:r>
    </w:p>
    <w:p w:rsidR="00000000" w:rsidRPr="00236DF0" w:rsidP="00236DF0">
      <w:pPr>
        <w:pStyle w:val="BodyText"/>
      </w:pPr>
      <w:r w:rsidRPr="00236DF0">
        <w:t>Elements describe the essential outcomes of a unit of competency.</w:t>
      </w:r>
    </w:p>
    <w:p w:rsidR="00000000" w:rsidRPr="00236DF0" w:rsidP="00236DF0">
      <w:pPr>
        <w:pStyle w:val="BodyText"/>
      </w:pPr>
      <w:r w:rsidRPr="00236DF0">
        <w:t>Performance criteria describe the required perfor</w:t>
      </w:r>
      <w:r w:rsidRPr="00236DF0">
        <w:t>mance needed to demonstrate achievement of the element. Assessment of performance is to be consistent with the evidence guide.</w:t>
      </w:r>
    </w:p>
    <w:p w:rsidR="00000000" w:rsidRPr="00236DF0" w:rsidP="00236DF0">
      <w:pPr>
        <w:pStyle w:val="AllowPageBreak"/>
      </w:pPr>
    </w:p>
    <w:p w:rsidR="00000000" w:rsidRPr="00236DF0" w:rsidP="00236DF0">
      <w:pPr>
        <w:pStyle w:val="Heading1"/>
      </w:pPr>
      <w:bookmarkStart w:id="8" w:name="O_315459"/>
      <w:bookmarkEnd w:id="8"/>
      <w:r w:rsidRPr="00236DF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703D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Elements and Performance Criteria</w:t>
            </w:r>
          </w:p>
        </w:tc>
      </w:tr>
      <w:tr w:rsidTr="003703D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Performance Criteria</w:t>
            </w:r>
          </w:p>
        </w:tc>
      </w:tr>
      <w:tr w:rsidTr="003703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1</w:t>
            </w:r>
          </w:p>
        </w:tc>
        <w:tc>
          <w:tcPr>
            <w:tcW w:w="3000" w:type="dxa"/>
            <w:vMerge w:val="restart"/>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Mobilise resources</w:t>
            </w: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1.1</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Optimal resource level is acquired to meet the requirements of the operational schedule</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1.2</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Relevant regulatory and insurance requirements are determined and implemented</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1.3</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Allocated resources are assessed and monitored to ensure operational effectiveness and efficiency</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1.4</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Changes to resource allocation are undertaken (in accordance with enterprise procedures) where deficiencies or over-supply are apparent</w:t>
            </w:r>
          </w:p>
        </w:tc>
      </w:tr>
      <w:tr w:rsidTr="003703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2</w:t>
            </w:r>
          </w:p>
        </w:tc>
        <w:tc>
          <w:tcPr>
            <w:tcW w:w="3000" w:type="dxa"/>
            <w:vMerge w:val="restart"/>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Coordinate m</w:t>
            </w:r>
            <w:r w:rsidRPr="00236DF0">
              <w:rPr>
                <w:rStyle w:val="SpecialBold"/>
              </w:rPr>
              <w:t>ulti-modal transport activities</w:t>
            </w: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2.1</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Facilities, personnel and equipment are made ready to accommodate interchange functions</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2.2</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Security arrangements are invoked as required</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2.3</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Loading and unloading operations are conducted in accordance with operation schedule and applicable statutory requirements, codes of practice and enterprise procedures</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2.4</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Relevant documentation is completed/updated to accord with operational schedule a</w:t>
            </w:r>
            <w:r w:rsidRPr="00236DF0">
              <w:t>nd reporting requirements</w:t>
            </w:r>
          </w:p>
        </w:tc>
      </w:tr>
      <w:tr w:rsidTr="003703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3</w:t>
            </w:r>
          </w:p>
        </w:tc>
        <w:tc>
          <w:tcPr>
            <w:tcW w:w="3000" w:type="dxa"/>
            <w:vMerge w:val="restart"/>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Monitor consignment(s) tracking</w:t>
            </w: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3.1</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Consignment tracking systems are monitored against workplace quality standards</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3.2</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Variations from workplace quality standards are identified and appropriate action is initiated to rectify the identified problems or to institute any required improvements</w:t>
            </w:r>
          </w:p>
        </w:tc>
      </w:tr>
      <w:tr w:rsidTr="003703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4</w:t>
            </w:r>
          </w:p>
        </w:tc>
        <w:tc>
          <w:tcPr>
            <w:tcW w:w="3000" w:type="dxa"/>
            <w:vMerge w:val="restart"/>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Implement contingency management strategy</w:t>
            </w: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4.1</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Operational schedule is continually reviewed in light of information updates, reports and feedback</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4.2</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The nature, extent and impact of any issues or incidents are identified and assessed against contingency management strategy</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4.3</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Relevant informati</w:t>
            </w:r>
            <w:r w:rsidRPr="00236DF0">
              <w:t>on is processed to establish priorities and responses for dealing with issues or incidents</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4.4</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Operations are redirected and controlled to meet changes in transport environment and tasks in accordance with enterprise procedures</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4.5</w:t>
            </w:r>
          </w:p>
        </w:tc>
        <w:tc>
          <w:tcPr>
            <w:tcW w:w="51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Liaison is initiated and maintained with organisations/individuals affected by changed operational schedules</w:t>
            </w:r>
          </w:p>
        </w:tc>
      </w:tr>
      <w:tr w:rsidTr="003703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4.6</w:t>
            </w:r>
          </w:p>
        </w:tc>
        <w:tc>
          <w:tcPr>
            <w:tcW w:w="51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Actions undertaken are clearly documented and filed</w:t>
            </w:r>
          </w:p>
        </w:tc>
      </w:tr>
    </w:tbl>
    <w:p w:rsidR="00000000" w:rsidRPr="00236DF0" w:rsidP="00236DF0">
      <w:pPr>
        <w:pStyle w:val="BodyText"/>
      </w:pPr>
    </w:p>
    <w:p w:rsidR="00000000" w:rsidRPr="00236DF0" w:rsidP="00236DF0">
      <w:pPr>
        <w:pStyle w:val="AllowPageBreak"/>
      </w:pPr>
    </w:p>
    <w:p w:rsidR="00000000" w:rsidRPr="00236DF0" w:rsidP="00236DF0">
      <w:pPr>
        <w:pStyle w:val="Heading1"/>
      </w:pPr>
      <w:bookmarkStart w:id="9" w:name="O_315458"/>
      <w:bookmarkEnd w:id="9"/>
      <w:r w:rsidRPr="00236DF0">
        <w:t>Required Skills and Knowledge</w:t>
      </w:r>
    </w:p>
    <w:tbl>
      <w:tblPr>
        <w:tblW w:w="0" w:type="auto"/>
        <w:tblLayout w:type="fixed"/>
        <w:tblCellMar>
          <w:left w:w="62" w:type="dxa"/>
          <w:right w:w="62" w:type="dxa"/>
        </w:tblCellMar>
        <w:tblLook w:val="0000"/>
      </w:tblPr>
      <w:tblGrid>
        <w:gridCol w:w="9000"/>
      </w:tblGrid>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REQUIRED KNOWLEDGE AND SKILLS</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This describes the essential knowledge and skills and their level required for this unit.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Required knowledge</w:t>
            </w:r>
            <w:r w:rsidRPr="00236DF0">
              <w:t xml:space="preserve">: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Relevant regulations, codes of practice and legislative requirements including local and international regulations relevant to transport logis</w:t>
            </w:r>
            <w:r w:rsidRPr="00236DF0">
              <w:t xml:space="preserve">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Relevant OH&amp;S and environmental protection procedures and regulations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Workplace procedures for the implementation and monitoring of transport logistics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Problems that may occur during the implementation and monitoring of transport logistics and a</w:t>
            </w:r>
            <w:r w:rsidRPr="00236DF0">
              <w:t xml:space="preserve">ction that can be taken to resolve or report the problems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Risks and hazards related to the implementation and monitoring of transport logistics and ways of controlling the risks involved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Focus of operation of transport logistic systems, resources, mana</w:t>
            </w:r>
            <w:r w:rsidRPr="00236DF0">
              <w:t xml:space="preserve">gement and workplace operating systems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Transport and equipment applications, capacities, configurations, safety hazards and control mechanisms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Code, regulatory, permit and licence requirements relevant to transport logistics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Application of relevant A</w:t>
            </w:r>
            <w:r w:rsidRPr="00236DF0">
              <w:t xml:space="preserve">ustralian standards and associated certification requirements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Business policies and plans including procedures for outsourcing components of operations and engaging additional resources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Workplace </w:t>
            </w:r>
            <w:r w:rsidRPr="00236DF0">
              <w:t xml:space="preserve">policies including issue resolution and grievance procedures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Resource availability including the competencies of individuals in the team/group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The application of current competencies within functional activity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Relevant workplace documentation procedu</w:t>
            </w:r>
            <w:r w:rsidRPr="00236DF0">
              <w:t xml:space="preserve">res </w:t>
            </w:r>
          </w:p>
        </w:tc>
      </w:tr>
    </w:tbl>
    <w:p w:rsidR="00000000" w:rsidRPr="00236DF0" w:rsidP="00236DF0">
      <w:pPr>
        <w:pStyle w:val="BodyText"/>
      </w:pPr>
    </w:p>
    <w:tbl>
      <w:tblPr>
        <w:tblW w:w="0" w:type="auto"/>
        <w:tblLayout w:type="fixed"/>
        <w:tblCellMar>
          <w:left w:w="62" w:type="dxa"/>
          <w:right w:w="62" w:type="dxa"/>
        </w:tblCellMar>
        <w:tblLook w:val="0000"/>
      </w:tblPr>
      <w:tblGrid>
        <w:gridCol w:w="9000"/>
      </w:tblGrid>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Required skills</w:t>
            </w:r>
            <w:r w:rsidRPr="00236DF0">
              <w:t>:</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Communicate effectively with others when implementing and monitoring transport logistics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Read and interpret transport schedules, regulatory requirements, customer instructions, workplace procedures and manuals relevant to the imp</w:t>
            </w:r>
            <w:r w:rsidRPr="00236DF0">
              <w:t xml:space="preserve">lementation and monitoring of transport logistics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Prioritise work and coordinate self and others in relation to transport logistics activities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Complete documentation related to the implementation and monitoring of transport logistics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Operate electron</w:t>
            </w:r>
            <w:r w:rsidRPr="00236DF0">
              <w:t xml:space="preserve">ic communication equipment to required protocol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Provide leadership and work collaboratively with others when implementing and monitoring transport logistics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Adapt appropriately to cultural differences in the workplace, including modes of behaviour and interactions with others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Promptly report and/or rectify any problems identified when implementing and monitoring transport logistics in accordance with regulat</w:t>
            </w:r>
            <w:r w:rsidRPr="00236DF0">
              <w:t xml:space="preserve">ory requirements and workplace procedures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Implement contingency plans for unanticipated situations that may arise during the implementation and monitoring of transport logistics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Apply precautions and required action to minimise, control or eliminate ha</w:t>
            </w:r>
            <w:r w:rsidRPr="00236DF0">
              <w:t xml:space="preserve">zards that may exist during work activities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Monitor work activities in terms of planned schedule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Modify activities depending on differing operational contingencies, risk situations and environments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Apply fatigue management knowledge and techniques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Work systematically with required attention to detail without injury to self or others, or damage to goods or equipment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Select and apply appropriate application of technology, information systems and procedures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Operate and adapt to differences in equip</w:t>
            </w:r>
            <w:r w:rsidRPr="00236DF0">
              <w:t xml:space="preserve">ment in accordance with standard operating procedures </w:t>
            </w:r>
          </w:p>
        </w:tc>
      </w:tr>
      <w:tr w:rsidTr="003703D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 xml:space="preserve">Select and use required personal protective equipment conforming to industry and OH&amp;S standards </w:t>
            </w:r>
          </w:p>
        </w:tc>
      </w:tr>
    </w:tbl>
    <w:p w:rsidR="00000000" w:rsidRPr="00236DF0" w:rsidP="00236DF0">
      <w:pPr>
        <w:pStyle w:val="BodyText"/>
      </w:pPr>
    </w:p>
    <w:p w:rsidR="00000000" w:rsidRPr="00236DF0" w:rsidP="00236DF0">
      <w:pPr>
        <w:pStyle w:val="AllowPageBreak"/>
      </w:pPr>
    </w:p>
    <w:p w:rsidR="00000000" w:rsidRPr="00236DF0" w:rsidP="00236DF0">
      <w:pPr>
        <w:pStyle w:val="Heading1"/>
      </w:pPr>
      <w:bookmarkStart w:id="10" w:name="O_315457"/>
      <w:bookmarkEnd w:id="10"/>
      <w:r w:rsidRPr="00236DF0">
        <w:t>Evidence Guide</w:t>
      </w:r>
    </w:p>
    <w:tbl>
      <w:tblPr>
        <w:tblW w:w="0" w:type="auto"/>
        <w:tblLayout w:type="fixed"/>
        <w:tblCellMar>
          <w:left w:w="62" w:type="dxa"/>
          <w:right w:w="62" w:type="dxa"/>
        </w:tblCellMar>
        <w:tblLook w:val="0000"/>
      </w:tblPr>
      <w:tblGrid>
        <w:gridCol w:w="4500"/>
        <w:gridCol w:w="4500"/>
      </w:tblGrid>
      <w:tr w:rsidTr="003703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6DF0">
            <w:pPr>
              <w:pStyle w:val="BodyText"/>
              <w:rPr>
                <w:lang w:val="en-NZ"/>
              </w:rPr>
            </w:pPr>
          </w:p>
        </w:tc>
      </w:tr>
      <w:tr w:rsidTr="003703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The evidence guide provides advice on assessment and must be read in conjunction with the performance criteria, required knowledge and skills, the range statement and the assessment guidelines for this Training Package.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Critical aspects for assessment a</w:t>
            </w:r>
            <w:r w:rsidRPr="00236DF0">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The evidence required to demonstrate competency in this unit must be relevant to and satisfy all of the requirements of the elements and performance criteria of this unit and include demonstration</w:t>
            </w:r>
            <w:r w:rsidRPr="00236DF0">
              <w:t xml:space="preserve"> of applying:   </w:t>
            </w:r>
          </w:p>
          <w:p w:rsidR="00000000" w:rsidRPr="00236DF0" w:rsidP="00236DF0">
            <w:pPr>
              <w:pStyle w:val="BodyText"/>
            </w:pPr>
            <w:r w:rsidRPr="00236DF0">
              <w:t>the underpinning knowledge and skills</w:t>
            </w:r>
          </w:p>
          <w:p w:rsidR="00000000" w:rsidRPr="00236DF0" w:rsidP="00236DF0">
            <w:pPr>
              <w:pStyle w:val="BodyText"/>
            </w:pPr>
            <w:r w:rsidRPr="00236DF0">
              <w:t>relevant legislation and workplace procedures</w:t>
            </w:r>
          </w:p>
          <w:p w:rsidR="00000000" w:rsidP="00236DF0">
            <w:pPr>
              <w:pStyle w:val="BodyText"/>
              <w:rPr>
                <w:lang w:val="en-NZ"/>
              </w:rPr>
            </w:pPr>
            <w:r w:rsidRPr="00236DF0">
              <w:t xml:space="preserve">other relevant aspects of the range statement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Performance is demonstrated consistently over a period of time and in a suitable range of contexts</w:t>
            </w:r>
          </w:p>
          <w:p w:rsidR="00000000" w:rsidRPr="00236DF0" w:rsidP="00236DF0">
            <w:pPr>
              <w:pStyle w:val="BodyText"/>
            </w:pPr>
            <w:r w:rsidRPr="00236DF0">
              <w:t xml:space="preserve">Resources for assessment include:   </w:t>
            </w:r>
          </w:p>
          <w:p w:rsidR="00000000" w:rsidRPr="00236DF0" w:rsidP="00236DF0">
            <w:pPr>
              <w:pStyle w:val="BodyText"/>
            </w:pPr>
            <w:r w:rsidRPr="00236DF0">
              <w:t>a range of relevant exercises, case studies and other simulated practical and knowledge assessment, and/or</w:t>
            </w:r>
          </w:p>
          <w:p w:rsidR="00000000" w:rsidRPr="00236DF0" w:rsidP="00236DF0">
            <w:pPr>
              <w:pStyle w:val="BodyText"/>
            </w:pPr>
            <w:r w:rsidRPr="00236DF0">
              <w:t xml:space="preserve">access to an </w:t>
            </w:r>
            <w:r w:rsidRPr="00236DF0">
              <w:t>appropriate range of relevant operational situations in the workplace</w:t>
            </w:r>
          </w:p>
          <w:p w:rsidR="00000000" w:rsidRPr="00236DF0" w:rsidP="00236DF0">
            <w:pPr>
              <w:pStyle w:val="BodyText"/>
            </w:pPr>
          </w:p>
          <w:p w:rsidR="00000000" w:rsidRPr="00236DF0" w:rsidP="00236DF0">
            <w:pPr>
              <w:pStyle w:val="BodyText"/>
            </w:pPr>
            <w:r w:rsidRPr="00236DF0">
              <w:t xml:space="preserve">In both real and simulated environments, access is required to:     </w:t>
            </w:r>
          </w:p>
          <w:p w:rsidR="00000000" w:rsidRPr="00236DF0" w:rsidP="00236DF0">
            <w:pPr>
              <w:pStyle w:val="BodyText"/>
            </w:pPr>
            <w:r w:rsidRPr="00236DF0">
              <w:t>relevant and appropriate materials and/or equipment, and/or</w:t>
            </w:r>
          </w:p>
          <w:p w:rsidR="00000000" w:rsidP="00236DF0">
            <w:pPr>
              <w:pStyle w:val="BodyText"/>
              <w:rPr>
                <w:lang w:val="en-NZ"/>
              </w:rPr>
            </w:pPr>
            <w:r w:rsidRPr="00236DF0">
              <w:t>applicable documentation including workplace procedures,</w:t>
            </w:r>
            <w:r w:rsidRPr="00236DF0">
              <w:t xml:space="preserve"> regulations, codes of practice and operation manuals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Assessment of this unit must be undertaken by a registered training organisation</w:t>
            </w:r>
          </w:p>
          <w:p w:rsidR="00000000" w:rsidRPr="00236DF0" w:rsidP="00236DF0">
            <w:pPr>
              <w:pStyle w:val="BodyText"/>
            </w:pPr>
            <w:r w:rsidRPr="00236DF0">
              <w:t>As a minimum, assessment of knowledge must be conducted through appropriate written/oral tests</w:t>
            </w:r>
          </w:p>
          <w:p w:rsidR="00000000" w:rsidRPr="00236DF0" w:rsidP="00236DF0">
            <w:pPr>
              <w:pStyle w:val="BodyText"/>
            </w:pPr>
            <w:r w:rsidRPr="00236DF0">
              <w:t>Pra</w:t>
            </w:r>
            <w:r w:rsidRPr="00236DF0">
              <w:t xml:space="preserve">ctical assessment must occur:   </w:t>
            </w:r>
          </w:p>
          <w:p w:rsidR="00000000" w:rsidRPr="00236DF0" w:rsidP="00236DF0">
            <w:pPr>
              <w:pStyle w:val="BodyText"/>
            </w:pPr>
            <w:r w:rsidRPr="00236DF0">
              <w:t>through appropriately simulated activities at the registered training organisation, and/or</w:t>
            </w:r>
          </w:p>
          <w:p w:rsidR="00000000" w:rsidRPr="00236DF0" w:rsidP="00236DF0">
            <w:pPr>
              <w:pStyle w:val="BodyText"/>
            </w:pPr>
            <w:r w:rsidRPr="00236DF0">
              <w:t xml:space="preserve">in an appropriate range of situations in the workplace </w:t>
            </w:r>
          </w:p>
        </w:tc>
      </w:tr>
    </w:tbl>
    <w:p w:rsidR="00000000" w:rsidRPr="00236DF0" w:rsidP="00236DF0">
      <w:pPr>
        <w:pStyle w:val="BodyText"/>
      </w:pPr>
    </w:p>
    <w:p w:rsidR="00000000" w:rsidRPr="00236DF0" w:rsidP="00236DF0">
      <w:pPr>
        <w:pStyle w:val="AllowPageBreak"/>
      </w:pPr>
    </w:p>
    <w:p w:rsidR="00000000" w:rsidRPr="00236DF0" w:rsidP="00236DF0">
      <w:pPr>
        <w:pStyle w:val="Heading1"/>
      </w:pPr>
      <w:bookmarkStart w:id="11" w:name="O_315456"/>
      <w:bookmarkEnd w:id="11"/>
      <w:r w:rsidRPr="00236DF0">
        <w:t>Range Statement</w:t>
      </w:r>
    </w:p>
    <w:tbl>
      <w:tblPr>
        <w:tblW w:w="0" w:type="auto"/>
        <w:tblLayout w:type="fixed"/>
        <w:tblCellMar>
          <w:left w:w="62" w:type="dxa"/>
          <w:right w:w="62" w:type="dxa"/>
        </w:tblCellMar>
        <w:tblLook w:val="0000"/>
      </w:tblPr>
      <w:tblGrid>
        <w:gridCol w:w="4500"/>
        <w:gridCol w:w="4500"/>
      </w:tblGrid>
      <w:tr w:rsidTr="003703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rPr>
                <w:rStyle w:val="SpecialBold"/>
              </w:rPr>
              <w:t>RANGE STATEMENT</w:t>
            </w:r>
          </w:p>
        </w:tc>
      </w:tr>
      <w:tr w:rsidTr="003703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The range statement relates to the unit of competency as a whole. It allows for different work environments and situations that may affect performance.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Work may be undertaken: </w:t>
            </w:r>
          </w:p>
        </w:tc>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in various work environments in the sections of the warehousing, storage, tr</w:t>
            </w:r>
            <w:r w:rsidRPr="00236DF0">
              <w:t xml:space="preserve">ansport and distribution industries involved in transport logistics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internal or external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by day or night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The workplace environment may involve: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twenty-four hour operation</w:t>
            </w:r>
          </w:p>
          <w:p w:rsidR="00000000" w:rsidRPr="00236DF0" w:rsidP="00236DF0">
            <w:pPr>
              <w:pStyle w:val="BodyText"/>
            </w:pPr>
            <w:r w:rsidRPr="00236DF0">
              <w:t>single and multi-site locatio</w:t>
            </w:r>
            <w:r w:rsidRPr="00236DF0">
              <w:t>ns</w:t>
            </w:r>
          </w:p>
          <w:p w:rsidR="00000000" w:rsidP="00236DF0">
            <w:pPr>
              <w:pStyle w:val="BodyText"/>
              <w:rPr>
                <w:lang w:val="en-NZ"/>
              </w:rPr>
            </w:pPr>
            <w:r w:rsidRPr="00236DF0">
              <w:t xml:space="preserve">large, medium and small workplaces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Critical parameters for the evaluation of consignment loads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type, capacity, compatibility and capability of load</w:t>
            </w:r>
          </w:p>
          <w:p w:rsidR="00000000" w:rsidRPr="00236DF0" w:rsidP="00236DF0">
            <w:pPr>
              <w:pStyle w:val="BodyText"/>
            </w:pPr>
            <w:r w:rsidRPr="00236DF0">
              <w:t>agreed delivery times and destination</w:t>
            </w:r>
          </w:p>
          <w:p w:rsidR="00000000" w:rsidRPr="00236DF0" w:rsidP="00236DF0">
            <w:pPr>
              <w:pStyle w:val="BodyText"/>
            </w:pPr>
            <w:r w:rsidRPr="00236DF0">
              <w:t>pick-up and drop-off points</w:t>
            </w:r>
          </w:p>
          <w:p w:rsidR="00000000" w:rsidP="00236DF0">
            <w:pPr>
              <w:pStyle w:val="BodyText"/>
              <w:rPr>
                <w:lang w:val="en-NZ"/>
              </w:rPr>
            </w:pPr>
            <w:r w:rsidRPr="00236DF0">
              <w:t xml:space="preserve">waiting, loading and unloading times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Key requirements for the planning of transport logistics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collection and distribution destination</w:t>
            </w:r>
          </w:p>
          <w:p w:rsidR="00000000" w:rsidRPr="00236DF0" w:rsidP="00236DF0">
            <w:pPr>
              <w:pStyle w:val="BodyText"/>
            </w:pPr>
            <w:r w:rsidRPr="00236DF0">
              <w:t>transport duration times</w:t>
            </w:r>
          </w:p>
          <w:p w:rsidR="00000000" w:rsidRPr="00236DF0" w:rsidP="00236DF0">
            <w:pPr>
              <w:pStyle w:val="BodyText"/>
            </w:pPr>
            <w:r w:rsidRPr="00236DF0">
              <w:t>type and compatibility of load</w:t>
            </w:r>
          </w:p>
          <w:p w:rsidR="00000000" w:rsidRPr="00236DF0" w:rsidP="00236DF0">
            <w:pPr>
              <w:pStyle w:val="BodyText"/>
            </w:pPr>
            <w:r w:rsidRPr="00236DF0">
              <w:t>transport mode(s) and capac</w:t>
            </w:r>
            <w:r w:rsidRPr="00236DF0">
              <w:t>ity</w:t>
            </w:r>
          </w:p>
          <w:p w:rsidR="00000000" w:rsidRPr="00236DF0" w:rsidP="00236DF0">
            <w:pPr>
              <w:pStyle w:val="BodyText"/>
            </w:pPr>
            <w:r w:rsidRPr="00236DF0">
              <w:t>return freight</w:t>
            </w:r>
          </w:p>
          <w:p w:rsidR="00000000" w:rsidRPr="00236DF0" w:rsidP="00236DF0">
            <w:pPr>
              <w:pStyle w:val="BodyText"/>
            </w:pPr>
            <w:r w:rsidRPr="00236DF0">
              <w:t>fatigue management</w:t>
            </w:r>
          </w:p>
          <w:p w:rsidR="00000000" w:rsidP="00236DF0">
            <w:pPr>
              <w:pStyle w:val="BodyText"/>
              <w:rPr>
                <w:lang w:val="en-NZ"/>
              </w:rPr>
            </w:pPr>
            <w:r w:rsidRPr="00236DF0">
              <w:t xml:space="preserve">use of designated routes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Strategies to address identified deficiencies in operational capability and availability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re-negotiation of collection and/or delivery times</w:t>
            </w:r>
          </w:p>
          <w:p w:rsidR="00000000" w:rsidRPr="00236DF0" w:rsidP="00236DF0">
            <w:pPr>
              <w:pStyle w:val="BodyText"/>
            </w:pPr>
            <w:r w:rsidRPr="00236DF0">
              <w:t>alternate tran</w:t>
            </w:r>
            <w:r w:rsidRPr="00236DF0">
              <w:t>sport mode(s)</w:t>
            </w:r>
          </w:p>
          <w:p w:rsidR="00000000" w:rsidP="00236DF0">
            <w:pPr>
              <w:pStyle w:val="BodyText"/>
              <w:rPr>
                <w:lang w:val="en-NZ"/>
              </w:rPr>
            </w:pPr>
            <w:r w:rsidRPr="00236DF0">
              <w:t xml:space="preserve">outsourcing components of operation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Consignments may be: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palletised</w:t>
            </w:r>
          </w:p>
          <w:p w:rsidR="00000000" w:rsidRPr="00236DF0" w:rsidP="00236DF0">
            <w:pPr>
              <w:pStyle w:val="BodyText"/>
            </w:pPr>
            <w:r w:rsidRPr="00236DF0">
              <w:t>containerised</w:t>
            </w:r>
          </w:p>
          <w:p w:rsidR="00000000" w:rsidRPr="00236DF0" w:rsidP="00236DF0">
            <w:pPr>
              <w:pStyle w:val="BodyText"/>
            </w:pPr>
            <w:r w:rsidRPr="00236DF0">
              <w:t>packages or loose</w:t>
            </w:r>
          </w:p>
          <w:p w:rsidR="00000000" w:rsidP="00236DF0">
            <w:pPr>
              <w:pStyle w:val="BodyText"/>
              <w:rPr>
                <w:lang w:val="en-NZ"/>
              </w:rPr>
            </w:pPr>
            <w:r w:rsidRPr="00236DF0">
              <w:t xml:space="preserve">and in gas, liquid or solid form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Transport may be: </w:t>
            </w:r>
          </w:p>
        </w:tc>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single or multi-modal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Modes of transport may include: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road</w:t>
            </w:r>
          </w:p>
          <w:p w:rsidR="00000000" w:rsidRPr="00236DF0" w:rsidP="00236DF0">
            <w:pPr>
              <w:pStyle w:val="BodyText"/>
            </w:pPr>
            <w:r w:rsidRPr="00236DF0">
              <w:t>rail</w:t>
            </w:r>
          </w:p>
          <w:p w:rsidR="00000000" w:rsidRPr="00236DF0" w:rsidP="00236DF0">
            <w:pPr>
              <w:pStyle w:val="BodyText"/>
            </w:pPr>
            <w:r w:rsidRPr="00236DF0">
              <w:t>air</w:t>
            </w:r>
          </w:p>
          <w:p w:rsidR="00000000" w:rsidP="00236DF0">
            <w:pPr>
              <w:pStyle w:val="BodyText"/>
              <w:rPr>
                <w:lang w:val="en-NZ"/>
              </w:rPr>
            </w:pPr>
            <w:r w:rsidRPr="00236DF0">
              <w:t xml:space="preserve">sea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Calculation of transport duration times includes: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travelling</w:t>
            </w:r>
          </w:p>
          <w:p w:rsidR="00000000" w:rsidRPr="00236DF0" w:rsidP="00236DF0">
            <w:pPr>
              <w:pStyle w:val="BodyText"/>
            </w:pPr>
            <w:r w:rsidRPr="00236DF0">
              <w:t>loading</w:t>
            </w:r>
          </w:p>
          <w:p w:rsidR="00000000" w:rsidRPr="00236DF0" w:rsidP="00236DF0">
            <w:pPr>
              <w:pStyle w:val="BodyText"/>
            </w:pPr>
            <w:r w:rsidRPr="00236DF0">
              <w:t>unloading</w:t>
            </w:r>
          </w:p>
          <w:p w:rsidR="00000000" w:rsidRPr="00236DF0" w:rsidP="00236DF0">
            <w:pPr>
              <w:pStyle w:val="BodyText"/>
            </w:pPr>
            <w:r w:rsidRPr="00236DF0">
              <w:t>change-over</w:t>
            </w:r>
          </w:p>
          <w:p w:rsidR="00000000" w:rsidRPr="00236DF0" w:rsidP="00236DF0">
            <w:pPr>
              <w:pStyle w:val="BodyText"/>
            </w:pPr>
            <w:r w:rsidRPr="00236DF0">
              <w:t>standing times</w:t>
            </w:r>
          </w:p>
          <w:p w:rsidR="00000000" w:rsidP="00236DF0">
            <w:pPr>
              <w:pStyle w:val="BodyText"/>
              <w:rPr>
                <w:lang w:val="en-NZ"/>
              </w:rPr>
            </w:pPr>
            <w:r w:rsidRPr="00236DF0">
              <w:t xml:space="preserve">with due regard to varying transit condition and environments (i.e. road conditions, traffic flows, weather, local government by-laws)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Transport ma</w:t>
            </w:r>
            <w:r w:rsidRPr="00236DF0">
              <w:t xml:space="preserve">y involve: </w:t>
            </w:r>
          </w:p>
        </w:tc>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the use of designated routes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site restrictions and procedures</w:t>
            </w:r>
          </w:p>
          <w:p w:rsidR="00000000" w:rsidRPr="00236DF0" w:rsidP="00236DF0">
            <w:pPr>
              <w:pStyle w:val="BodyText"/>
            </w:pPr>
            <w:r w:rsidRPr="00236DF0">
              <w:t>use of safety and personal protective equipment</w:t>
            </w:r>
          </w:p>
          <w:p w:rsidR="00000000" w:rsidRPr="00236DF0" w:rsidP="00236DF0">
            <w:pPr>
              <w:pStyle w:val="BodyText"/>
            </w:pPr>
            <w:r w:rsidRPr="00236DF0">
              <w:t>systems and facilities for transport logistics</w:t>
            </w:r>
          </w:p>
          <w:p w:rsidR="00000000" w:rsidRPr="00236DF0" w:rsidP="00236DF0">
            <w:pPr>
              <w:pStyle w:val="BodyText"/>
            </w:pPr>
            <w:r w:rsidRPr="00236DF0">
              <w:t>specialised lifting and/or handling equipment</w:t>
            </w:r>
          </w:p>
          <w:p w:rsidR="00000000" w:rsidRPr="00236DF0" w:rsidP="00236DF0">
            <w:pPr>
              <w:pStyle w:val="BodyText"/>
            </w:pPr>
            <w:r w:rsidRPr="00236DF0">
              <w:t>incident/accident breakdown procedures</w:t>
            </w:r>
          </w:p>
          <w:p w:rsidR="00000000" w:rsidRPr="00236DF0" w:rsidP="00236DF0">
            <w:pPr>
              <w:pStyle w:val="BodyText"/>
            </w:pPr>
            <w:r w:rsidRPr="00236DF0">
              <w:t>additional gear and equipment</w:t>
            </w:r>
          </w:p>
          <w:p w:rsidR="00000000" w:rsidRPr="00236DF0" w:rsidP="00236DF0">
            <w:pPr>
              <w:pStyle w:val="BodyText"/>
            </w:pPr>
            <w:r w:rsidRPr="00236DF0">
              <w:t>noise restrictions</w:t>
            </w:r>
          </w:p>
          <w:p w:rsidR="00000000" w:rsidRPr="00236DF0" w:rsidP="00236DF0">
            <w:pPr>
              <w:pStyle w:val="BodyText"/>
            </w:pPr>
            <w:r w:rsidRPr="00236DF0">
              <w:t>hours of operation</w:t>
            </w:r>
          </w:p>
          <w:p w:rsidR="00000000" w:rsidRPr="00236DF0" w:rsidP="00236DF0">
            <w:pPr>
              <w:pStyle w:val="BodyText"/>
            </w:pPr>
            <w:r w:rsidRPr="00236DF0">
              <w:t>authorities and permits</w:t>
            </w:r>
          </w:p>
          <w:p w:rsidR="00000000" w:rsidP="00236DF0">
            <w:pPr>
              <w:pStyle w:val="BodyText"/>
              <w:rPr>
                <w:lang w:val="en-NZ"/>
              </w:rPr>
            </w:pPr>
            <w:r w:rsidRPr="00236DF0">
              <w:t xml:space="preserve">communications equipment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Hazard management is consistent with: </w:t>
            </w:r>
          </w:p>
        </w:tc>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the principle of hierarchy of control with elimination, sub</w:t>
            </w:r>
            <w:r w:rsidRPr="00236DF0">
              <w:t xml:space="preserve">stitution, isolation and engineering control measures being selected before safe working practices and personal protective equipment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other employees and supervisors</w:t>
            </w:r>
          </w:p>
          <w:p w:rsidR="00000000" w:rsidRPr="00236DF0" w:rsidP="00236DF0">
            <w:pPr>
              <w:pStyle w:val="BodyText"/>
            </w:pPr>
            <w:r w:rsidRPr="00236DF0">
              <w:t>suppliers, potential customers and existing clients</w:t>
            </w:r>
          </w:p>
          <w:p w:rsidR="00000000" w:rsidRPr="00236DF0" w:rsidP="00236DF0">
            <w:pPr>
              <w:pStyle w:val="BodyText"/>
            </w:pPr>
            <w:r w:rsidRPr="00236DF0">
              <w:t>relevant authorities and institutions</w:t>
            </w:r>
          </w:p>
          <w:p w:rsidR="00000000" w:rsidRPr="00236DF0" w:rsidP="00236DF0">
            <w:pPr>
              <w:pStyle w:val="BodyText"/>
            </w:pPr>
            <w:r w:rsidRPr="00236DF0">
              <w:t>relevant government instrumentalities</w:t>
            </w:r>
          </w:p>
          <w:p w:rsidR="00000000" w:rsidRPr="00236DF0" w:rsidP="00236DF0">
            <w:pPr>
              <w:pStyle w:val="BodyText"/>
            </w:pPr>
            <w:r w:rsidRPr="00236DF0">
              <w:t>emergency services</w:t>
            </w:r>
          </w:p>
          <w:p w:rsidR="00000000" w:rsidRPr="00236DF0" w:rsidP="00236DF0">
            <w:pPr>
              <w:pStyle w:val="BodyText"/>
            </w:pPr>
            <w:r w:rsidRPr="00236DF0">
              <w:t>management and union representatives</w:t>
            </w:r>
          </w:p>
          <w:p w:rsidR="00000000" w:rsidRPr="00236DF0" w:rsidP="00236DF0">
            <w:pPr>
              <w:pStyle w:val="BodyText"/>
            </w:pPr>
            <w:r w:rsidRPr="00236DF0">
              <w:t>industrial relations and OH&amp;S specialists</w:t>
            </w:r>
          </w:p>
          <w:p w:rsidR="00000000" w:rsidP="00236DF0">
            <w:pPr>
              <w:pStyle w:val="BodyText"/>
              <w:rPr>
                <w:lang w:val="en-NZ"/>
              </w:rPr>
            </w:pPr>
            <w:r w:rsidRPr="00236DF0">
              <w:t xml:space="preserve">other maintenance, professional or technical staff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phone</w:t>
            </w:r>
          </w:p>
          <w:p w:rsidR="00000000" w:rsidRPr="00236DF0" w:rsidP="00236DF0">
            <w:pPr>
              <w:pStyle w:val="BodyText"/>
            </w:pPr>
            <w:r w:rsidRPr="00236DF0">
              <w:t>electronic data interchange (EDI)</w:t>
            </w:r>
          </w:p>
          <w:p w:rsidR="00000000" w:rsidRPr="00236DF0" w:rsidP="00236DF0">
            <w:pPr>
              <w:pStyle w:val="BodyText"/>
            </w:pPr>
            <w:r w:rsidRPr="00236DF0">
              <w:t>fax</w:t>
            </w:r>
          </w:p>
          <w:p w:rsidR="00000000" w:rsidRPr="00236DF0" w:rsidP="00236DF0">
            <w:pPr>
              <w:pStyle w:val="BodyText"/>
            </w:pPr>
            <w:r w:rsidRPr="00236DF0">
              <w:t>email</w:t>
            </w:r>
          </w:p>
          <w:p w:rsidR="00000000" w:rsidRPr="00236DF0" w:rsidP="00236DF0">
            <w:pPr>
              <w:pStyle w:val="BodyText"/>
            </w:pPr>
            <w:r w:rsidRPr="00236DF0">
              <w:t>internet</w:t>
            </w:r>
          </w:p>
          <w:p w:rsidR="00000000" w:rsidRPr="00236DF0" w:rsidP="00236DF0">
            <w:pPr>
              <w:pStyle w:val="BodyText"/>
            </w:pPr>
            <w:r w:rsidRPr="00236DF0">
              <w:t>RF communications</w:t>
            </w:r>
          </w:p>
          <w:p w:rsidR="00000000" w:rsidRPr="00236DF0" w:rsidP="00236DF0">
            <w:pPr>
              <w:pStyle w:val="BodyText"/>
            </w:pPr>
            <w:r w:rsidRPr="00236DF0">
              <w:t>bar code readers</w:t>
            </w:r>
          </w:p>
          <w:p w:rsidR="00000000" w:rsidP="00236DF0">
            <w:pPr>
              <w:pStyle w:val="BodyText"/>
              <w:rPr>
                <w:lang w:val="en-NZ"/>
              </w:rPr>
            </w:pPr>
            <w:r w:rsidRPr="00236DF0">
              <w:t xml:space="preserve">oral, aural or signed communications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Personal protective equipment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gloves</w:t>
            </w:r>
          </w:p>
          <w:p w:rsidR="00000000" w:rsidRPr="00236DF0" w:rsidP="00236DF0">
            <w:pPr>
              <w:pStyle w:val="BodyText"/>
            </w:pPr>
            <w:r w:rsidRPr="00236DF0">
              <w:t>safet</w:t>
            </w:r>
            <w:r w:rsidRPr="00236DF0">
              <w:t>y headwear and footwear</w:t>
            </w:r>
          </w:p>
          <w:p w:rsidR="00000000" w:rsidRPr="00236DF0" w:rsidP="00236DF0">
            <w:pPr>
              <w:pStyle w:val="BodyText"/>
            </w:pPr>
            <w:r w:rsidRPr="00236DF0">
              <w:t>safety clothing</w:t>
            </w:r>
          </w:p>
          <w:p w:rsidR="00000000" w:rsidRPr="00236DF0" w:rsidP="00236DF0">
            <w:pPr>
              <w:pStyle w:val="BodyText"/>
            </w:pPr>
            <w:r w:rsidRPr="00236DF0">
              <w:t>safety glasses</w:t>
            </w:r>
          </w:p>
          <w:p w:rsidR="00000000" w:rsidRPr="00236DF0" w:rsidP="00236DF0">
            <w:pPr>
              <w:pStyle w:val="BodyText"/>
            </w:pPr>
            <w:r w:rsidRPr="00236DF0">
              <w:t>two-way radios</w:t>
            </w:r>
          </w:p>
          <w:p w:rsidR="00000000" w:rsidP="00236DF0">
            <w:pPr>
              <w:pStyle w:val="BodyText"/>
              <w:rPr>
                <w:lang w:val="en-NZ"/>
              </w:rPr>
            </w:pPr>
            <w:r w:rsidRPr="00236DF0">
              <w:t xml:space="preserve">high visibility clothing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company procedures</w:t>
            </w:r>
          </w:p>
          <w:p w:rsidR="00000000" w:rsidRPr="00236DF0" w:rsidP="00236DF0">
            <w:pPr>
              <w:pStyle w:val="BodyText"/>
            </w:pPr>
            <w:r w:rsidRPr="00236DF0">
              <w:t>enterprise procedures</w:t>
            </w:r>
          </w:p>
          <w:p w:rsidR="00000000" w:rsidRPr="00236DF0" w:rsidP="00236DF0">
            <w:pPr>
              <w:pStyle w:val="BodyText"/>
            </w:pPr>
            <w:r w:rsidRPr="00236DF0">
              <w:t>organisational procedures</w:t>
            </w:r>
          </w:p>
          <w:p w:rsidR="00000000" w:rsidP="00236DF0">
            <w:pPr>
              <w:pStyle w:val="BodyText"/>
              <w:rPr>
                <w:lang w:val="en-NZ"/>
              </w:rPr>
            </w:pPr>
            <w:r w:rsidRPr="00236DF0">
              <w:t xml:space="preserve">established procedures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Australian and international codes of practice and regulations relevant transport logistics including the ADG Code where applicable</w:t>
            </w:r>
          </w:p>
          <w:p w:rsidR="00000000" w:rsidRPr="00236DF0" w:rsidP="00236DF0">
            <w:pPr>
              <w:pStyle w:val="BodyText"/>
            </w:pPr>
            <w:r w:rsidRPr="00236DF0">
              <w:t>workplace operating procedures an</w:t>
            </w:r>
            <w:r w:rsidRPr="00236DF0">
              <w:t>d policies</w:t>
            </w:r>
          </w:p>
          <w:p w:rsidR="00000000" w:rsidRPr="00236DF0" w:rsidP="00236DF0">
            <w:pPr>
              <w:pStyle w:val="BodyText"/>
            </w:pPr>
            <w:r w:rsidRPr="00236DF0">
              <w:t>supplier and/or client instructions</w:t>
            </w:r>
          </w:p>
          <w:p w:rsidR="00000000" w:rsidRPr="00236DF0" w:rsidP="00236DF0">
            <w:pPr>
              <w:pStyle w:val="BodyText"/>
            </w:pPr>
            <w:r w:rsidRPr="00236DF0">
              <w:t>operations manuals, job specifications and procedures and induction documentation</w:t>
            </w:r>
          </w:p>
          <w:p w:rsidR="00000000" w:rsidRPr="00236DF0" w:rsidP="00236DF0">
            <w:pPr>
              <w:pStyle w:val="BodyText"/>
            </w:pPr>
            <w:r w:rsidRPr="00236DF0">
              <w:t>transport routes and timetables</w:t>
            </w:r>
          </w:p>
          <w:p w:rsidR="00000000" w:rsidRPr="00236DF0" w:rsidP="00236DF0">
            <w:pPr>
              <w:pStyle w:val="BodyText"/>
            </w:pPr>
            <w:r w:rsidRPr="00236DF0">
              <w:t>manufacturers specifications for equipment and goods</w:t>
            </w:r>
          </w:p>
          <w:p w:rsidR="00000000" w:rsidRPr="00236DF0" w:rsidP="00236DF0">
            <w:pPr>
              <w:pStyle w:val="BodyText"/>
            </w:pPr>
            <w:r w:rsidRPr="00236DF0">
              <w:t>suppliers advice</w:t>
            </w:r>
          </w:p>
          <w:p w:rsidR="00000000" w:rsidRPr="00236DF0" w:rsidP="00236DF0">
            <w:pPr>
              <w:pStyle w:val="BodyText"/>
            </w:pPr>
            <w:r w:rsidRPr="00236DF0">
              <w:t>material safety data shee</w:t>
            </w:r>
            <w:r w:rsidRPr="00236DF0">
              <w:t>ts</w:t>
            </w:r>
          </w:p>
          <w:p w:rsidR="00000000" w:rsidRPr="00236DF0" w:rsidP="00236DF0">
            <w:pPr>
              <w:pStyle w:val="BodyText"/>
            </w:pPr>
            <w:r w:rsidRPr="00236DF0">
              <w:t>dangerous goods documentation where applicable including dangerous goods declarations</w:t>
            </w:r>
          </w:p>
          <w:p w:rsidR="00000000" w:rsidRPr="00236DF0" w:rsidP="00236DF0">
            <w:pPr>
              <w:pStyle w:val="BodyText"/>
            </w:pPr>
            <w:r w:rsidRPr="00236DF0">
              <w:t>Safe Working Limits (SWL) and Working Load Limits (WLL) of load shifting equipment and storage facilities</w:t>
            </w:r>
          </w:p>
          <w:p w:rsidR="00000000" w:rsidRPr="00236DF0" w:rsidP="00236DF0">
            <w:pPr>
              <w:pStyle w:val="BodyText"/>
            </w:pPr>
            <w:r w:rsidRPr="00236DF0">
              <w:t>communications technology equipment, oral, aural or signed co</w:t>
            </w:r>
            <w:r w:rsidRPr="00236DF0">
              <w:t>mmunications</w:t>
            </w:r>
          </w:p>
          <w:p w:rsidR="00000000" w:rsidRPr="00236DF0" w:rsidP="00236DF0">
            <w:pPr>
              <w:pStyle w:val="BodyText"/>
            </w:pPr>
            <w:r w:rsidRPr="00236DF0">
              <w:t>quality assurance standards and procedures</w:t>
            </w:r>
          </w:p>
          <w:p w:rsidR="00000000" w:rsidRPr="00236DF0" w:rsidP="00236DF0">
            <w:pPr>
              <w:pStyle w:val="BodyText"/>
            </w:pPr>
            <w:r w:rsidRPr="00236DF0">
              <w:t>emergency procedures</w:t>
            </w:r>
          </w:p>
          <w:p w:rsidR="00000000" w:rsidRPr="00236DF0" w:rsidP="00236DF0">
            <w:pPr>
              <w:pStyle w:val="BodyText"/>
            </w:pPr>
            <w:r w:rsidRPr="00236DF0">
              <w:t>relevant competency standards and training materials</w:t>
            </w:r>
          </w:p>
          <w:p w:rsidR="00000000" w:rsidRPr="00236DF0" w:rsidP="00236DF0">
            <w:pPr>
              <w:pStyle w:val="BodyText"/>
            </w:pPr>
            <w:r w:rsidRPr="00236DF0">
              <w:t>relevant Australian and international standards, criteria and certification requirements</w:t>
            </w:r>
          </w:p>
          <w:p w:rsidR="00000000" w:rsidRPr="00236DF0" w:rsidP="00236DF0">
            <w:pPr>
              <w:pStyle w:val="BodyText"/>
            </w:pPr>
            <w:r w:rsidRPr="00236DF0">
              <w:t>QA plans, data and document control</w:t>
            </w:r>
          </w:p>
          <w:p w:rsidR="00000000" w:rsidP="00236DF0">
            <w:pPr>
              <w:pStyle w:val="BodyText"/>
              <w:rPr>
                <w:lang w:val="en-NZ"/>
              </w:rPr>
            </w:pPr>
            <w:r w:rsidRPr="00236DF0">
              <w:t>c</w:t>
            </w:r>
            <w:r w:rsidRPr="00236DF0">
              <w:t xml:space="preserve">onditions of service, legislation and industrial agreements including workplace agreements and awards </w:t>
            </w:r>
          </w:p>
        </w:tc>
      </w:tr>
      <w:tr w:rsidTr="003703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36DF0">
            <w:pPr>
              <w:pStyle w:val="BodyText"/>
              <w:rPr>
                <w:lang w:val="en-NZ"/>
              </w:rPr>
            </w:pPr>
            <w:r w:rsidRPr="00236DF0">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36DF0" w:rsidP="00236DF0">
            <w:pPr>
              <w:pStyle w:val="BodyText"/>
            </w:pPr>
            <w:r w:rsidRPr="00236DF0">
              <w:t>codes and regulations relevant to transport logistics</w:t>
            </w:r>
          </w:p>
          <w:p w:rsidR="00000000" w:rsidRPr="00236DF0" w:rsidP="00236DF0">
            <w:pPr>
              <w:pStyle w:val="BodyText"/>
            </w:pPr>
            <w:r w:rsidRPr="00236DF0">
              <w:t>Australian and international regulations and codes of practice for the handling and transport of dangerous goods and hazardous substances,</w:t>
            </w:r>
          </w:p>
          <w:p w:rsidR="00000000" w:rsidRPr="00236DF0" w:rsidP="00236DF0">
            <w:pPr>
              <w:pStyle w:val="BodyText"/>
            </w:pPr>
            <w:r w:rsidRPr="00236DF0">
              <w:t>relevant Australian and international standards and certification requirements</w:t>
            </w:r>
          </w:p>
          <w:p w:rsidR="00000000" w:rsidRPr="00236DF0" w:rsidP="00236DF0">
            <w:pPr>
              <w:pStyle w:val="BodyText"/>
            </w:pPr>
            <w:r w:rsidRPr="00236DF0">
              <w:t>licence, patent or copyright arrangeme</w:t>
            </w:r>
            <w:r w:rsidRPr="00236DF0">
              <w:t>nts</w:t>
            </w:r>
          </w:p>
          <w:p w:rsidR="00000000" w:rsidRPr="00236DF0" w:rsidP="00236DF0">
            <w:pPr>
              <w:pStyle w:val="BodyText"/>
            </w:pPr>
            <w:r w:rsidRPr="00236DF0">
              <w:t>relevant state/territory OH&amp;S and environmental protection legislation</w:t>
            </w:r>
          </w:p>
          <w:p w:rsidR="00000000" w:rsidRPr="00236DF0" w:rsidP="00236DF0">
            <w:pPr>
              <w:pStyle w:val="BodyText"/>
            </w:pPr>
            <w:r w:rsidRPr="00236DF0">
              <w:t>workplace relations regulations</w:t>
            </w:r>
          </w:p>
          <w:p w:rsidR="00000000" w:rsidRPr="00236DF0" w:rsidP="00236DF0">
            <w:pPr>
              <w:pStyle w:val="BodyText"/>
            </w:pPr>
            <w:r w:rsidRPr="00236DF0">
              <w:t>workers compensation regulations</w:t>
            </w:r>
          </w:p>
          <w:p w:rsidR="00000000" w:rsidRPr="00236DF0" w:rsidP="00236DF0">
            <w:pPr>
              <w:pStyle w:val="BodyText"/>
            </w:pPr>
            <w:r w:rsidRPr="00236DF0">
              <w:t xml:space="preserve">equal opportunity, equal employment opportunity and affirmative action legislation </w:t>
            </w:r>
          </w:p>
        </w:tc>
      </w:tr>
    </w:tbl>
    <w:p w:rsidR="00000000" w:rsidRPr="00236DF0" w:rsidP="00236DF0">
      <w:pPr>
        <w:pStyle w:val="BodyText"/>
      </w:pPr>
    </w:p>
    <w:p w:rsidR="00000000" w:rsidRPr="00236DF0" w:rsidP="00236DF0">
      <w:pPr>
        <w:pStyle w:val="AllowPageBreak"/>
      </w:pPr>
    </w:p>
    <w:p w:rsidR="00000000" w:rsidRPr="00236DF0" w:rsidP="00236DF0">
      <w:pPr>
        <w:pStyle w:val="Heading1"/>
      </w:pPr>
      <w:bookmarkStart w:id="12" w:name="O_315455"/>
      <w:bookmarkEnd w:id="12"/>
      <w:r w:rsidRPr="00236DF0">
        <w:t>Unit Sector(s</w:t>
      </w:r>
      <w:r w:rsidRPr="00236DF0">
        <w:t>)</w:t>
      </w:r>
    </w:p>
    <w:p w:rsidR="00000000" w:rsidRPr="00236DF0" w:rsidP="00236DF0">
      <w:pPr>
        <w:pStyle w:val="BodyText"/>
      </w:pPr>
      <w:r w:rsidRPr="00236DF0">
        <w:t>Not applicable.</w:t>
      </w:r>
    </w:p>
    <w:p w:rsidR="00000000" w:rsidRPr="00236DF0" w:rsidP="00236DF0">
      <w:pPr>
        <w:pStyle w:val="AllowPageBreak"/>
      </w:pPr>
    </w:p>
    <w:p w:rsidR="00000000" w:rsidRPr="00236DF0" w:rsidP="00236DF0">
      <w:pPr>
        <w:pStyle w:val="Heading1"/>
      </w:pPr>
      <w:bookmarkStart w:id="13" w:name="O_315454"/>
      <w:bookmarkEnd w:id="13"/>
      <w:r w:rsidRPr="00236DF0">
        <w:t xml:space="preserve">Competency Field </w:t>
      </w:r>
    </w:p>
    <w:p w:rsidR="00000000" w:rsidRPr="00236DF0" w:rsidP="00236DF0">
      <w:pPr>
        <w:pStyle w:val="BodyText"/>
      </w:pPr>
      <w:r w:rsidRPr="00236DF0">
        <w:t>L - Resource Management</w:t>
      </w:r>
    </w:p>
    <w:p w:rsidR="00000000" w:rsidRPr="00236DF0" w:rsidP="00236DF0"/>
    <w:sectPr w:rsidSect="00236D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3D7" w:rsidP="00370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3D7" w:rsidP="00236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03D7" w:rsidP="00236D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03D7" w:rsidP="00236D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3D7" w:rsidP="003703D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3D7" w:rsidP="00236DF0">
    <w:pPr>
      <w:pStyle w:val="Header"/>
      <w:framePr w:wrap="around"/>
    </w:pPr>
    <w:r>
      <w:fldChar w:fldCharType="begin"/>
    </w:r>
    <w:r>
      <w:instrText xml:space="preserve"> TITLE   \* MERGEFORMAT </w:instrText>
    </w:r>
    <w:r>
      <w:fldChar w:fldCharType="separate"/>
    </w:r>
    <w:r>
      <w:t>TLIL1907C Implement and monitor transport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03D7" w:rsidP="00236D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D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DF0"/>
    <w:pPr>
      <w:spacing w:before="360" w:after="60"/>
      <w:outlineLvl w:val="0"/>
    </w:pPr>
    <w:rPr>
      <w:sz w:val="32"/>
    </w:rPr>
  </w:style>
  <w:style w:type="paragraph" w:styleId="Heading2">
    <w:name w:val="heading 2"/>
    <w:basedOn w:val="HeadingBase"/>
    <w:next w:val="BodyText"/>
    <w:link w:val="Heading2Char"/>
    <w:qFormat/>
    <w:rsid w:val="00236DF0"/>
    <w:pPr>
      <w:keepLines/>
      <w:spacing w:before="240" w:after="120"/>
      <w:outlineLvl w:val="1"/>
    </w:pPr>
    <w:rPr>
      <w:sz w:val="28"/>
      <w:szCs w:val="40"/>
    </w:rPr>
  </w:style>
  <w:style w:type="paragraph" w:styleId="Heading3">
    <w:name w:val="heading 3"/>
    <w:basedOn w:val="HeadingBase"/>
    <w:next w:val="BodyText"/>
    <w:link w:val="Heading3Char"/>
    <w:qFormat/>
    <w:rsid w:val="00236DF0"/>
    <w:pPr>
      <w:spacing w:before="180" w:after="120"/>
      <w:outlineLvl w:val="2"/>
    </w:pPr>
    <w:rPr>
      <w:spacing w:val="-10"/>
      <w:kern w:val="32"/>
    </w:rPr>
  </w:style>
  <w:style w:type="paragraph" w:styleId="Heading4">
    <w:name w:val="heading 4"/>
    <w:basedOn w:val="HeadingBase"/>
    <w:next w:val="BodyText"/>
    <w:link w:val="Heading4Char"/>
    <w:qFormat/>
    <w:rsid w:val="00236DF0"/>
    <w:pPr>
      <w:spacing w:before="160" w:after="120"/>
      <w:outlineLvl w:val="3"/>
    </w:pPr>
    <w:rPr>
      <w:sz w:val="22"/>
    </w:rPr>
  </w:style>
  <w:style w:type="paragraph" w:styleId="Heading5">
    <w:name w:val="heading 5"/>
    <w:basedOn w:val="HeadingBase"/>
    <w:next w:val="Normal"/>
    <w:link w:val="Heading5Char"/>
    <w:qFormat/>
    <w:rsid w:val="00236DF0"/>
    <w:pPr>
      <w:spacing w:before="80"/>
      <w:outlineLvl w:val="4"/>
    </w:pPr>
    <w:rPr>
      <w:color w:val="918585"/>
      <w:sz w:val="20"/>
    </w:rPr>
  </w:style>
  <w:style w:type="paragraph" w:styleId="Heading6">
    <w:name w:val="heading 6"/>
    <w:basedOn w:val="HeadingBase"/>
    <w:next w:val="Normal"/>
    <w:link w:val="Heading6Char"/>
    <w:qFormat/>
    <w:rsid w:val="00236DF0"/>
    <w:pPr>
      <w:spacing w:before="60"/>
      <w:outlineLvl w:val="5"/>
    </w:pPr>
    <w:rPr>
      <w:color w:val="918585"/>
      <w:sz w:val="20"/>
    </w:rPr>
  </w:style>
  <w:style w:type="paragraph" w:styleId="Heading7">
    <w:name w:val="heading 7"/>
    <w:basedOn w:val="Normal"/>
    <w:next w:val="Normal"/>
    <w:link w:val="Heading7Char"/>
    <w:qFormat/>
    <w:rsid w:val="00236DF0"/>
    <w:pPr>
      <w:ind w:left="720"/>
      <w:outlineLvl w:val="6"/>
    </w:pPr>
    <w:rPr>
      <w:i/>
    </w:rPr>
  </w:style>
  <w:style w:type="paragraph" w:styleId="Heading8">
    <w:name w:val="heading 8"/>
    <w:basedOn w:val="Normal"/>
    <w:next w:val="Normal"/>
    <w:link w:val="Heading8Char"/>
    <w:qFormat/>
    <w:rsid w:val="00236DF0"/>
    <w:pPr>
      <w:ind w:left="720"/>
      <w:outlineLvl w:val="7"/>
    </w:pPr>
    <w:rPr>
      <w:i/>
    </w:rPr>
  </w:style>
  <w:style w:type="paragraph" w:styleId="Heading9">
    <w:name w:val="heading 9"/>
    <w:basedOn w:val="Normal"/>
    <w:next w:val="Normal"/>
    <w:link w:val="Heading9Char"/>
    <w:qFormat/>
    <w:rsid w:val="00236DF0"/>
    <w:pPr>
      <w:ind w:left="720"/>
      <w:outlineLvl w:val="8"/>
    </w:pPr>
    <w:rPr>
      <w:i/>
    </w:rPr>
  </w:style>
  <w:style w:type="character" w:default="1" w:styleId="DefaultParagraphFont">
    <w:name w:val="Default Paragraph Font"/>
    <w:uiPriority w:val="1"/>
    <w:unhideWhenUsed/>
    <w:rsid w:val="00236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DF0"/>
  </w:style>
  <w:style w:type="character" w:customStyle="1" w:styleId="Heading1Char">
    <w:name w:val="Heading 1 Char"/>
    <w:link w:val="Heading1"/>
    <w:rsid w:val="00236DF0"/>
    <w:rPr>
      <w:rFonts w:ascii="Times New Roman" w:eastAsia="Times New Roman" w:hAnsi="Times New Roman" w:cs="Times New Roman"/>
      <w:b/>
      <w:sz w:val="32"/>
      <w:szCs w:val="20"/>
      <w:lang w:eastAsia="en-US"/>
    </w:rPr>
  </w:style>
  <w:style w:type="paragraph" w:styleId="BodyText">
    <w:name w:val="Body Text"/>
    <w:basedOn w:val="Normal"/>
    <w:link w:val="BodyTextChar"/>
    <w:rsid w:val="00236DF0"/>
    <w:pPr>
      <w:spacing w:before="120" w:after="120"/>
      <w:contextualSpacing/>
    </w:pPr>
    <w:rPr>
      <w:rFonts w:ascii="Times New Roman" w:hAnsi="Times New Roman"/>
      <w:sz w:val="24"/>
      <w:szCs w:val="22"/>
    </w:rPr>
  </w:style>
  <w:style w:type="character" w:customStyle="1" w:styleId="BodyTextChar">
    <w:name w:val="Body Text Char"/>
    <w:link w:val="BodyText"/>
    <w:rsid w:val="00236DF0"/>
    <w:rPr>
      <w:rFonts w:ascii="Times New Roman" w:eastAsia="Times New Roman" w:hAnsi="Times New Roman" w:cs="Times New Roman"/>
      <w:sz w:val="24"/>
      <w:lang w:val="en-US" w:eastAsia="en-US"/>
    </w:rPr>
  </w:style>
  <w:style w:type="paragraph" w:styleId="Footer">
    <w:name w:val="footer"/>
    <w:basedOn w:val="Normal"/>
    <w:link w:val="FooterChar"/>
    <w:rsid w:val="00236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6DF0"/>
    <w:rPr>
      <w:rFonts w:ascii="Times New Roman" w:eastAsia="Times New Roman" w:hAnsi="Times New Roman" w:cs="Times New Roman"/>
      <w:sz w:val="16"/>
      <w:lang w:val="en-US" w:eastAsia="en-US"/>
    </w:rPr>
  </w:style>
  <w:style w:type="character" w:customStyle="1" w:styleId="SpecialBold">
    <w:name w:val="Special Bold"/>
    <w:rsid w:val="00236DF0"/>
    <w:rPr>
      <w:b/>
      <w:spacing w:val="0"/>
    </w:rPr>
  </w:style>
  <w:style w:type="paragraph" w:styleId="Header">
    <w:name w:val="header"/>
    <w:basedOn w:val="Normal"/>
    <w:link w:val="HeaderChar"/>
    <w:rsid w:val="00236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6D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6DF0"/>
    <w:pPr>
      <w:spacing w:before="240" w:after="120"/>
      <w:outlineLvl w:val="0"/>
    </w:pPr>
    <w:rPr>
      <w:rFonts w:ascii="Times New Roman" w:hAnsi="Times New Roman"/>
      <w:b/>
      <w:sz w:val="28"/>
    </w:rPr>
  </w:style>
  <w:style w:type="paragraph" w:customStyle="1" w:styleId="AllowPageBreak">
    <w:name w:val="AllowPageBreak"/>
    <w:rsid w:val="00236D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36DF0"/>
    <w:rPr>
      <w:rFonts w:ascii="Times New Roman" w:eastAsia="Times New Roman" w:hAnsi="Times New Roman" w:cs="Times New Roman"/>
      <w:b/>
      <w:sz w:val="28"/>
      <w:szCs w:val="40"/>
      <w:lang w:eastAsia="en-US"/>
    </w:rPr>
  </w:style>
  <w:style w:type="character" w:customStyle="1" w:styleId="Heading3Char">
    <w:name w:val="Heading 3 Char"/>
    <w:link w:val="Heading3"/>
    <w:rsid w:val="00236D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6DF0"/>
    <w:rPr>
      <w:rFonts w:ascii="Times New Roman" w:eastAsia="Times New Roman" w:hAnsi="Times New Roman" w:cs="Times New Roman"/>
      <w:b/>
      <w:szCs w:val="20"/>
      <w:lang w:eastAsia="en-US"/>
    </w:rPr>
  </w:style>
  <w:style w:type="character" w:customStyle="1" w:styleId="Heading5Char">
    <w:name w:val="Heading 5 Char"/>
    <w:link w:val="Heading5"/>
    <w:rsid w:val="00236D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6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D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D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DF0"/>
    <w:rPr>
      <w:rFonts w:ascii="Courier New" w:eastAsia="Times New Roman" w:hAnsi="Courier New" w:cs="Times New Roman"/>
      <w:i/>
      <w:szCs w:val="20"/>
      <w:lang w:val="en-US" w:eastAsia="en-US"/>
    </w:rPr>
  </w:style>
  <w:style w:type="paragraph" w:customStyle="1" w:styleId="HeadingBase">
    <w:name w:val="Heading Base"/>
    <w:rsid w:val="00236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DF0"/>
    <w:pPr>
      <w:tabs>
        <w:tab w:val="right" w:leader="dot" w:pos="9072"/>
      </w:tabs>
      <w:ind w:left="567"/>
    </w:pPr>
    <w:rPr>
      <w:szCs w:val="22"/>
    </w:rPr>
  </w:style>
  <w:style w:type="paragraph" w:customStyle="1" w:styleId="TOCBase">
    <w:name w:val="TOC Base"/>
    <w:rsid w:val="00236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DF0"/>
    <w:pPr>
      <w:tabs>
        <w:tab w:val="right" w:leader="dot" w:pos="9072"/>
      </w:tabs>
      <w:spacing w:before="40" w:after="40"/>
      <w:ind w:left="284"/>
    </w:pPr>
    <w:rPr>
      <w:rFonts w:ascii="Times New Roman" w:hAnsi="Times New Roman"/>
    </w:rPr>
  </w:style>
  <w:style w:type="paragraph" w:styleId="TOC1">
    <w:name w:val="toc 1"/>
    <w:basedOn w:val="TOCBase"/>
    <w:next w:val="Normal"/>
    <w:rsid w:val="00236D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DF0"/>
    <w:pPr>
      <w:spacing w:before="5040"/>
      <w:jc w:val="center"/>
    </w:pPr>
    <w:rPr>
      <w:sz w:val="48"/>
      <w:szCs w:val="72"/>
      <w:lang w:val="en-US"/>
    </w:rPr>
  </w:style>
  <w:style w:type="character" w:customStyle="1" w:styleId="TitleChar">
    <w:name w:val="Title Char"/>
    <w:link w:val="Title"/>
    <w:rsid w:val="00236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DF0"/>
    <w:pPr>
      <w:tabs>
        <w:tab w:val="left" w:pos="3600"/>
        <w:tab w:val="left" w:pos="3958"/>
      </w:tabs>
    </w:pPr>
  </w:style>
  <w:style w:type="paragraph" w:styleId="List">
    <w:name w:val="List"/>
    <w:basedOn w:val="BodyText"/>
    <w:next w:val="BodyText"/>
    <w:rsid w:val="00236DF0"/>
    <w:pPr>
      <w:tabs>
        <w:tab w:val="left" w:pos="340"/>
      </w:tabs>
      <w:spacing w:before="60" w:after="60"/>
      <w:ind w:left="340" w:hanging="340"/>
    </w:pPr>
  </w:style>
  <w:style w:type="paragraph" w:styleId="ListBullet">
    <w:name w:val="List Bullet"/>
    <w:basedOn w:val="List"/>
    <w:rsid w:val="00236DF0"/>
    <w:pPr>
      <w:numPr>
        <w:numId w:val="11"/>
      </w:numPr>
      <w:tabs>
        <w:tab w:val="clear" w:pos="340"/>
      </w:tabs>
      <w:spacing w:before="40" w:after="40"/>
    </w:pPr>
  </w:style>
  <w:style w:type="paragraph" w:customStyle="1" w:styleId="Note">
    <w:name w:val="Note"/>
    <w:basedOn w:val="BodyText"/>
    <w:rsid w:val="00236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DF0"/>
    <w:pPr>
      <w:framePr w:wrap="auto" w:hAnchor="text" w:y="6049"/>
    </w:pPr>
    <w:rPr>
      <w:color w:val="000000"/>
      <w:sz w:val="40"/>
    </w:rPr>
  </w:style>
  <w:style w:type="paragraph" w:customStyle="1" w:styleId="TOCTitle">
    <w:name w:val="TOCTitle"/>
    <w:basedOn w:val="Heading1"/>
    <w:rsid w:val="00236DF0"/>
    <w:pPr>
      <w:spacing w:after="240"/>
      <w:jc w:val="center"/>
      <w:outlineLvl w:val="9"/>
    </w:pPr>
    <w:rPr>
      <w:caps/>
    </w:rPr>
  </w:style>
  <w:style w:type="paragraph" w:customStyle="1" w:styleId="Version">
    <w:name w:val="Version"/>
    <w:rsid w:val="00236D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DF0"/>
    <w:pPr>
      <w:numPr>
        <w:numId w:val="12"/>
      </w:numPr>
      <w:tabs>
        <w:tab w:val="clear" w:pos="680"/>
      </w:tabs>
    </w:pPr>
  </w:style>
  <w:style w:type="paragraph" w:styleId="Index1">
    <w:name w:val="index 1"/>
    <w:basedOn w:val="Normal"/>
    <w:next w:val="Normal"/>
    <w:semiHidden/>
    <w:rsid w:val="00236DF0"/>
    <w:pPr>
      <w:keepNext w:val="0"/>
      <w:tabs>
        <w:tab w:val="right" w:pos="4176"/>
      </w:tabs>
      <w:ind w:left="198" w:hanging="198"/>
    </w:pPr>
    <w:rPr>
      <w:rFonts w:ascii="Garamond" w:hAnsi="Garamond"/>
    </w:rPr>
  </w:style>
  <w:style w:type="paragraph" w:styleId="IndexHeading">
    <w:name w:val="index heading"/>
    <w:basedOn w:val="Normal"/>
    <w:next w:val="Index1"/>
    <w:semiHidden/>
    <w:rsid w:val="00236DF0"/>
    <w:pPr>
      <w:spacing w:before="120" w:after="120"/>
    </w:pPr>
    <w:rPr>
      <w:rFonts w:ascii="Arial" w:hAnsi="Arial"/>
      <w:b/>
      <w:color w:val="918585"/>
      <w:sz w:val="24"/>
    </w:rPr>
  </w:style>
  <w:style w:type="paragraph" w:customStyle="1" w:styleId="Chapter">
    <w:name w:val="Chapter"/>
    <w:basedOn w:val="Normal"/>
    <w:rsid w:val="00236DF0"/>
    <w:pPr>
      <w:spacing w:before="240"/>
    </w:pPr>
    <w:rPr>
      <w:rFonts w:ascii="Times New Roman" w:hAnsi="Times New Roman"/>
      <w:smallCaps/>
      <w:spacing w:val="80"/>
      <w:sz w:val="28"/>
    </w:rPr>
  </w:style>
  <w:style w:type="paragraph" w:customStyle="1" w:styleId="InChapter">
    <w:name w:val="InChapter"/>
    <w:basedOn w:val="Heading3"/>
    <w:rsid w:val="00236DF0"/>
    <w:pPr>
      <w:spacing w:after="240"/>
      <w:outlineLvl w:val="9"/>
    </w:pPr>
    <w:rPr>
      <w:noProof/>
    </w:rPr>
  </w:style>
  <w:style w:type="paragraph" w:styleId="Index2">
    <w:name w:val="index 2"/>
    <w:basedOn w:val="Normal"/>
    <w:next w:val="Normal"/>
    <w:semiHidden/>
    <w:rsid w:val="00236DF0"/>
    <w:pPr>
      <w:tabs>
        <w:tab w:val="right" w:pos="4176"/>
      </w:tabs>
      <w:ind w:left="568" w:hanging="284"/>
    </w:pPr>
    <w:rPr>
      <w:rFonts w:ascii="Garamond" w:hAnsi="Garamond"/>
    </w:rPr>
  </w:style>
  <w:style w:type="paragraph" w:customStyle="1" w:styleId="Byline">
    <w:name w:val="Byline"/>
    <w:rsid w:val="00236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DF0"/>
    <w:pPr>
      <w:tabs>
        <w:tab w:val="clear" w:pos="3600"/>
        <w:tab w:val="clear" w:pos="3958"/>
      </w:tabs>
      <w:jc w:val="right"/>
    </w:pPr>
  </w:style>
  <w:style w:type="character" w:styleId="Emphasis">
    <w:name w:val="Emphasis"/>
    <w:qFormat/>
    <w:rsid w:val="00236DF0"/>
    <w:rPr>
      <w:i/>
    </w:rPr>
  </w:style>
  <w:style w:type="paragraph" w:styleId="Caption">
    <w:name w:val="caption"/>
    <w:basedOn w:val="BodyText"/>
    <w:next w:val="Normal"/>
    <w:qFormat/>
    <w:rsid w:val="00236DF0"/>
    <w:pPr>
      <w:framePr w:w="2268" w:hSpace="181" w:vSpace="181" w:wrap="around" w:vAnchor="text" w:hAnchor="page" w:x="1135" w:y="285" w:anchorLock="1"/>
    </w:pPr>
    <w:rPr>
      <w:i/>
    </w:rPr>
  </w:style>
  <w:style w:type="paragraph" w:customStyle="1" w:styleId="MiniTOCTitle">
    <w:name w:val="MiniTOCTitle"/>
    <w:basedOn w:val="Heading4"/>
    <w:rsid w:val="00236DF0"/>
    <w:pPr>
      <w:spacing w:before="240"/>
      <w:outlineLvl w:val="9"/>
    </w:pPr>
    <w:rPr>
      <w:noProof/>
      <w:sz w:val="24"/>
    </w:rPr>
  </w:style>
  <w:style w:type="paragraph" w:customStyle="1" w:styleId="MiniTOCItem">
    <w:name w:val="MiniTOCItem"/>
    <w:basedOn w:val="ListBullet"/>
    <w:rsid w:val="00236DF0"/>
    <w:pPr>
      <w:numPr>
        <w:numId w:val="0"/>
      </w:numPr>
      <w:tabs>
        <w:tab w:val="right" w:leader="dot" w:pos="6521"/>
      </w:tabs>
      <w:spacing w:before="0" w:after="0"/>
    </w:pPr>
  </w:style>
  <w:style w:type="paragraph" w:customStyle="1" w:styleId="TOFTitle">
    <w:name w:val="TOFTitle"/>
    <w:basedOn w:val="TOCTitle"/>
    <w:rsid w:val="00236DF0"/>
  </w:style>
  <w:style w:type="paragraph" w:styleId="TableofFigures">
    <w:name w:val="table of figures"/>
    <w:basedOn w:val="Normal"/>
    <w:next w:val="Normal"/>
    <w:semiHidden/>
    <w:rsid w:val="00236DF0"/>
    <w:pPr>
      <w:tabs>
        <w:tab w:val="right" w:leader="dot" w:pos="9072"/>
      </w:tabs>
      <w:ind w:left="970" w:hanging="403"/>
    </w:pPr>
    <w:rPr>
      <w:rFonts w:ascii="Times New Roman" w:hAnsi="Times New Roman"/>
      <w:b/>
    </w:rPr>
  </w:style>
  <w:style w:type="paragraph" w:styleId="ListNumber">
    <w:name w:val="List Number"/>
    <w:basedOn w:val="List"/>
    <w:rsid w:val="00236DF0"/>
    <w:pPr>
      <w:numPr>
        <w:numId w:val="9"/>
      </w:numPr>
    </w:pPr>
  </w:style>
  <w:style w:type="character" w:customStyle="1" w:styleId="WingdingSymbols">
    <w:name w:val="Wingding Symbols"/>
    <w:rsid w:val="00236DF0"/>
    <w:rPr>
      <w:rFonts w:ascii="Wingdings" w:hAnsi="Wingdings"/>
    </w:rPr>
  </w:style>
  <w:style w:type="paragraph" w:customStyle="1" w:styleId="TableHeading">
    <w:name w:val="Table Heading"/>
    <w:basedOn w:val="HeadingBase"/>
    <w:rsid w:val="00236DF0"/>
    <w:pPr>
      <w:keepLines/>
      <w:pBdr>
        <w:bottom w:val="single" w:sz="6" w:space="1" w:color="918585"/>
      </w:pBdr>
      <w:spacing w:before="240"/>
    </w:pPr>
  </w:style>
  <w:style w:type="character" w:customStyle="1" w:styleId="HotSpot">
    <w:name w:val="HotSpot"/>
    <w:rsid w:val="00236DF0"/>
    <w:rPr>
      <w:color w:val="0033CC"/>
      <w:u w:val="none"/>
    </w:rPr>
  </w:style>
  <w:style w:type="paragraph" w:customStyle="1" w:styleId="BodyTextRight">
    <w:name w:val="Body Text Right"/>
    <w:basedOn w:val="BodyText"/>
    <w:rsid w:val="00236DF0"/>
    <w:pPr>
      <w:spacing w:before="0" w:after="0"/>
      <w:jc w:val="right"/>
    </w:pPr>
  </w:style>
  <w:style w:type="paragraph" w:styleId="Index3">
    <w:name w:val="index 3"/>
    <w:basedOn w:val="ListNumber2"/>
    <w:next w:val="Normal"/>
    <w:semiHidden/>
    <w:rsid w:val="00236DF0"/>
    <w:pPr>
      <w:numPr>
        <w:numId w:val="0"/>
      </w:numPr>
      <w:tabs>
        <w:tab w:val="right" w:leader="dot" w:pos="4176"/>
      </w:tabs>
    </w:pPr>
  </w:style>
  <w:style w:type="paragraph" w:styleId="ListNumber2">
    <w:name w:val="List Number 2"/>
    <w:basedOn w:val="List2"/>
    <w:rsid w:val="00236DF0"/>
    <w:pPr>
      <w:numPr>
        <w:numId w:val="8"/>
      </w:numPr>
      <w:tabs>
        <w:tab w:val="clear" w:pos="1060"/>
      </w:tabs>
    </w:pPr>
  </w:style>
  <w:style w:type="paragraph" w:customStyle="1" w:styleId="MarginNote">
    <w:name w:val="Margin Note"/>
    <w:basedOn w:val="BodyText"/>
    <w:rsid w:val="00236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6D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DF0"/>
    <w:rPr>
      <w:sz w:val="32"/>
    </w:rPr>
  </w:style>
  <w:style w:type="paragraph" w:customStyle="1" w:styleId="HeadingProcedure">
    <w:name w:val="Heading Procedure"/>
    <w:basedOn w:val="HeadingBase"/>
    <w:next w:val="Normal"/>
    <w:rsid w:val="00236DF0"/>
    <w:pPr>
      <w:tabs>
        <w:tab w:val="left" w:pos="0"/>
      </w:tabs>
      <w:spacing w:before="120" w:after="60"/>
    </w:pPr>
    <w:rPr>
      <w:i/>
      <w:color w:val="918585"/>
      <w:sz w:val="22"/>
    </w:rPr>
  </w:style>
  <w:style w:type="paragraph" w:customStyle="1" w:styleId="TableBodyText">
    <w:name w:val="Table Body Text"/>
    <w:basedOn w:val="BodyText"/>
    <w:rsid w:val="00236DF0"/>
    <w:pPr>
      <w:spacing w:before="60" w:after="60"/>
    </w:pPr>
  </w:style>
  <w:style w:type="paragraph" w:styleId="ListContinue">
    <w:name w:val="List Continue"/>
    <w:basedOn w:val="List"/>
    <w:rsid w:val="00236DF0"/>
    <w:pPr>
      <w:ind w:firstLine="0"/>
    </w:pPr>
  </w:style>
  <w:style w:type="paragraph" w:customStyle="1" w:styleId="ListNote">
    <w:name w:val="List Note"/>
    <w:basedOn w:val="List"/>
    <w:rsid w:val="00236DF0"/>
    <w:pPr>
      <w:pBdr>
        <w:top w:val="single" w:sz="6" w:space="2" w:color="918585"/>
        <w:bottom w:val="single" w:sz="6" w:space="2" w:color="918585"/>
      </w:pBdr>
      <w:tabs>
        <w:tab w:val="left" w:pos="1021"/>
      </w:tabs>
      <w:ind w:firstLine="0"/>
    </w:pPr>
  </w:style>
  <w:style w:type="paragraph" w:customStyle="1" w:styleId="Warning">
    <w:name w:val="Warning"/>
    <w:basedOn w:val="BodyText"/>
    <w:rsid w:val="00236DF0"/>
    <w:pPr>
      <w:shd w:val="clear" w:color="auto" w:fill="D9D9D9"/>
      <w:tabs>
        <w:tab w:val="left" w:pos="992"/>
      </w:tabs>
      <w:ind w:left="119" w:right="119"/>
    </w:pPr>
    <w:rPr>
      <w:sz w:val="20"/>
    </w:rPr>
  </w:style>
  <w:style w:type="paragraph" w:customStyle="1" w:styleId="MarginIcons">
    <w:name w:val="Margin Icons"/>
    <w:basedOn w:val="BodyText"/>
    <w:rsid w:val="00236D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6DF0"/>
    <w:rPr>
      <w:rFonts w:ascii="Courier New" w:hAnsi="Courier New"/>
    </w:rPr>
  </w:style>
  <w:style w:type="paragraph" w:customStyle="1" w:styleId="NoteBullet">
    <w:name w:val="Note Bullet"/>
    <w:basedOn w:val="Note"/>
    <w:rsid w:val="00236DF0"/>
    <w:pPr>
      <w:tabs>
        <w:tab w:val="clear" w:pos="680"/>
      </w:tabs>
      <w:spacing w:before="60" w:after="60"/>
    </w:pPr>
  </w:style>
  <w:style w:type="paragraph" w:customStyle="1" w:styleId="SubHeading2">
    <w:name w:val="SubHeading2"/>
    <w:basedOn w:val="HeadingBase"/>
    <w:rsid w:val="00236DF0"/>
    <w:pPr>
      <w:spacing w:before="240" w:after="60"/>
    </w:pPr>
    <w:rPr>
      <w:sz w:val="20"/>
    </w:rPr>
  </w:style>
  <w:style w:type="paragraph" w:customStyle="1" w:styleId="SubHeading1">
    <w:name w:val="SubHeading1"/>
    <w:basedOn w:val="HeadingBase"/>
    <w:rsid w:val="00236DF0"/>
    <w:pPr>
      <w:spacing w:before="240" w:after="60"/>
    </w:pPr>
    <w:rPr>
      <w:color w:val="918585"/>
      <w:sz w:val="22"/>
    </w:rPr>
  </w:style>
  <w:style w:type="paragraph" w:customStyle="1" w:styleId="SideHeading">
    <w:name w:val="Side Heading"/>
    <w:basedOn w:val="HeadingBase"/>
    <w:rsid w:val="00236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DF0"/>
    <w:pPr>
      <w:numPr>
        <w:numId w:val="10"/>
      </w:numPr>
    </w:pPr>
  </w:style>
  <w:style w:type="paragraph" w:styleId="PlainText">
    <w:name w:val="Plain Text"/>
    <w:basedOn w:val="Normal"/>
    <w:link w:val="PlainTextChar"/>
    <w:rsid w:val="00236DF0"/>
    <w:rPr>
      <w:sz w:val="20"/>
    </w:rPr>
  </w:style>
  <w:style w:type="character" w:customStyle="1" w:styleId="PlainTextChar">
    <w:name w:val="Plain Text Char"/>
    <w:basedOn w:val="DefaultParagraphFont"/>
    <w:link w:val="PlainText"/>
    <w:rsid w:val="00236DF0"/>
    <w:rPr>
      <w:rFonts w:ascii="Courier New" w:eastAsia="Times New Roman" w:hAnsi="Courier New" w:cs="Times New Roman"/>
      <w:sz w:val="20"/>
      <w:szCs w:val="20"/>
      <w:lang w:val="en-US" w:eastAsia="en-US"/>
    </w:rPr>
  </w:style>
  <w:style w:type="character" w:customStyle="1" w:styleId="MenuOption">
    <w:name w:val="Menu Option"/>
    <w:rsid w:val="00236DF0"/>
    <w:rPr>
      <w:b/>
      <w:smallCaps/>
    </w:rPr>
  </w:style>
  <w:style w:type="paragraph" w:customStyle="1" w:styleId="TableListNumber">
    <w:name w:val="Table List Number"/>
    <w:basedOn w:val="ListNumber"/>
    <w:rsid w:val="00236DF0"/>
    <w:pPr>
      <w:numPr>
        <w:numId w:val="0"/>
      </w:numPr>
    </w:pPr>
  </w:style>
  <w:style w:type="paragraph" w:styleId="TOC4">
    <w:name w:val="toc 4"/>
    <w:basedOn w:val="TOCBase"/>
    <w:next w:val="Normal"/>
    <w:semiHidden/>
    <w:rsid w:val="00236DF0"/>
    <w:pPr>
      <w:tabs>
        <w:tab w:val="right" w:leader="dot" w:pos="9071"/>
      </w:tabs>
      <w:ind w:left="1701"/>
    </w:pPr>
  </w:style>
  <w:style w:type="paragraph" w:customStyle="1" w:styleId="ListAlpha">
    <w:name w:val="List Alpha"/>
    <w:basedOn w:val="List"/>
    <w:rsid w:val="00236DF0"/>
    <w:pPr>
      <w:numPr>
        <w:numId w:val="7"/>
      </w:numPr>
    </w:pPr>
  </w:style>
  <w:style w:type="paragraph" w:customStyle="1" w:styleId="ListAlpha2">
    <w:name w:val="List Alpha 2"/>
    <w:basedOn w:val="List2"/>
    <w:rsid w:val="00236DF0"/>
    <w:pPr>
      <w:numPr>
        <w:numId w:val="6"/>
      </w:numPr>
    </w:pPr>
  </w:style>
  <w:style w:type="paragraph" w:styleId="List2">
    <w:name w:val="List 2"/>
    <w:basedOn w:val="BodyText"/>
    <w:rsid w:val="00236DF0"/>
    <w:pPr>
      <w:tabs>
        <w:tab w:val="left" w:pos="680"/>
      </w:tabs>
      <w:spacing w:before="60" w:after="60"/>
      <w:ind w:left="680" w:hanging="340"/>
    </w:pPr>
  </w:style>
  <w:style w:type="paragraph" w:styleId="List3">
    <w:name w:val="List 3"/>
    <w:basedOn w:val="BodyText"/>
    <w:rsid w:val="00236DF0"/>
    <w:pPr>
      <w:tabs>
        <w:tab w:val="left" w:pos="1021"/>
      </w:tabs>
      <w:spacing w:before="60" w:after="60"/>
      <w:ind w:left="1020" w:hanging="340"/>
    </w:pPr>
  </w:style>
  <w:style w:type="paragraph" w:styleId="List4">
    <w:name w:val="List 4"/>
    <w:basedOn w:val="BodyText"/>
    <w:rsid w:val="00236DF0"/>
    <w:pPr>
      <w:tabs>
        <w:tab w:val="left" w:pos="1361"/>
      </w:tabs>
      <w:spacing w:before="60" w:after="60"/>
      <w:ind w:left="1361" w:hanging="340"/>
    </w:pPr>
  </w:style>
  <w:style w:type="paragraph" w:styleId="List5">
    <w:name w:val="List 5"/>
    <w:basedOn w:val="BodyText"/>
    <w:rsid w:val="00236DF0"/>
    <w:pPr>
      <w:tabs>
        <w:tab w:val="left" w:pos="1701"/>
      </w:tabs>
      <w:spacing w:before="60" w:after="60"/>
      <w:ind w:left="1701" w:hanging="340"/>
    </w:pPr>
  </w:style>
  <w:style w:type="paragraph" w:styleId="ListBullet3">
    <w:name w:val="List Bullet 3"/>
    <w:basedOn w:val="List3"/>
    <w:rsid w:val="00236DF0"/>
    <w:pPr>
      <w:numPr>
        <w:numId w:val="13"/>
      </w:numPr>
      <w:tabs>
        <w:tab w:val="clear" w:pos="1021"/>
      </w:tabs>
      <w:ind w:left="1037" w:hanging="357"/>
    </w:pPr>
  </w:style>
  <w:style w:type="paragraph" w:styleId="ListBullet4">
    <w:name w:val="List Bullet 4"/>
    <w:basedOn w:val="List4"/>
    <w:rsid w:val="00236DF0"/>
    <w:pPr>
      <w:numPr>
        <w:numId w:val="1"/>
      </w:numPr>
    </w:pPr>
  </w:style>
  <w:style w:type="paragraph" w:styleId="ListBullet5">
    <w:name w:val="List Bullet 5"/>
    <w:basedOn w:val="List5"/>
    <w:rsid w:val="00236DF0"/>
    <w:pPr>
      <w:numPr>
        <w:numId w:val="2"/>
      </w:numPr>
    </w:pPr>
  </w:style>
  <w:style w:type="paragraph" w:styleId="ListContinue2">
    <w:name w:val="List Continue 2"/>
    <w:basedOn w:val="List2"/>
    <w:rsid w:val="00236DF0"/>
    <w:pPr>
      <w:ind w:firstLine="0"/>
    </w:pPr>
  </w:style>
  <w:style w:type="paragraph" w:styleId="ListContinue3">
    <w:name w:val="List Continue 3"/>
    <w:basedOn w:val="List3"/>
    <w:rsid w:val="00236DF0"/>
    <w:pPr>
      <w:ind w:left="1021" w:firstLine="0"/>
    </w:pPr>
  </w:style>
  <w:style w:type="paragraph" w:styleId="ListContinue4">
    <w:name w:val="List Continue 4"/>
    <w:basedOn w:val="List4"/>
    <w:rsid w:val="00236DF0"/>
    <w:pPr>
      <w:ind w:firstLine="0"/>
    </w:pPr>
  </w:style>
  <w:style w:type="paragraph" w:styleId="ListContinue5">
    <w:name w:val="List Continue 5"/>
    <w:basedOn w:val="List5"/>
    <w:rsid w:val="00236DF0"/>
    <w:pPr>
      <w:ind w:firstLine="0"/>
    </w:pPr>
  </w:style>
  <w:style w:type="paragraph" w:styleId="ListNumber3">
    <w:name w:val="List Number 3"/>
    <w:basedOn w:val="List3"/>
    <w:rsid w:val="00236DF0"/>
    <w:pPr>
      <w:numPr>
        <w:numId w:val="3"/>
      </w:numPr>
    </w:pPr>
  </w:style>
  <w:style w:type="paragraph" w:styleId="ListNumber4">
    <w:name w:val="List Number 4"/>
    <w:basedOn w:val="List4"/>
    <w:rsid w:val="00236DF0"/>
    <w:pPr>
      <w:numPr>
        <w:numId w:val="4"/>
      </w:numPr>
    </w:pPr>
  </w:style>
  <w:style w:type="paragraph" w:styleId="ListNumber5">
    <w:name w:val="List Number 5"/>
    <w:basedOn w:val="List5"/>
    <w:rsid w:val="00236DF0"/>
    <w:pPr>
      <w:numPr>
        <w:numId w:val="5"/>
      </w:numPr>
    </w:pPr>
  </w:style>
  <w:style w:type="paragraph" w:styleId="BlockText">
    <w:name w:val="Block Text"/>
    <w:basedOn w:val="Normal"/>
    <w:rsid w:val="00236DF0"/>
    <w:pPr>
      <w:spacing w:after="120"/>
      <w:ind w:left="1440" w:right="1440"/>
    </w:pPr>
  </w:style>
  <w:style w:type="character" w:customStyle="1" w:styleId="Subscript">
    <w:name w:val="Subscript"/>
    <w:rsid w:val="00236DF0"/>
    <w:rPr>
      <w:sz w:val="16"/>
      <w:vertAlign w:val="subscript"/>
    </w:rPr>
  </w:style>
  <w:style w:type="character" w:customStyle="1" w:styleId="Superscript">
    <w:name w:val="Superscript"/>
    <w:rsid w:val="00236DF0"/>
    <w:rPr>
      <w:sz w:val="16"/>
      <w:vertAlign w:val="superscript"/>
    </w:rPr>
  </w:style>
  <w:style w:type="character" w:customStyle="1" w:styleId="Symbols">
    <w:name w:val="Symbols"/>
    <w:rsid w:val="00236DF0"/>
    <w:rPr>
      <w:rFonts w:ascii="Symbol" w:hAnsi="Symbol"/>
    </w:rPr>
  </w:style>
  <w:style w:type="character" w:customStyle="1" w:styleId="MenuOptions">
    <w:name w:val="Menu Options"/>
    <w:rsid w:val="00236DF0"/>
    <w:rPr>
      <w:rFonts w:ascii="Arial Narrow" w:hAnsi="Arial Narrow"/>
      <w:smallCaps/>
    </w:rPr>
  </w:style>
  <w:style w:type="character" w:customStyle="1" w:styleId="Buttons">
    <w:name w:val="Buttons"/>
    <w:rsid w:val="00236DF0"/>
    <w:rPr>
      <w:b/>
    </w:rPr>
  </w:style>
  <w:style w:type="character" w:customStyle="1" w:styleId="Underlined">
    <w:name w:val="Underlined"/>
    <w:rsid w:val="00236DF0"/>
    <w:rPr>
      <w:u w:val="single"/>
    </w:rPr>
  </w:style>
  <w:style w:type="paragraph" w:customStyle="1" w:styleId="TableBodyTextRight">
    <w:name w:val="Table Body Text Right"/>
    <w:basedOn w:val="TableBodyText"/>
    <w:rsid w:val="00236DF0"/>
    <w:pPr>
      <w:widowControl w:val="0"/>
      <w:autoSpaceDE w:val="0"/>
      <w:autoSpaceDN w:val="0"/>
      <w:adjustRightInd w:val="0"/>
      <w:jc w:val="right"/>
    </w:pPr>
    <w:rPr>
      <w:rFonts w:cs="Arial"/>
      <w:szCs w:val="18"/>
    </w:rPr>
  </w:style>
  <w:style w:type="paragraph" w:customStyle="1" w:styleId="CopyrightText">
    <w:name w:val="Copyright Text"/>
    <w:basedOn w:val="BodyText"/>
    <w:rsid w:val="00236DF0"/>
    <w:rPr>
      <w:sz w:val="18"/>
    </w:rPr>
  </w:style>
  <w:style w:type="paragraph" w:customStyle="1" w:styleId="BodySmallRight">
    <w:name w:val="Body Small Right"/>
    <w:basedOn w:val="BodyTextRight"/>
    <w:rsid w:val="00236DF0"/>
    <w:rPr>
      <w:sz w:val="18"/>
      <w:szCs w:val="18"/>
    </w:rPr>
  </w:style>
  <w:style w:type="paragraph" w:customStyle="1" w:styleId="MarginEdition">
    <w:name w:val="Margin Edition"/>
    <w:basedOn w:val="MarginNote"/>
    <w:rsid w:val="00236DF0"/>
    <w:pPr>
      <w:spacing w:before="0" w:after="0"/>
    </w:pPr>
    <w:rPr>
      <w:rFonts w:ascii="Times New Roman" w:hAnsi="Times New Roman"/>
      <w:color w:val="999999"/>
    </w:rPr>
  </w:style>
  <w:style w:type="paragraph" w:customStyle="1" w:styleId="Spacer">
    <w:name w:val="Spacer"/>
    <w:basedOn w:val="Normal"/>
    <w:rsid w:val="00236DF0"/>
    <w:rPr>
      <w:sz w:val="2"/>
      <w:szCs w:val="2"/>
    </w:rPr>
  </w:style>
  <w:style w:type="character" w:customStyle="1" w:styleId="Small">
    <w:name w:val="Small"/>
    <w:rsid w:val="00236DF0"/>
    <w:rPr>
      <w:sz w:val="16"/>
    </w:rPr>
  </w:style>
  <w:style w:type="paragraph" w:customStyle="1" w:styleId="WideTable">
    <w:name w:val="Wide Table"/>
    <w:basedOn w:val="Normal"/>
    <w:rsid w:val="00236DF0"/>
    <w:pPr>
      <w:ind w:left="-1418"/>
    </w:pPr>
    <w:rPr>
      <w:sz w:val="2"/>
      <w:szCs w:val="2"/>
    </w:rPr>
  </w:style>
  <w:style w:type="character" w:styleId="PageNumber">
    <w:name w:val="page number"/>
    <w:rsid w:val="00236DF0"/>
  </w:style>
  <w:style w:type="paragraph" w:styleId="Quote">
    <w:name w:val="Quote"/>
    <w:basedOn w:val="Heading1"/>
    <w:link w:val="QuoteChar"/>
    <w:qFormat/>
    <w:rsid w:val="00236DF0"/>
    <w:rPr>
      <w:b w:val="0"/>
      <w:sz w:val="72"/>
      <w:szCs w:val="72"/>
      <w:lang w:val="en-NZ"/>
    </w:rPr>
  </w:style>
  <w:style w:type="character" w:customStyle="1" w:styleId="QuoteChar">
    <w:name w:val="Quote Char"/>
    <w:link w:val="Quote"/>
    <w:rsid w:val="00236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DF0"/>
    <w:pPr>
      <w:pageBreakBefore/>
    </w:pPr>
  </w:style>
  <w:style w:type="paragraph" w:customStyle="1" w:styleId="Border">
    <w:name w:val="Border"/>
    <w:basedOn w:val="Normal"/>
    <w:qFormat/>
    <w:rsid w:val="00236DF0"/>
    <w:pPr>
      <w:pBdr>
        <w:top w:val="single" w:sz="18" w:space="1" w:color="auto"/>
      </w:pBdr>
    </w:pPr>
    <w:rPr>
      <w:rFonts w:ascii="Times New Roman" w:hAnsi="Times New Roman"/>
      <w:color w:val="FFFFFF"/>
      <w:sz w:val="2"/>
    </w:rPr>
  </w:style>
  <w:style w:type="character" w:styleId="IntenseEmphasis">
    <w:name w:val="Intense Emphasis"/>
    <w:uiPriority w:val="21"/>
    <w:qFormat/>
    <w:rsid w:val="00236DF0"/>
    <w:rPr>
      <w:b/>
      <w:bCs/>
      <w:i/>
      <w:iCs/>
      <w:color w:val="auto"/>
    </w:rPr>
  </w:style>
  <w:style w:type="paragraph" w:styleId="IntenseQuote">
    <w:name w:val="Intense Quote"/>
    <w:basedOn w:val="Normal"/>
    <w:next w:val="Normal"/>
    <w:link w:val="IntenseQuoteChar"/>
    <w:uiPriority w:val="30"/>
    <w:qFormat/>
    <w:rsid w:val="00236D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6DF0"/>
    <w:rPr>
      <w:rFonts w:ascii="Courier New" w:eastAsia="Times New Roman" w:hAnsi="Courier New" w:cs="Times New Roman"/>
      <w:b/>
      <w:bCs/>
      <w:i/>
      <w:iCs/>
      <w:szCs w:val="20"/>
      <w:lang w:val="en-US" w:eastAsia="en-US"/>
    </w:rPr>
  </w:style>
  <w:style w:type="character" w:styleId="SubtleReference">
    <w:name w:val="Subtle Reference"/>
    <w:uiPriority w:val="31"/>
    <w:qFormat/>
    <w:rsid w:val="00236DF0"/>
    <w:rPr>
      <w:smallCaps/>
      <w:color w:val="auto"/>
      <w:u w:val="single"/>
    </w:rPr>
  </w:style>
  <w:style w:type="character" w:styleId="IntenseReference">
    <w:name w:val="Intense Reference"/>
    <w:uiPriority w:val="32"/>
    <w:qFormat/>
    <w:rsid w:val="00236DF0"/>
    <w:rPr>
      <w:b/>
      <w:bCs/>
      <w:smallCaps/>
      <w:color w:val="auto"/>
      <w:spacing w:val="5"/>
      <w:u w:val="single"/>
    </w:rPr>
  </w:style>
  <w:style w:type="paragraph" w:customStyle="1" w:styleId="2ColumnHeading">
    <w:name w:val="2Column Heading"/>
    <w:basedOn w:val="BodyText"/>
    <w:qFormat/>
    <w:rsid w:val="00236DF0"/>
    <w:pPr>
      <w:spacing w:after="60"/>
      <w:ind w:left="-2268"/>
    </w:pPr>
    <w:rPr>
      <w:b/>
    </w:rPr>
  </w:style>
  <w:style w:type="paragraph" w:customStyle="1" w:styleId="Heading1TOC">
    <w:name w:val="Heading1 TOC"/>
    <w:basedOn w:val="Normal"/>
    <w:qFormat/>
    <w:rsid w:val="00236DF0"/>
    <w:pPr>
      <w:spacing w:before="240" w:after="120"/>
    </w:pPr>
    <w:rPr>
      <w:rFonts w:ascii="Times New Roman" w:hAnsi="Times New Roman"/>
      <w:b/>
      <w:sz w:val="32"/>
    </w:rPr>
  </w:style>
  <w:style w:type="paragraph" w:customStyle="1" w:styleId="Heading2TOC">
    <w:name w:val="Heading2 TOC"/>
    <w:basedOn w:val="Normal"/>
    <w:qFormat/>
    <w:rsid w:val="00236DF0"/>
    <w:pPr>
      <w:spacing w:before="240" w:after="60"/>
    </w:pPr>
    <w:rPr>
      <w:rFonts w:ascii="Times New Roman" w:hAnsi="Times New Roman"/>
      <w:b/>
      <w:sz w:val="28"/>
    </w:rPr>
  </w:style>
  <w:style w:type="character" w:customStyle="1" w:styleId="Underline">
    <w:name w:val="Underline"/>
    <w:qFormat/>
    <w:rsid w:val="00236DF0"/>
    <w:rPr>
      <w:u w:val="single"/>
    </w:rPr>
  </w:style>
  <w:style w:type="character" w:customStyle="1" w:styleId="BoldandItalics">
    <w:name w:val="Bold and Italics"/>
    <w:qFormat/>
    <w:rsid w:val="00236DF0"/>
    <w:rPr>
      <w:b/>
      <w:i/>
      <w:u w:val="none"/>
    </w:rPr>
  </w:style>
  <w:style w:type="paragraph" w:styleId="BalloonText">
    <w:name w:val="Balloon Text"/>
    <w:basedOn w:val="Normal"/>
    <w:link w:val="BalloonTextChar"/>
    <w:rsid w:val="00236DF0"/>
    <w:rPr>
      <w:rFonts w:ascii="Tahoma" w:hAnsi="Tahoma" w:cs="Tahoma"/>
      <w:sz w:val="16"/>
      <w:szCs w:val="16"/>
    </w:rPr>
  </w:style>
  <w:style w:type="character" w:customStyle="1" w:styleId="BalloonTextChar">
    <w:name w:val="Balloon Text Char"/>
    <w:link w:val="BalloonText"/>
    <w:rsid w:val="00236D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D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6D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1830</Words>
  <Characters>12212</Characters>
  <Application>Microsoft Office Word</Application>
  <DocSecurity>0</DocSecurity>
  <Lines>423</Lines>
  <Paragraphs>247</Paragraphs>
  <ScaleCrop>false</ScaleCrop>
  <Company>Author-it Software Corporation Ltd.</Company>
  <LinksUpToDate>false</LinksUpToDate>
  <CharactersWithSpaces>13887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TLIL1907C Implement and monitor transport logistics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2012-05-27T03:54:00Z</dcterms:created>
  <dcterms:modified xsi:type="dcterms:W3CDTF">2012-05-27T03:54:00Z</dcterms:modified>
</cp:coreProperties>
</file>