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4CA" w:rsidP="005A34CA">
      <w:pPr>
        <w:pStyle w:val="Title"/>
      </w:pPr>
      <w:r>
        <w:fldChar w:fldCharType="begin"/>
      </w:r>
      <w:r>
        <w:instrText xml:space="preserve"> TITLE   \* MERGEFORMAT </w:instrText>
      </w:r>
      <w:r>
        <w:fldChar w:fldCharType="separate"/>
      </w:r>
      <w:r>
        <w:t>TLIF907C Conduct cleaning operations in enclosed spaces</w:t>
      </w:r>
      <w:r>
        <w:fldChar w:fldCharType="end"/>
      </w:r>
    </w:p>
    <w:p w:rsidR="005A34CA" w:rsidP="005A34CA">
      <w:pPr>
        <w:pStyle w:val="Version"/>
        <w:sectPr w:rsidSect="001C2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D74" w:rsidP="001C2D74">
      <w:pPr>
        <w:pStyle w:val="SuperHeading"/>
      </w:pPr>
      <w:r w:rsidRPr="001C2D74">
        <w:t>TLIF907C Conduct cleaning operations in enclosed spaces</w:t>
      </w:r>
    </w:p>
    <w:p w:rsidR="00000000" w:rsidRPr="001C2D74" w:rsidP="001C2D74">
      <w:pPr>
        <w:pStyle w:val="Heading1"/>
      </w:pPr>
      <w:bookmarkStart w:id="1" w:name="O_316640"/>
      <w:bookmarkEnd w:id="1"/>
      <w:r w:rsidRPr="001C2D74">
        <w:t>Modification History</w:t>
      </w:r>
    </w:p>
    <w:p w:rsidR="00000000" w:rsidRPr="001C2D74" w:rsidP="001C2D74">
      <w:pPr>
        <w:pStyle w:val="BodyText"/>
      </w:pPr>
      <w:r w:rsidRPr="001C2D74">
        <w:t>Not applicable.</w:t>
      </w:r>
    </w:p>
    <w:p w:rsidR="00000000" w:rsidRPr="001C2D74" w:rsidP="001C2D74">
      <w:pPr>
        <w:pStyle w:val="AllowPageBreak"/>
      </w:pPr>
    </w:p>
    <w:p w:rsidR="00000000" w:rsidRPr="001C2D74" w:rsidP="001C2D74">
      <w:pPr>
        <w:pStyle w:val="Heading1"/>
      </w:pPr>
      <w:bookmarkStart w:id="2" w:name="O_316639"/>
      <w:bookmarkEnd w:id="2"/>
      <w:r w:rsidRPr="001C2D74">
        <w:t>Unit Descriptor</w:t>
      </w:r>
    </w:p>
    <w:p w:rsidR="00000000" w:rsidRPr="001C2D74" w:rsidP="001C2D74">
      <w:pPr>
        <w:pStyle w:val="BodyText"/>
      </w:pPr>
      <w:r w:rsidRPr="001C2D74">
        <w:t xml:space="preserve">This unit involves the skills and knowledge required to conduct cleaning operations in enclosed </w:t>
      </w:r>
      <w:r w:rsidRPr="001C2D74">
        <w:t>spaces, including identifying cleaning risks, planning cleaning operations, and cleaning the required enclosed space in accordance with operational requirements.</w:t>
      </w:r>
    </w:p>
    <w:p w:rsidR="00000000" w:rsidRPr="001C2D74" w:rsidP="001C2D74">
      <w:pPr>
        <w:pStyle w:val="AllowPageBreak"/>
      </w:pPr>
    </w:p>
    <w:p w:rsidR="00000000" w:rsidRPr="001C2D74" w:rsidP="001C2D74">
      <w:pPr>
        <w:pStyle w:val="Heading1"/>
      </w:pPr>
      <w:bookmarkStart w:id="3" w:name="O_316638"/>
      <w:bookmarkEnd w:id="3"/>
      <w:r w:rsidRPr="001C2D74">
        <w:t>Application of the Unit</w:t>
      </w:r>
    </w:p>
    <w:p w:rsidR="00000000" w:rsidRPr="001C2D74" w:rsidP="001C2D74">
      <w:pPr>
        <w:pStyle w:val="BodyText"/>
      </w:pPr>
      <w:r w:rsidRPr="001C2D74">
        <w:t>Work must be carried out in accordance with regulatio</w:t>
      </w:r>
      <w:r w:rsidRPr="001C2D74">
        <w:t>ns and procedures for conducting cleaning operations in enclosed spaces.</w:t>
      </w:r>
    </w:p>
    <w:p w:rsidR="00000000" w:rsidRPr="001C2D74" w:rsidP="001C2D74">
      <w:pPr>
        <w:pStyle w:val="BodyText"/>
      </w:pPr>
      <w:r w:rsidRPr="001C2D74">
        <w:t>Work is performed under some supervision generally within a team environment. It involves the application of established safety procedures and regulatory requirements to the conduct o</w:t>
      </w:r>
      <w:r w:rsidRPr="001C2D74">
        <w:t>f cleaning operations in enclosed spaces.</w:t>
      </w:r>
    </w:p>
    <w:p w:rsidR="00000000" w:rsidRPr="001C2D74" w:rsidP="001C2D74">
      <w:pPr>
        <w:pStyle w:val="AllowPageBreak"/>
      </w:pPr>
    </w:p>
    <w:p w:rsidR="00000000" w:rsidRPr="001C2D74" w:rsidP="001C2D74">
      <w:pPr>
        <w:pStyle w:val="Heading1"/>
      </w:pPr>
      <w:bookmarkStart w:id="4" w:name="O_316637"/>
      <w:bookmarkEnd w:id="4"/>
      <w:r w:rsidRPr="001C2D74">
        <w:t>Licensing/Regulatory Information</w:t>
      </w:r>
    </w:p>
    <w:p w:rsidR="00000000" w:rsidRPr="001C2D74" w:rsidP="001C2D74">
      <w:pPr>
        <w:pStyle w:val="BodyText"/>
      </w:pPr>
      <w:r w:rsidRPr="001C2D74">
        <w:t>Not applicable.</w:t>
      </w:r>
    </w:p>
    <w:p w:rsidR="00000000" w:rsidRPr="001C2D74" w:rsidP="001C2D74">
      <w:pPr>
        <w:pStyle w:val="AllowPageBreak"/>
      </w:pPr>
    </w:p>
    <w:p w:rsidR="00000000" w:rsidRPr="001C2D74" w:rsidP="001C2D74">
      <w:pPr>
        <w:pStyle w:val="Heading1"/>
      </w:pPr>
      <w:bookmarkStart w:id="5" w:name="O_316636"/>
      <w:bookmarkEnd w:id="5"/>
      <w:r w:rsidRPr="001C2D74">
        <w:t>Pre-Requisites</w:t>
      </w:r>
    </w:p>
    <w:p w:rsidR="00000000" w:rsidRPr="001C2D74" w:rsidP="001C2D74">
      <w:pPr>
        <w:pStyle w:val="BodyText"/>
      </w:pPr>
      <w:r w:rsidRPr="001C2D74">
        <w:t>Not applicable.</w:t>
      </w:r>
    </w:p>
    <w:p w:rsidR="00000000" w:rsidRPr="001C2D74" w:rsidP="001C2D74">
      <w:pPr>
        <w:pStyle w:val="AllowPageBreak"/>
      </w:pPr>
    </w:p>
    <w:p w:rsidR="00000000" w:rsidRPr="001C2D74" w:rsidP="001C2D74">
      <w:pPr>
        <w:pStyle w:val="Heading1"/>
      </w:pPr>
      <w:bookmarkStart w:id="6" w:name="O_316635"/>
      <w:bookmarkEnd w:id="6"/>
      <w:r w:rsidRPr="001C2D74">
        <w:t>Employability Skills Information</w:t>
      </w:r>
    </w:p>
    <w:p w:rsidR="00000000" w:rsidRPr="001C2D74" w:rsidP="001C2D74">
      <w:pPr>
        <w:pStyle w:val="BodyText"/>
      </w:pPr>
      <w:r w:rsidRPr="001C2D74">
        <w:t>The required outcomes described in this unit of competency contain applicable facets of Employability Skills. The Employability Skills Summary of the qualification in which this competency is packaged will assist in identifying employability skill requirem</w:t>
      </w:r>
      <w:r w:rsidRPr="001C2D74">
        <w:t>ents.</w:t>
      </w:r>
    </w:p>
    <w:p w:rsidR="00000000" w:rsidRPr="001C2D74" w:rsidP="001C2D74">
      <w:pPr>
        <w:pStyle w:val="AllowPageBreak"/>
      </w:pPr>
    </w:p>
    <w:p w:rsidR="00000000" w:rsidRPr="001C2D74" w:rsidP="001C2D74">
      <w:pPr>
        <w:pStyle w:val="Heading1"/>
      </w:pPr>
      <w:bookmarkStart w:id="7" w:name="O_316641"/>
      <w:bookmarkEnd w:id="7"/>
      <w:r w:rsidRPr="001C2D74">
        <w:t>Elements and Performance Criteria Pre-Content</w:t>
      </w:r>
    </w:p>
    <w:p w:rsidR="00000000" w:rsidRPr="001C2D74" w:rsidP="001C2D74">
      <w:pPr>
        <w:pStyle w:val="BodyText"/>
      </w:pPr>
      <w:r w:rsidRPr="001C2D74">
        <w:t>Elements describe the essential outcomes of a unit of competency.</w:t>
      </w:r>
    </w:p>
    <w:p w:rsidR="00000000" w:rsidRPr="001C2D74" w:rsidP="001C2D74">
      <w:pPr>
        <w:pStyle w:val="BodyText"/>
      </w:pPr>
      <w:r w:rsidRPr="001C2D74">
        <w:t>Performance criteria describe the required performance needed to demonstrate achievemen</w:t>
      </w:r>
      <w:r w:rsidRPr="001C2D74">
        <w:t>t of the element. Assessment of performance is to be consistent with the evidence guide.</w:t>
      </w:r>
    </w:p>
    <w:p w:rsidR="00000000" w:rsidRPr="001C2D74" w:rsidP="001C2D74">
      <w:pPr>
        <w:pStyle w:val="AllowPageBreak"/>
      </w:pPr>
    </w:p>
    <w:p w:rsidR="00000000" w:rsidRPr="001C2D74" w:rsidP="001C2D74">
      <w:pPr>
        <w:pStyle w:val="Heading1"/>
      </w:pPr>
      <w:bookmarkStart w:id="8" w:name="O_316629"/>
      <w:bookmarkEnd w:id="8"/>
      <w:r w:rsidRPr="001C2D7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34C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Elements and Performance Criteria</w:t>
            </w:r>
          </w:p>
        </w:tc>
      </w:tr>
      <w:tr w:rsidTr="005A34C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Performance Criteria</w:t>
            </w:r>
          </w:p>
        </w:tc>
      </w:tr>
      <w:tr w:rsidTr="005A34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1</w:t>
            </w:r>
          </w:p>
        </w:tc>
        <w:tc>
          <w:tcPr>
            <w:tcW w:w="3000" w:type="dxa"/>
            <w:vMerge w:val="restart"/>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Identify risks and plan operation</w:t>
            </w: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1.1</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Requirements for the cleaning operation are assessed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1.2</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Potential risks or hazards to self, the environment or others are identified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1.3</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Relevant information including workplace procedures and safety codes are identified and read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1.4</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Cleaning and personal protective equipment and consumables are identified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1.5</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Requirements are assembled in accordance with national standards, safety codes and workplace procedures</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1.6</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Work is planned identifying critical parameters of the work</w:t>
            </w:r>
          </w:p>
        </w:tc>
      </w:tr>
      <w:tr w:rsidTr="005A34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2</w:t>
            </w:r>
          </w:p>
        </w:tc>
        <w:tc>
          <w:tcPr>
            <w:tcW w:w="3000" w:type="dxa"/>
            <w:vMerge w:val="restart"/>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Clean required enclosed space</w:t>
            </w: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2.1</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Unauthorised persons are removed from the work area</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2.2</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Engineering and personal safety equipment is used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2.3</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Unwanted labels are removed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2.4</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Cleaning products, where used, are mixed in accordance with manufacturers and workplace instructions</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2.5</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Containers are swept out and washed so that mud, grime and any residue from products stored in the containers are removed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2.6</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Security of chemica</w:t>
            </w:r>
            <w:r w:rsidRPr="001C2D74">
              <w:t>ls and equipment is maintained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2.7</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Run-off is contained and wastes are disposed of in accordance with local laws and workplace procedures</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2.8</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Relevant documentation is completed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2.9</w:t>
            </w:r>
          </w:p>
        </w:tc>
        <w:tc>
          <w:tcPr>
            <w:tcW w:w="51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Equipment used for the process is checked and stored</w:t>
            </w:r>
          </w:p>
        </w:tc>
      </w:tr>
      <w:tr w:rsidTr="005A34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2.10</w:t>
            </w:r>
          </w:p>
        </w:tc>
        <w:tc>
          <w:tcPr>
            <w:tcW w:w="51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Worksite is checked and returned to operational status</w:t>
            </w:r>
          </w:p>
        </w:tc>
      </w:tr>
    </w:tbl>
    <w:p w:rsidR="00000000" w:rsidRPr="001C2D74" w:rsidP="001C2D74">
      <w:pPr>
        <w:pStyle w:val="BodyText"/>
      </w:pPr>
    </w:p>
    <w:p w:rsidR="00000000" w:rsidRPr="001C2D74" w:rsidP="001C2D74">
      <w:pPr>
        <w:pStyle w:val="AllowPageBreak"/>
      </w:pPr>
    </w:p>
    <w:p w:rsidR="00000000" w:rsidRPr="001C2D74" w:rsidP="001C2D74">
      <w:pPr>
        <w:pStyle w:val="Heading1"/>
      </w:pPr>
      <w:bookmarkStart w:id="9" w:name="O_316634"/>
      <w:bookmarkEnd w:id="9"/>
      <w:r w:rsidRPr="001C2D74">
        <w:t>Required Skills and Knowledge</w:t>
      </w:r>
    </w:p>
    <w:tbl>
      <w:tblPr>
        <w:tblW w:w="0" w:type="auto"/>
        <w:tblLayout w:type="fixed"/>
        <w:tblCellMar>
          <w:left w:w="62" w:type="dxa"/>
          <w:right w:w="62" w:type="dxa"/>
        </w:tblCellMar>
        <w:tblLook w:val="0000"/>
      </w:tblPr>
      <w:tblGrid>
        <w:gridCol w:w="9000"/>
      </w:tblGrid>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REQUIRED KNOWLEDGE AND SKILLS</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This describes the essential knowledge and skills and their level required for this unit.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Required knowledge</w:t>
            </w:r>
            <w:r w:rsidRPr="001C2D74">
              <w:t xml:space="preserve">: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Relevant OH&amp;S regulations, codes and guidelines concerning cleaning operations in enclosed spaces including Australian Standard AS 2865 - Safe Working in a Confined Space Code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Workplace procedures and policies for carrying out cleaning operations in encl</w:t>
            </w:r>
            <w:r w:rsidRPr="001C2D74">
              <w:t xml:space="preserve">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Risks when carrying out cleaning operations in enclosed spaces and related precautions to control the risk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Procedures for carrying out tests for contaminant gases in enclosed spaces prior to performing cleaning operations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Site layout and </w:t>
            </w:r>
            <w:r w:rsidRPr="001C2D74">
              <w:t xml:space="preserve">obstacles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Application of relevant industrial regulations and requirements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 xml:space="preserve">Maintenance procedures for cleaning equipment </w:t>
            </w:r>
          </w:p>
        </w:tc>
      </w:tr>
    </w:tbl>
    <w:p w:rsidR="00000000" w:rsidRPr="001C2D74" w:rsidP="001C2D74">
      <w:pPr>
        <w:pStyle w:val="BodyText"/>
      </w:pPr>
    </w:p>
    <w:tbl>
      <w:tblPr>
        <w:tblW w:w="0" w:type="auto"/>
        <w:tblLayout w:type="fixed"/>
        <w:tblCellMar>
          <w:left w:w="62" w:type="dxa"/>
          <w:right w:w="62" w:type="dxa"/>
        </w:tblCellMar>
        <w:tblLook w:val="0000"/>
      </w:tblPr>
      <w:tblGrid>
        <w:gridCol w:w="9000"/>
      </w:tblGrid>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Required skills</w:t>
            </w:r>
            <w:r w:rsidRPr="001C2D74">
              <w:t>:</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Communicate effectively with others when conducting cleaning procedures in enclosed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Read and interpret instructions, procedures, information and signs relevant to cleaning procedures in enclosed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Identify container and goods coding, ADG and IMDG markings and where applicable emergency information panels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Interpret and follow oper</w:t>
            </w:r>
            <w:r w:rsidRPr="001C2D74">
              <w:t xml:space="preserve">ational instructions and prioritise work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Complete documentation related to cleaning procedures in enclosed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Operate electronic communication equipment to required protocol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Work collaboratively with others when conducting cleaning procedures in </w:t>
            </w:r>
            <w:r w:rsidRPr="001C2D74">
              <w:t xml:space="preserve">enclosed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Adapt appropriately to cultural differences in the workplace, including modes of behaviour and interactions with others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Promptly report and/or rectify any identified problems, faults or malfunctions that may occur when conducting cleani</w:t>
            </w:r>
            <w:r w:rsidRPr="001C2D74">
              <w:t xml:space="preserve">ng procedures in enclosed spaces in accordance with regulatory requirements and workplace procedures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Implement contingency plans for unplanned events that may arise when conducting cleaning procedures in enclosed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Apply precautions and required a</w:t>
            </w:r>
            <w:r w:rsidRPr="001C2D74">
              <w:t xml:space="preserve">ction to minimise, control or eliminate hazards that may exist during cleaning procedures in enclosed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Monitor work activities in terms of planned schedule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Modify activities depending on differing operational contingencies, risk situations and environments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Work systematically with required attention to detail without injury to self or others, or damage to goods or equipment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Identify and correctly use equi</w:t>
            </w:r>
            <w:r w:rsidRPr="001C2D74">
              <w:t xml:space="preserve">pment, cleaning materials, processes and procedures for carrying out cleaning operations in enclosed spaces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Identify, select and use emergency equipment, processes and procedures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Operate and adapt to differences in equipment in accordance with standard</w:t>
            </w:r>
            <w:r w:rsidRPr="001C2D74">
              <w:t xml:space="preserve"> operating procedures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Follow routine servicing procedures for cleaning tools and equipment </w:t>
            </w:r>
          </w:p>
        </w:tc>
      </w:tr>
      <w:tr w:rsidTr="005A34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 xml:space="preserve">Select and use required personal protective equipment conforming to industry and OH&amp;S standards </w:t>
            </w:r>
          </w:p>
        </w:tc>
      </w:tr>
    </w:tbl>
    <w:p w:rsidR="00000000" w:rsidRPr="001C2D74" w:rsidP="001C2D74">
      <w:pPr>
        <w:pStyle w:val="BodyText"/>
      </w:pPr>
    </w:p>
    <w:p w:rsidR="00000000" w:rsidRPr="001C2D74" w:rsidP="001C2D74">
      <w:pPr>
        <w:pStyle w:val="AllowPageBreak"/>
      </w:pPr>
    </w:p>
    <w:p w:rsidR="00000000" w:rsidRPr="001C2D74" w:rsidP="001C2D74">
      <w:pPr>
        <w:pStyle w:val="Heading1"/>
      </w:pPr>
      <w:bookmarkStart w:id="10" w:name="O_316633"/>
      <w:bookmarkEnd w:id="10"/>
      <w:r w:rsidRPr="001C2D74">
        <w:t>Evidence Guide</w:t>
      </w:r>
    </w:p>
    <w:tbl>
      <w:tblPr>
        <w:tblW w:w="0" w:type="auto"/>
        <w:tblLayout w:type="fixed"/>
        <w:tblCellMar>
          <w:left w:w="62" w:type="dxa"/>
          <w:right w:w="62" w:type="dxa"/>
        </w:tblCellMar>
        <w:tblLook w:val="0000"/>
      </w:tblPr>
      <w:tblGrid>
        <w:gridCol w:w="4500"/>
        <w:gridCol w:w="4500"/>
      </w:tblGrid>
      <w:tr w:rsidTr="005A34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2D74">
            <w:pPr>
              <w:pStyle w:val="BodyText"/>
              <w:rPr>
                <w:lang w:val="en-NZ"/>
              </w:rPr>
            </w:pPr>
          </w:p>
        </w:tc>
      </w:tr>
      <w:tr w:rsidTr="005A34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The evidence guide provides advice on assessment and must be read in conjunction with the performance criteria, required knowledge and skills, the range statement and the assessment guidelines for this Training Package.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Critical aspects for assessment a</w:t>
            </w:r>
            <w:r w:rsidRPr="001C2D74">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The evidence required to demonstrate competency in this unit must be relevant to and satisfy all of the requirements of the elements and performance criteria of this unit and include demonstration</w:t>
            </w:r>
            <w:r w:rsidRPr="001C2D74">
              <w:t xml:space="preserve"> of applying:   </w:t>
            </w:r>
          </w:p>
          <w:p w:rsidR="00000000" w:rsidRPr="001C2D74" w:rsidP="001C2D74">
            <w:pPr>
              <w:pStyle w:val="BodyText"/>
            </w:pPr>
            <w:r w:rsidRPr="001C2D74">
              <w:t>the underpinning knowledge and skills</w:t>
            </w:r>
          </w:p>
          <w:p w:rsidR="00000000" w:rsidRPr="001C2D74" w:rsidP="001C2D74">
            <w:pPr>
              <w:pStyle w:val="BodyText"/>
            </w:pPr>
            <w:r w:rsidRPr="001C2D74">
              <w:t>relevant legislation and workplace procedures</w:t>
            </w:r>
          </w:p>
          <w:p w:rsidR="00000000" w:rsidP="001C2D74">
            <w:pPr>
              <w:pStyle w:val="BodyText"/>
              <w:rPr>
                <w:lang w:val="en-NZ"/>
              </w:rPr>
            </w:pPr>
            <w:r w:rsidRPr="001C2D74">
              <w:t xml:space="preserve">other relevant aspects of the range statement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 xml:space="preserve">Performance is demonstrated consistently over a period of </w:t>
            </w:r>
            <w:r w:rsidRPr="001C2D74">
              <w:t>time and in a suitable range of contexts</w:t>
            </w:r>
          </w:p>
          <w:p w:rsidR="00000000" w:rsidRPr="001C2D74" w:rsidP="001C2D74">
            <w:pPr>
              <w:pStyle w:val="BodyText"/>
            </w:pPr>
            <w:r w:rsidRPr="001C2D74">
              <w:t xml:space="preserve">Resources for assessment include:   </w:t>
            </w:r>
          </w:p>
          <w:p w:rsidR="00000000" w:rsidRPr="001C2D74" w:rsidP="001C2D74">
            <w:pPr>
              <w:pStyle w:val="BodyText"/>
            </w:pPr>
            <w:r w:rsidRPr="001C2D74">
              <w:t>a range of relevant exercises, case studies and other simulated practical and knowledge assessment, and/or</w:t>
            </w:r>
          </w:p>
          <w:p w:rsidR="00000000" w:rsidRPr="001C2D74" w:rsidP="001C2D74">
            <w:pPr>
              <w:pStyle w:val="BodyText"/>
            </w:pPr>
            <w:r w:rsidRPr="001C2D74">
              <w:t>access to an appropriate range of relevant operational situations in th</w:t>
            </w:r>
            <w:r w:rsidRPr="001C2D74">
              <w:t>e workplace</w:t>
            </w:r>
          </w:p>
          <w:p w:rsidR="00000000" w:rsidRPr="001C2D74" w:rsidP="001C2D74">
            <w:pPr>
              <w:pStyle w:val="BodyText"/>
            </w:pPr>
          </w:p>
          <w:p w:rsidR="00000000" w:rsidRPr="001C2D74" w:rsidP="001C2D74">
            <w:pPr>
              <w:pStyle w:val="BodyText"/>
            </w:pPr>
            <w:r w:rsidRPr="001C2D74">
              <w:t xml:space="preserve">In both real and simulated environments, access is required to:     </w:t>
            </w:r>
          </w:p>
          <w:p w:rsidR="00000000" w:rsidRPr="001C2D74" w:rsidP="001C2D74">
            <w:pPr>
              <w:pStyle w:val="BodyText"/>
            </w:pPr>
            <w:r w:rsidRPr="001C2D74">
              <w:t>relevant and appropriate materials and/or equipment, and/or</w:t>
            </w:r>
          </w:p>
          <w:p w:rsidR="00000000" w:rsidP="001C2D74">
            <w:pPr>
              <w:pStyle w:val="BodyText"/>
              <w:rPr>
                <w:lang w:val="en-NZ"/>
              </w:rPr>
            </w:pPr>
            <w:r w:rsidRPr="001C2D74">
              <w:t xml:space="preserve">applicable documentation including workplace procedures, regulations, codes of practice and operation manuals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Assessment of this unit must be undertaken by a registered training organisation</w:t>
            </w:r>
          </w:p>
          <w:p w:rsidR="00000000" w:rsidRPr="001C2D74" w:rsidP="001C2D74">
            <w:pPr>
              <w:pStyle w:val="BodyText"/>
            </w:pPr>
            <w:r w:rsidRPr="001C2D74">
              <w:t>As a minimum, assessment of knowledge must be conducted through appropriate written/oral tests</w:t>
            </w:r>
          </w:p>
          <w:p w:rsidR="00000000" w:rsidRPr="001C2D74" w:rsidP="001C2D74">
            <w:pPr>
              <w:pStyle w:val="BodyText"/>
            </w:pPr>
            <w:r w:rsidRPr="001C2D74">
              <w:t xml:space="preserve">Practical assessment must occur:   </w:t>
            </w:r>
          </w:p>
          <w:p w:rsidR="00000000" w:rsidRPr="001C2D74" w:rsidP="001C2D74">
            <w:pPr>
              <w:pStyle w:val="BodyText"/>
            </w:pPr>
            <w:r w:rsidRPr="001C2D74">
              <w:t>through appropriately s</w:t>
            </w:r>
            <w:r w:rsidRPr="001C2D74">
              <w:t>imulated activities at the registered training organisation, and/or</w:t>
            </w:r>
          </w:p>
          <w:p w:rsidR="00000000" w:rsidRPr="001C2D74" w:rsidP="001C2D74">
            <w:pPr>
              <w:pStyle w:val="BodyText"/>
            </w:pPr>
            <w:r w:rsidRPr="001C2D74">
              <w:t xml:space="preserve">in an appropriate range of situations in the workplace </w:t>
            </w:r>
          </w:p>
        </w:tc>
      </w:tr>
    </w:tbl>
    <w:p w:rsidR="00000000" w:rsidRPr="001C2D74" w:rsidP="001C2D74">
      <w:pPr>
        <w:pStyle w:val="BodyText"/>
      </w:pPr>
    </w:p>
    <w:p w:rsidR="00000000" w:rsidRPr="001C2D74" w:rsidP="001C2D74">
      <w:pPr>
        <w:pStyle w:val="AllowPageBreak"/>
      </w:pPr>
    </w:p>
    <w:p w:rsidR="00000000" w:rsidRPr="001C2D74" w:rsidP="001C2D74">
      <w:pPr>
        <w:pStyle w:val="Heading1"/>
      </w:pPr>
      <w:bookmarkStart w:id="11" w:name="O_316632"/>
      <w:bookmarkEnd w:id="11"/>
      <w:r w:rsidRPr="001C2D74">
        <w:t>Range Statement</w:t>
      </w:r>
    </w:p>
    <w:tbl>
      <w:tblPr>
        <w:tblW w:w="0" w:type="auto"/>
        <w:tblLayout w:type="fixed"/>
        <w:tblCellMar>
          <w:left w:w="62" w:type="dxa"/>
          <w:right w:w="62" w:type="dxa"/>
        </w:tblCellMar>
        <w:tblLook w:val="0000"/>
      </w:tblPr>
      <w:tblGrid>
        <w:gridCol w:w="4500"/>
        <w:gridCol w:w="4500"/>
      </w:tblGrid>
      <w:tr w:rsidTr="005A34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rPr>
                <w:rStyle w:val="SpecialBold"/>
              </w:rPr>
              <w:t>RANGE STATEMENT</w:t>
            </w:r>
          </w:p>
        </w:tc>
      </w:tr>
      <w:tr w:rsidTr="005A34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The range statement relates to the unit of competency as a whole. It allows for</w:t>
            </w:r>
            <w:r w:rsidRPr="001C2D74">
              <w:t xml:space="preserve"> different work environments and situations that may affect performance.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The housekeeping tasks may be conducted: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in a range of work environments</w:t>
            </w:r>
          </w:p>
          <w:p w:rsidR="00000000" w:rsidP="001C2D74">
            <w:pPr>
              <w:pStyle w:val="BodyText"/>
              <w:rPr>
                <w:lang w:val="en-NZ"/>
              </w:rPr>
            </w:pPr>
            <w:r w:rsidRPr="001C2D74">
              <w:t xml:space="preserve">by day or night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internal or external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large, medium or small worksites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in confined restricted enclosed spaces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Focus of cleaning operations may include: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containers</w:t>
            </w:r>
          </w:p>
          <w:p w:rsidR="00000000" w:rsidRPr="001C2D74" w:rsidP="001C2D74">
            <w:pPr>
              <w:pStyle w:val="BodyText"/>
            </w:pPr>
            <w:r w:rsidRPr="001C2D74">
              <w:t>tanks</w:t>
            </w:r>
          </w:p>
          <w:p w:rsidR="00000000" w:rsidP="001C2D74">
            <w:pPr>
              <w:pStyle w:val="BodyText"/>
              <w:rPr>
                <w:lang w:val="en-NZ"/>
              </w:rPr>
            </w:pPr>
            <w:r w:rsidRPr="001C2D74">
              <w:t xml:space="preserve">other enclosed spaces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chemicals</w:t>
            </w:r>
          </w:p>
          <w:p w:rsidR="00000000" w:rsidRPr="001C2D74" w:rsidP="001C2D74">
            <w:pPr>
              <w:pStyle w:val="BodyText"/>
            </w:pPr>
            <w:r w:rsidRPr="001C2D74">
              <w:t>dangerous or hazardous substances</w:t>
            </w:r>
          </w:p>
          <w:p w:rsidR="00000000" w:rsidRPr="001C2D74" w:rsidP="001C2D74">
            <w:pPr>
              <w:pStyle w:val="BodyText"/>
            </w:pPr>
            <w:r w:rsidRPr="001C2D74">
              <w:t>toxic gas</w:t>
            </w:r>
          </w:p>
          <w:p w:rsidR="00000000" w:rsidP="001C2D74">
            <w:pPr>
              <w:pStyle w:val="BodyText"/>
              <w:rPr>
                <w:lang w:val="en-NZ"/>
              </w:rPr>
            </w:pPr>
            <w:r w:rsidRPr="001C2D74">
              <w:t xml:space="preserve">movements of equipment, goods and materials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Critical parameters for cleaning operations in enclosed spaces include: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workplace personnel</w:t>
            </w:r>
          </w:p>
          <w:p w:rsidR="00000000" w:rsidRPr="001C2D74" w:rsidP="001C2D74">
            <w:pPr>
              <w:pStyle w:val="BodyText"/>
            </w:pPr>
            <w:r w:rsidRPr="001C2D74">
              <w:t>sequence of operations</w:t>
            </w:r>
          </w:p>
          <w:p w:rsidR="00000000" w:rsidRPr="001C2D74" w:rsidP="001C2D74">
            <w:pPr>
              <w:pStyle w:val="BodyText"/>
            </w:pPr>
            <w:r w:rsidRPr="001C2D74">
              <w:t>precautions for self, others and work area</w:t>
            </w:r>
          </w:p>
          <w:p w:rsidR="00000000" w:rsidRPr="001C2D74" w:rsidP="001C2D74">
            <w:pPr>
              <w:pStyle w:val="BodyText"/>
            </w:pPr>
            <w:r w:rsidRPr="001C2D74">
              <w:t>relevan</w:t>
            </w:r>
            <w:r w:rsidRPr="001C2D74">
              <w:t>t workplace procedures to be followed</w:t>
            </w:r>
          </w:p>
          <w:p w:rsidR="00000000" w:rsidRPr="001C2D74" w:rsidP="001C2D74">
            <w:pPr>
              <w:pStyle w:val="BodyText"/>
            </w:pPr>
            <w:r w:rsidRPr="001C2D74">
              <w:t>emergency precautions, tests and procedures</w:t>
            </w:r>
          </w:p>
          <w:p w:rsidR="00000000" w:rsidP="001C2D74">
            <w:pPr>
              <w:pStyle w:val="BodyText"/>
              <w:rPr>
                <w:lang w:val="en-NZ"/>
              </w:rPr>
            </w:pPr>
            <w:r w:rsidRPr="001C2D74">
              <w:t xml:space="preserve">evacuation and rescue procedures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other workplace personnel and managers</w:t>
            </w:r>
          </w:p>
          <w:p w:rsidR="00000000" w:rsidRPr="001C2D74" w:rsidP="001C2D74">
            <w:pPr>
              <w:pStyle w:val="BodyText"/>
            </w:pPr>
            <w:r w:rsidRPr="001C2D74">
              <w:t>site visitors</w:t>
            </w:r>
          </w:p>
          <w:p w:rsidR="00000000" w:rsidRPr="001C2D74" w:rsidP="001C2D74">
            <w:pPr>
              <w:pStyle w:val="BodyText"/>
            </w:pPr>
            <w:r w:rsidRPr="001C2D74">
              <w:t>contractors</w:t>
            </w:r>
          </w:p>
          <w:p w:rsidR="00000000" w:rsidP="001C2D74">
            <w:pPr>
              <w:pStyle w:val="BodyText"/>
              <w:rPr>
                <w:lang w:val="en-NZ"/>
              </w:rPr>
            </w:pPr>
            <w:r w:rsidRPr="001C2D74">
              <w:t>official representatives includin</w:t>
            </w:r>
            <w:r w:rsidRPr="001C2D74">
              <w:t xml:space="preserve">g OH&amp;S specialists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company procedures</w:t>
            </w:r>
          </w:p>
          <w:p w:rsidR="00000000" w:rsidRPr="001C2D74" w:rsidP="001C2D74">
            <w:pPr>
              <w:pStyle w:val="BodyText"/>
            </w:pPr>
            <w:r w:rsidRPr="001C2D74">
              <w:t>enterprise procedures</w:t>
            </w:r>
          </w:p>
          <w:p w:rsidR="00000000" w:rsidRPr="001C2D74" w:rsidP="001C2D74">
            <w:pPr>
              <w:pStyle w:val="BodyText"/>
            </w:pPr>
            <w:r w:rsidRPr="001C2D74">
              <w:t>organisational procedures</w:t>
            </w:r>
          </w:p>
          <w:p w:rsidR="00000000" w:rsidP="001C2D74">
            <w:pPr>
              <w:pStyle w:val="BodyText"/>
              <w:rPr>
                <w:lang w:val="en-NZ"/>
              </w:rPr>
            </w:pPr>
            <w:r w:rsidRPr="001C2D74">
              <w:t xml:space="preserve">established procedures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Depending on workplace context, 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gloves</w:t>
            </w:r>
          </w:p>
          <w:p w:rsidR="00000000" w:rsidRPr="001C2D74" w:rsidP="001C2D74">
            <w:pPr>
              <w:pStyle w:val="BodyText"/>
            </w:pPr>
            <w:r w:rsidRPr="001C2D74">
              <w:t>safety headwear and footwear</w:t>
            </w:r>
          </w:p>
          <w:p w:rsidR="00000000" w:rsidRPr="001C2D74" w:rsidP="001C2D74">
            <w:pPr>
              <w:pStyle w:val="BodyText"/>
            </w:pPr>
            <w:r w:rsidRPr="001C2D74">
              <w:t>safety glasses</w:t>
            </w:r>
          </w:p>
          <w:p w:rsidR="00000000" w:rsidRPr="001C2D74" w:rsidP="001C2D74">
            <w:pPr>
              <w:pStyle w:val="BodyText"/>
            </w:pPr>
            <w:r w:rsidRPr="001C2D74">
              <w:t>two-way radios</w:t>
            </w:r>
          </w:p>
          <w:p w:rsidR="00000000" w:rsidRPr="001C2D74" w:rsidP="001C2D74">
            <w:pPr>
              <w:pStyle w:val="BodyText"/>
            </w:pPr>
            <w:r w:rsidRPr="001C2D74">
              <w:t>high visibility clothing</w:t>
            </w:r>
          </w:p>
          <w:p w:rsidR="00000000" w:rsidP="001C2D74">
            <w:pPr>
              <w:pStyle w:val="BodyText"/>
              <w:rPr>
                <w:lang w:val="en-NZ"/>
              </w:rPr>
            </w:pPr>
            <w:r w:rsidRPr="001C2D74">
              <w:t xml:space="preserve">breathing apparatus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 xml:space="preserve">Information documents may include: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workplace procedures and polici</w:t>
            </w:r>
            <w:r w:rsidRPr="001C2D74">
              <w:t>es for cleaning operations including those in confined spaces</w:t>
            </w:r>
          </w:p>
          <w:p w:rsidR="00000000" w:rsidRPr="001C2D74" w:rsidP="001C2D74">
            <w:pPr>
              <w:pStyle w:val="BodyText"/>
            </w:pPr>
            <w:r w:rsidRPr="001C2D74">
              <w:t>OH&amp;S and environmental protection regulations</w:t>
            </w:r>
          </w:p>
          <w:p w:rsidR="00000000" w:rsidRPr="001C2D74" w:rsidP="001C2D74">
            <w:pPr>
              <w:pStyle w:val="BodyText"/>
            </w:pPr>
            <w:r w:rsidRPr="001C2D74">
              <w:t>relevant codes of practice including the National Standards for Manual Handling and the Industry Safety Code</w:t>
            </w:r>
          </w:p>
          <w:p w:rsidR="00000000" w:rsidRPr="001C2D74" w:rsidP="001C2D74">
            <w:pPr>
              <w:pStyle w:val="BodyText"/>
            </w:pPr>
            <w:r w:rsidRPr="001C2D74">
              <w:t>material safety data sheets</w:t>
            </w:r>
          </w:p>
          <w:p w:rsidR="00000000" w:rsidRPr="001C2D74" w:rsidP="001C2D74">
            <w:pPr>
              <w:pStyle w:val="BodyText"/>
            </w:pPr>
            <w:r w:rsidRPr="001C2D74">
              <w:t>policies an</w:t>
            </w:r>
            <w:r w:rsidRPr="001C2D74">
              <w:t>d procedures for entry and work in confined spaces</w:t>
            </w:r>
          </w:p>
          <w:p w:rsidR="00000000" w:rsidRPr="001C2D74" w:rsidP="001C2D74">
            <w:pPr>
              <w:pStyle w:val="BodyText"/>
            </w:pPr>
            <w:r w:rsidRPr="001C2D74">
              <w:t>manufacturers instructions concerning the use and servicing of equipment</w:t>
            </w:r>
          </w:p>
          <w:p w:rsidR="00000000" w:rsidRPr="001C2D74" w:rsidP="001C2D74">
            <w:pPr>
              <w:pStyle w:val="BodyText"/>
            </w:pPr>
            <w:r w:rsidRPr="001C2D74">
              <w:t>supplier and/or client instructions</w:t>
            </w:r>
          </w:p>
          <w:p w:rsidR="00000000" w:rsidRPr="001C2D74" w:rsidP="001C2D74">
            <w:pPr>
              <w:pStyle w:val="BodyText"/>
            </w:pPr>
            <w:r w:rsidRPr="001C2D74">
              <w:t>emergency procedures</w:t>
            </w:r>
          </w:p>
          <w:p w:rsidR="00000000" w:rsidRPr="001C2D74" w:rsidP="001C2D74">
            <w:pPr>
              <w:pStyle w:val="BodyText"/>
            </w:pPr>
            <w:r w:rsidRPr="001C2D74">
              <w:t>goods identification numbers and codes</w:t>
            </w:r>
          </w:p>
          <w:p w:rsidR="00000000" w:rsidRPr="001C2D74" w:rsidP="001C2D74">
            <w:pPr>
              <w:pStyle w:val="BodyText"/>
            </w:pPr>
            <w:r w:rsidRPr="001C2D74">
              <w:t>manifests, bar codes, good</w:t>
            </w:r>
            <w:r w:rsidRPr="001C2D74">
              <w:t>s and container identification</w:t>
            </w:r>
          </w:p>
          <w:p w:rsidR="00000000" w:rsidRPr="001C2D74" w:rsidP="001C2D74">
            <w:pPr>
              <w:pStyle w:val="BodyText"/>
            </w:pPr>
            <w:r w:rsidRPr="001C2D74">
              <w:t>award, enterprise bargaining agreement, other industrial arrangements</w:t>
            </w:r>
          </w:p>
          <w:p w:rsidR="00000000" w:rsidRPr="001C2D74" w:rsidP="001C2D74">
            <w:pPr>
              <w:pStyle w:val="BodyText"/>
            </w:pPr>
            <w:r w:rsidRPr="001C2D74">
              <w:t>standards and certification requirements, specifically Australian Standard AS 2865 - Safe Working in a Confined Space</w:t>
            </w:r>
          </w:p>
          <w:p w:rsidR="00000000" w:rsidP="001C2D74">
            <w:pPr>
              <w:pStyle w:val="BodyText"/>
              <w:rPr>
                <w:lang w:val="en-NZ"/>
              </w:rPr>
            </w:pPr>
            <w:r w:rsidRPr="001C2D74">
              <w:t xml:space="preserve">quality assurance procedures </w:t>
            </w:r>
          </w:p>
        </w:tc>
      </w:tr>
      <w:tr w:rsidTr="005A34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2D74">
            <w:pPr>
              <w:pStyle w:val="BodyText"/>
              <w:rPr>
                <w:lang w:val="en-NZ"/>
              </w:rPr>
            </w:pPr>
            <w:r w:rsidRPr="001C2D74">
              <w:t>Applic</w:t>
            </w:r>
            <w:r w:rsidRPr="001C2D74">
              <w:t xml:space="preserve">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1C2D74" w:rsidP="001C2D74">
            <w:pPr>
              <w:pStyle w:val="BodyText"/>
            </w:pPr>
            <w:r w:rsidRPr="001C2D74">
              <w:t>relevant state/territory OH&amp;S legislation and regulations pertaining to cleaning operations and working in confined spaces</w:t>
            </w:r>
          </w:p>
          <w:p w:rsidR="00000000" w:rsidRPr="001C2D74" w:rsidP="001C2D74">
            <w:pPr>
              <w:pStyle w:val="BodyText"/>
            </w:pPr>
            <w:r w:rsidRPr="001C2D74">
              <w:t>relevant state/territory environmental protection legislation</w:t>
            </w:r>
          </w:p>
          <w:p w:rsidR="00000000" w:rsidRPr="001C2D74" w:rsidP="001C2D74">
            <w:pPr>
              <w:pStyle w:val="BodyText"/>
            </w:pPr>
            <w:r w:rsidRPr="001C2D74">
              <w:t>relevant Australian stan</w:t>
            </w:r>
            <w:r w:rsidRPr="001C2D74">
              <w:t>dards and certification including Australian Standard AS 2865 - Safe Working in a Confined Space Code</w:t>
            </w:r>
          </w:p>
          <w:p w:rsidR="00000000" w:rsidRPr="001C2D74" w:rsidP="001C2D74">
            <w:pPr>
              <w:pStyle w:val="BodyText"/>
            </w:pPr>
            <w:r w:rsidRPr="001C2D74">
              <w:t>workplace relations regulations</w:t>
            </w:r>
          </w:p>
          <w:p w:rsidR="00000000" w:rsidRPr="001C2D74" w:rsidP="001C2D74">
            <w:pPr>
              <w:pStyle w:val="BodyText"/>
            </w:pPr>
            <w:r w:rsidRPr="001C2D74">
              <w:t xml:space="preserve">dangerous and hazardous goods regulations </w:t>
            </w:r>
          </w:p>
        </w:tc>
      </w:tr>
    </w:tbl>
    <w:p w:rsidR="00000000" w:rsidRPr="001C2D74" w:rsidP="001C2D74">
      <w:pPr>
        <w:pStyle w:val="BodyText"/>
      </w:pPr>
    </w:p>
    <w:p w:rsidR="00000000" w:rsidRPr="001C2D74" w:rsidP="001C2D74">
      <w:pPr>
        <w:pStyle w:val="AllowPageBreak"/>
      </w:pPr>
    </w:p>
    <w:p w:rsidR="00000000" w:rsidRPr="001C2D74" w:rsidP="001C2D74">
      <w:pPr>
        <w:pStyle w:val="Heading1"/>
      </w:pPr>
      <w:bookmarkStart w:id="12" w:name="O_316631"/>
      <w:bookmarkEnd w:id="12"/>
      <w:r w:rsidRPr="001C2D74">
        <w:t>Unit Sector(s)</w:t>
      </w:r>
    </w:p>
    <w:p w:rsidR="00000000" w:rsidRPr="001C2D74" w:rsidP="001C2D74">
      <w:pPr>
        <w:pStyle w:val="BodyText"/>
      </w:pPr>
      <w:r w:rsidRPr="001C2D74">
        <w:t>Not applicable.</w:t>
      </w:r>
    </w:p>
    <w:p w:rsidR="00000000" w:rsidRPr="001C2D74" w:rsidP="001C2D74">
      <w:pPr>
        <w:pStyle w:val="AllowPageBreak"/>
      </w:pPr>
    </w:p>
    <w:p w:rsidR="00000000" w:rsidRPr="001C2D74" w:rsidP="001C2D74">
      <w:pPr>
        <w:pStyle w:val="Heading1"/>
      </w:pPr>
      <w:bookmarkStart w:id="13" w:name="O_316630"/>
      <w:bookmarkEnd w:id="13"/>
      <w:r w:rsidRPr="001C2D74">
        <w:t>Competency F</w:t>
      </w:r>
      <w:r w:rsidRPr="001C2D74">
        <w:t xml:space="preserve">ield </w:t>
      </w:r>
    </w:p>
    <w:p w:rsidR="00000000" w:rsidRPr="001C2D74" w:rsidP="001C2D74">
      <w:pPr>
        <w:pStyle w:val="BodyText"/>
      </w:pPr>
      <w:r w:rsidRPr="001C2D74">
        <w:t>F - Safety Management</w:t>
      </w:r>
    </w:p>
    <w:p w:rsidR="00000000" w:rsidRPr="001C2D74" w:rsidP="001C2D74"/>
    <w:sectPr w:rsidSect="001C2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4CA" w:rsidP="005A3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CA" w:rsidP="001C2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34CA" w:rsidP="001C2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A34CA" w:rsidP="001C2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4CA" w:rsidP="005A34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CA" w:rsidP="001C2D74">
    <w:pPr>
      <w:pStyle w:val="Header"/>
      <w:framePr w:wrap="around"/>
    </w:pPr>
    <w:r>
      <w:fldChar w:fldCharType="begin"/>
    </w:r>
    <w:r>
      <w:instrText xml:space="preserve"> TITLE   \* MERGEFORMAT </w:instrText>
    </w:r>
    <w:r>
      <w:fldChar w:fldCharType="separate"/>
    </w:r>
    <w:r>
      <w:t>TLIF907C Conduct cleaning operations in enclosed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34CA" w:rsidP="001C2D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D74"/>
    <w:pPr>
      <w:spacing w:before="360" w:after="60"/>
      <w:outlineLvl w:val="0"/>
    </w:pPr>
    <w:rPr>
      <w:sz w:val="32"/>
    </w:rPr>
  </w:style>
  <w:style w:type="paragraph" w:styleId="Heading2">
    <w:name w:val="heading 2"/>
    <w:basedOn w:val="HeadingBase"/>
    <w:next w:val="BodyText"/>
    <w:link w:val="Heading2Char"/>
    <w:qFormat/>
    <w:rsid w:val="001C2D74"/>
    <w:pPr>
      <w:keepLines/>
      <w:spacing w:before="240" w:after="120"/>
      <w:outlineLvl w:val="1"/>
    </w:pPr>
    <w:rPr>
      <w:sz w:val="28"/>
      <w:szCs w:val="40"/>
    </w:rPr>
  </w:style>
  <w:style w:type="paragraph" w:styleId="Heading3">
    <w:name w:val="heading 3"/>
    <w:basedOn w:val="HeadingBase"/>
    <w:next w:val="BodyText"/>
    <w:link w:val="Heading3Char"/>
    <w:qFormat/>
    <w:rsid w:val="001C2D74"/>
    <w:pPr>
      <w:spacing w:before="180" w:after="120"/>
      <w:outlineLvl w:val="2"/>
    </w:pPr>
    <w:rPr>
      <w:spacing w:val="-10"/>
      <w:kern w:val="32"/>
    </w:rPr>
  </w:style>
  <w:style w:type="paragraph" w:styleId="Heading4">
    <w:name w:val="heading 4"/>
    <w:basedOn w:val="HeadingBase"/>
    <w:next w:val="BodyText"/>
    <w:link w:val="Heading4Char"/>
    <w:qFormat/>
    <w:rsid w:val="001C2D74"/>
    <w:pPr>
      <w:spacing w:before="160" w:after="120"/>
      <w:outlineLvl w:val="3"/>
    </w:pPr>
    <w:rPr>
      <w:sz w:val="22"/>
    </w:rPr>
  </w:style>
  <w:style w:type="paragraph" w:styleId="Heading5">
    <w:name w:val="heading 5"/>
    <w:basedOn w:val="HeadingBase"/>
    <w:next w:val="Normal"/>
    <w:link w:val="Heading5Char"/>
    <w:qFormat/>
    <w:rsid w:val="001C2D74"/>
    <w:pPr>
      <w:spacing w:before="80"/>
      <w:outlineLvl w:val="4"/>
    </w:pPr>
    <w:rPr>
      <w:color w:val="918585"/>
      <w:sz w:val="20"/>
    </w:rPr>
  </w:style>
  <w:style w:type="paragraph" w:styleId="Heading6">
    <w:name w:val="heading 6"/>
    <w:basedOn w:val="HeadingBase"/>
    <w:next w:val="Normal"/>
    <w:link w:val="Heading6Char"/>
    <w:qFormat/>
    <w:rsid w:val="001C2D74"/>
    <w:pPr>
      <w:spacing w:before="60"/>
      <w:outlineLvl w:val="5"/>
    </w:pPr>
    <w:rPr>
      <w:color w:val="918585"/>
      <w:sz w:val="20"/>
    </w:rPr>
  </w:style>
  <w:style w:type="paragraph" w:styleId="Heading7">
    <w:name w:val="heading 7"/>
    <w:basedOn w:val="Normal"/>
    <w:next w:val="Normal"/>
    <w:link w:val="Heading7Char"/>
    <w:qFormat/>
    <w:rsid w:val="001C2D74"/>
    <w:pPr>
      <w:ind w:left="720"/>
      <w:outlineLvl w:val="6"/>
    </w:pPr>
    <w:rPr>
      <w:i/>
    </w:rPr>
  </w:style>
  <w:style w:type="paragraph" w:styleId="Heading8">
    <w:name w:val="heading 8"/>
    <w:basedOn w:val="Normal"/>
    <w:next w:val="Normal"/>
    <w:link w:val="Heading8Char"/>
    <w:qFormat/>
    <w:rsid w:val="001C2D74"/>
    <w:pPr>
      <w:ind w:left="720"/>
      <w:outlineLvl w:val="7"/>
    </w:pPr>
    <w:rPr>
      <w:i/>
    </w:rPr>
  </w:style>
  <w:style w:type="paragraph" w:styleId="Heading9">
    <w:name w:val="heading 9"/>
    <w:basedOn w:val="Normal"/>
    <w:next w:val="Normal"/>
    <w:link w:val="Heading9Char"/>
    <w:qFormat/>
    <w:rsid w:val="001C2D74"/>
    <w:pPr>
      <w:ind w:left="720"/>
      <w:outlineLvl w:val="8"/>
    </w:pPr>
    <w:rPr>
      <w:i/>
    </w:rPr>
  </w:style>
  <w:style w:type="character" w:default="1" w:styleId="DefaultParagraphFont">
    <w:name w:val="Default Paragraph Font"/>
    <w:uiPriority w:val="1"/>
    <w:unhideWhenUsed/>
    <w:rsid w:val="001C2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D74"/>
  </w:style>
  <w:style w:type="character" w:customStyle="1" w:styleId="Heading1Char">
    <w:name w:val="Heading 1 Char"/>
    <w:basedOn w:val="DefaultParagraphFont"/>
    <w:link w:val="Heading1"/>
    <w:rsid w:val="001C2D74"/>
    <w:rPr>
      <w:rFonts w:ascii="Times New Roman" w:eastAsia="Times New Roman" w:hAnsi="Times New Roman" w:cs="Times New Roman"/>
      <w:b/>
      <w:sz w:val="32"/>
      <w:szCs w:val="20"/>
      <w:lang w:eastAsia="en-US"/>
    </w:rPr>
  </w:style>
  <w:style w:type="paragraph" w:styleId="BodyText">
    <w:name w:val="Body Text"/>
    <w:basedOn w:val="Normal"/>
    <w:link w:val="BodyTextChar"/>
    <w:rsid w:val="001C2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D74"/>
    <w:rPr>
      <w:rFonts w:ascii="Times New Roman" w:eastAsia="Times New Roman" w:hAnsi="Times New Roman" w:cs="Times New Roman"/>
      <w:sz w:val="24"/>
      <w:lang w:val="en-US" w:eastAsia="en-US"/>
    </w:rPr>
  </w:style>
  <w:style w:type="paragraph" w:styleId="Footer">
    <w:name w:val="footer"/>
    <w:basedOn w:val="Normal"/>
    <w:link w:val="FooterChar"/>
    <w:rsid w:val="001C2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D7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C2D74"/>
    <w:rPr>
      <w:b/>
      <w:spacing w:val="0"/>
    </w:rPr>
  </w:style>
  <w:style w:type="paragraph" w:styleId="Header">
    <w:name w:val="header"/>
    <w:basedOn w:val="Normal"/>
    <w:link w:val="HeaderChar"/>
    <w:rsid w:val="001C2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D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D74"/>
    <w:pPr>
      <w:spacing w:before="240" w:after="120"/>
      <w:outlineLvl w:val="0"/>
    </w:pPr>
    <w:rPr>
      <w:rFonts w:ascii="Times New Roman" w:hAnsi="Times New Roman"/>
      <w:b/>
      <w:sz w:val="28"/>
    </w:rPr>
  </w:style>
  <w:style w:type="paragraph" w:customStyle="1" w:styleId="AllowPageBreak">
    <w:name w:val="AllowPageBreak"/>
    <w:rsid w:val="001C2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D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D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D74"/>
    <w:rPr>
      <w:rFonts w:ascii="Courier New" w:eastAsia="Times New Roman" w:hAnsi="Courier New" w:cs="Times New Roman"/>
      <w:i/>
      <w:szCs w:val="20"/>
      <w:lang w:val="en-US" w:eastAsia="en-US"/>
    </w:rPr>
  </w:style>
  <w:style w:type="paragraph" w:customStyle="1" w:styleId="HeadingBase">
    <w:name w:val="Heading Base"/>
    <w:rsid w:val="001C2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D74"/>
    <w:pPr>
      <w:tabs>
        <w:tab w:val="right" w:leader="dot" w:pos="9072"/>
      </w:tabs>
      <w:ind w:left="567"/>
    </w:pPr>
    <w:rPr>
      <w:szCs w:val="22"/>
    </w:rPr>
  </w:style>
  <w:style w:type="paragraph" w:customStyle="1" w:styleId="TOCBase">
    <w:name w:val="TOC Base"/>
    <w:rsid w:val="001C2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D74"/>
    <w:pPr>
      <w:tabs>
        <w:tab w:val="right" w:leader="dot" w:pos="9072"/>
      </w:tabs>
      <w:spacing w:before="40" w:after="40"/>
      <w:ind w:left="284"/>
    </w:pPr>
    <w:rPr>
      <w:rFonts w:ascii="Times New Roman" w:hAnsi="Times New Roman"/>
    </w:rPr>
  </w:style>
  <w:style w:type="paragraph" w:styleId="TOC1">
    <w:name w:val="toc 1"/>
    <w:basedOn w:val="TOCBase"/>
    <w:next w:val="Normal"/>
    <w:rsid w:val="001C2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D74"/>
    <w:pPr>
      <w:spacing w:before="5040"/>
      <w:jc w:val="center"/>
    </w:pPr>
    <w:rPr>
      <w:sz w:val="48"/>
      <w:szCs w:val="72"/>
      <w:lang w:val="en-US"/>
    </w:rPr>
  </w:style>
  <w:style w:type="character" w:customStyle="1" w:styleId="TitleChar">
    <w:name w:val="Title Char"/>
    <w:basedOn w:val="DefaultParagraphFont"/>
    <w:link w:val="Title"/>
    <w:rsid w:val="001C2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D74"/>
    <w:pPr>
      <w:tabs>
        <w:tab w:val="left" w:pos="3600"/>
        <w:tab w:val="left" w:pos="3958"/>
      </w:tabs>
    </w:pPr>
  </w:style>
  <w:style w:type="paragraph" w:styleId="List">
    <w:name w:val="List"/>
    <w:basedOn w:val="BodyText"/>
    <w:next w:val="BodyText"/>
    <w:rsid w:val="001C2D74"/>
    <w:pPr>
      <w:tabs>
        <w:tab w:val="left" w:pos="340"/>
      </w:tabs>
      <w:spacing w:before="60" w:after="60"/>
      <w:ind w:left="340" w:hanging="340"/>
    </w:pPr>
  </w:style>
  <w:style w:type="paragraph" w:styleId="ListBullet">
    <w:name w:val="List Bullet"/>
    <w:basedOn w:val="List"/>
    <w:rsid w:val="001C2D74"/>
    <w:pPr>
      <w:numPr>
        <w:numId w:val="11"/>
      </w:numPr>
      <w:tabs>
        <w:tab w:val="clear" w:pos="340"/>
      </w:tabs>
      <w:spacing w:before="40" w:after="40"/>
    </w:pPr>
  </w:style>
  <w:style w:type="paragraph" w:customStyle="1" w:styleId="Note">
    <w:name w:val="Note"/>
    <w:basedOn w:val="BodyText"/>
    <w:rsid w:val="001C2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D74"/>
    <w:pPr>
      <w:framePr w:wrap="auto" w:hAnchor="text" w:y="6049"/>
    </w:pPr>
    <w:rPr>
      <w:color w:val="000000"/>
      <w:sz w:val="40"/>
    </w:rPr>
  </w:style>
  <w:style w:type="paragraph" w:customStyle="1" w:styleId="TOCTitle">
    <w:name w:val="TOCTitle"/>
    <w:basedOn w:val="Heading1"/>
    <w:rsid w:val="001C2D74"/>
    <w:pPr>
      <w:spacing w:after="240"/>
      <w:jc w:val="center"/>
      <w:outlineLvl w:val="9"/>
    </w:pPr>
    <w:rPr>
      <w:caps/>
    </w:rPr>
  </w:style>
  <w:style w:type="paragraph" w:customStyle="1" w:styleId="Version">
    <w:name w:val="Version"/>
    <w:rsid w:val="001C2D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D74"/>
    <w:pPr>
      <w:numPr>
        <w:numId w:val="12"/>
      </w:numPr>
      <w:tabs>
        <w:tab w:val="clear" w:pos="680"/>
      </w:tabs>
    </w:pPr>
  </w:style>
  <w:style w:type="paragraph" w:styleId="Index1">
    <w:name w:val="index 1"/>
    <w:basedOn w:val="Normal"/>
    <w:next w:val="Normal"/>
    <w:semiHidden/>
    <w:rsid w:val="001C2D74"/>
    <w:pPr>
      <w:keepNext w:val="0"/>
      <w:tabs>
        <w:tab w:val="right" w:pos="4176"/>
      </w:tabs>
      <w:ind w:left="198" w:hanging="198"/>
    </w:pPr>
    <w:rPr>
      <w:rFonts w:ascii="Garamond" w:hAnsi="Garamond"/>
    </w:rPr>
  </w:style>
  <w:style w:type="paragraph" w:styleId="IndexHeading">
    <w:name w:val="index heading"/>
    <w:basedOn w:val="Normal"/>
    <w:next w:val="Index1"/>
    <w:semiHidden/>
    <w:rsid w:val="001C2D74"/>
    <w:pPr>
      <w:spacing w:before="120" w:after="120"/>
    </w:pPr>
    <w:rPr>
      <w:rFonts w:ascii="Arial" w:hAnsi="Arial"/>
      <w:b/>
      <w:color w:val="918585"/>
      <w:sz w:val="24"/>
    </w:rPr>
  </w:style>
  <w:style w:type="paragraph" w:customStyle="1" w:styleId="Chapter">
    <w:name w:val="Chapter"/>
    <w:basedOn w:val="Normal"/>
    <w:rsid w:val="001C2D74"/>
    <w:pPr>
      <w:spacing w:before="240"/>
    </w:pPr>
    <w:rPr>
      <w:rFonts w:ascii="Times New Roman" w:hAnsi="Times New Roman"/>
      <w:smallCaps/>
      <w:spacing w:val="80"/>
      <w:sz w:val="28"/>
    </w:rPr>
  </w:style>
  <w:style w:type="paragraph" w:customStyle="1" w:styleId="InChapter">
    <w:name w:val="InChapter"/>
    <w:basedOn w:val="Heading3"/>
    <w:rsid w:val="001C2D74"/>
    <w:pPr>
      <w:spacing w:after="240"/>
      <w:outlineLvl w:val="9"/>
    </w:pPr>
    <w:rPr>
      <w:noProof/>
    </w:rPr>
  </w:style>
  <w:style w:type="paragraph" w:styleId="Index2">
    <w:name w:val="index 2"/>
    <w:basedOn w:val="Normal"/>
    <w:next w:val="Normal"/>
    <w:semiHidden/>
    <w:rsid w:val="001C2D74"/>
    <w:pPr>
      <w:tabs>
        <w:tab w:val="right" w:pos="4176"/>
      </w:tabs>
      <w:ind w:left="568" w:hanging="284"/>
    </w:pPr>
    <w:rPr>
      <w:rFonts w:ascii="Garamond" w:hAnsi="Garamond"/>
    </w:rPr>
  </w:style>
  <w:style w:type="paragraph" w:customStyle="1" w:styleId="Byline">
    <w:name w:val="Byline"/>
    <w:rsid w:val="001C2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D74"/>
    <w:pPr>
      <w:tabs>
        <w:tab w:val="clear" w:pos="3600"/>
        <w:tab w:val="clear" w:pos="3958"/>
      </w:tabs>
      <w:jc w:val="right"/>
    </w:pPr>
  </w:style>
  <w:style w:type="character" w:styleId="Emphasis">
    <w:name w:val="Emphasis"/>
    <w:basedOn w:val="DefaultParagraphFont"/>
    <w:qFormat/>
    <w:rsid w:val="001C2D74"/>
    <w:rPr>
      <w:i/>
    </w:rPr>
  </w:style>
  <w:style w:type="paragraph" w:styleId="Caption">
    <w:name w:val="caption"/>
    <w:basedOn w:val="BodyText"/>
    <w:next w:val="Normal"/>
    <w:qFormat/>
    <w:rsid w:val="001C2D74"/>
    <w:pPr>
      <w:framePr w:w="2268" w:hSpace="181" w:vSpace="181" w:wrap="around" w:vAnchor="text" w:hAnchor="page" w:x="1135" w:y="285" w:anchorLock="1"/>
    </w:pPr>
    <w:rPr>
      <w:i/>
    </w:rPr>
  </w:style>
  <w:style w:type="paragraph" w:customStyle="1" w:styleId="MiniTOCTitle">
    <w:name w:val="MiniTOCTitle"/>
    <w:basedOn w:val="Heading4"/>
    <w:rsid w:val="001C2D74"/>
    <w:pPr>
      <w:spacing w:before="240"/>
      <w:outlineLvl w:val="9"/>
    </w:pPr>
    <w:rPr>
      <w:noProof/>
      <w:sz w:val="24"/>
    </w:rPr>
  </w:style>
  <w:style w:type="paragraph" w:customStyle="1" w:styleId="MiniTOCItem">
    <w:name w:val="MiniTOCItem"/>
    <w:basedOn w:val="ListBullet"/>
    <w:rsid w:val="001C2D74"/>
    <w:pPr>
      <w:numPr>
        <w:numId w:val="0"/>
      </w:numPr>
      <w:tabs>
        <w:tab w:val="right" w:leader="dot" w:pos="6521"/>
      </w:tabs>
      <w:spacing w:before="0" w:after="0"/>
    </w:pPr>
  </w:style>
  <w:style w:type="paragraph" w:customStyle="1" w:styleId="TOFTitle">
    <w:name w:val="TOFTitle"/>
    <w:basedOn w:val="TOCTitle"/>
    <w:rsid w:val="001C2D74"/>
  </w:style>
  <w:style w:type="paragraph" w:styleId="TableofFigures">
    <w:name w:val="table of figures"/>
    <w:basedOn w:val="Normal"/>
    <w:next w:val="Normal"/>
    <w:semiHidden/>
    <w:rsid w:val="001C2D74"/>
    <w:pPr>
      <w:tabs>
        <w:tab w:val="right" w:leader="dot" w:pos="9072"/>
      </w:tabs>
      <w:ind w:left="970" w:hanging="403"/>
    </w:pPr>
    <w:rPr>
      <w:rFonts w:ascii="Times New Roman" w:hAnsi="Times New Roman"/>
      <w:b/>
    </w:rPr>
  </w:style>
  <w:style w:type="paragraph" w:styleId="ListNumber">
    <w:name w:val="List Number"/>
    <w:basedOn w:val="List"/>
    <w:rsid w:val="001C2D74"/>
    <w:pPr>
      <w:numPr>
        <w:numId w:val="9"/>
      </w:numPr>
    </w:pPr>
  </w:style>
  <w:style w:type="character" w:customStyle="1" w:styleId="WingdingSymbols">
    <w:name w:val="Wingding Symbols"/>
    <w:rsid w:val="001C2D74"/>
    <w:rPr>
      <w:rFonts w:ascii="Wingdings" w:hAnsi="Wingdings"/>
    </w:rPr>
  </w:style>
  <w:style w:type="paragraph" w:customStyle="1" w:styleId="TableHeading">
    <w:name w:val="Table Heading"/>
    <w:basedOn w:val="HeadingBase"/>
    <w:rsid w:val="001C2D74"/>
    <w:pPr>
      <w:keepLines/>
      <w:pBdr>
        <w:bottom w:val="single" w:sz="6" w:space="1" w:color="918585"/>
      </w:pBdr>
      <w:spacing w:before="240"/>
    </w:pPr>
  </w:style>
  <w:style w:type="character" w:customStyle="1" w:styleId="HotSpot">
    <w:name w:val="HotSpot"/>
    <w:rsid w:val="001C2D74"/>
    <w:rPr>
      <w:color w:val="0033CC"/>
      <w:u w:val="none"/>
    </w:rPr>
  </w:style>
  <w:style w:type="paragraph" w:customStyle="1" w:styleId="BodyTextRight">
    <w:name w:val="Body Text Right"/>
    <w:basedOn w:val="BodyText"/>
    <w:rsid w:val="001C2D74"/>
    <w:pPr>
      <w:spacing w:before="0" w:after="0"/>
      <w:jc w:val="right"/>
    </w:pPr>
  </w:style>
  <w:style w:type="paragraph" w:styleId="Index3">
    <w:name w:val="index 3"/>
    <w:basedOn w:val="ListNumber2"/>
    <w:next w:val="Normal"/>
    <w:semiHidden/>
    <w:rsid w:val="001C2D74"/>
    <w:pPr>
      <w:numPr>
        <w:numId w:val="0"/>
      </w:numPr>
      <w:tabs>
        <w:tab w:val="right" w:leader="dot" w:pos="4176"/>
      </w:tabs>
    </w:pPr>
  </w:style>
  <w:style w:type="paragraph" w:styleId="ListNumber2">
    <w:name w:val="List Number 2"/>
    <w:basedOn w:val="List2"/>
    <w:rsid w:val="001C2D74"/>
    <w:pPr>
      <w:numPr>
        <w:numId w:val="8"/>
      </w:numPr>
      <w:tabs>
        <w:tab w:val="clear" w:pos="1060"/>
      </w:tabs>
    </w:pPr>
  </w:style>
  <w:style w:type="paragraph" w:customStyle="1" w:styleId="MarginNote">
    <w:name w:val="Margin Note"/>
    <w:basedOn w:val="BodyText"/>
    <w:rsid w:val="001C2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D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D74"/>
    <w:rPr>
      <w:sz w:val="32"/>
    </w:rPr>
  </w:style>
  <w:style w:type="paragraph" w:customStyle="1" w:styleId="HeadingProcedure">
    <w:name w:val="Heading Procedure"/>
    <w:basedOn w:val="HeadingBase"/>
    <w:next w:val="Normal"/>
    <w:rsid w:val="001C2D74"/>
    <w:pPr>
      <w:tabs>
        <w:tab w:val="left" w:pos="0"/>
      </w:tabs>
      <w:spacing w:before="120" w:after="60"/>
    </w:pPr>
    <w:rPr>
      <w:i/>
      <w:color w:val="918585"/>
      <w:sz w:val="22"/>
    </w:rPr>
  </w:style>
  <w:style w:type="paragraph" w:customStyle="1" w:styleId="TableBodyText">
    <w:name w:val="Table Body Text"/>
    <w:basedOn w:val="BodyText"/>
    <w:rsid w:val="001C2D74"/>
    <w:pPr>
      <w:spacing w:before="60" w:after="60"/>
    </w:pPr>
  </w:style>
  <w:style w:type="paragraph" w:styleId="ListContinue">
    <w:name w:val="List Continue"/>
    <w:basedOn w:val="List"/>
    <w:rsid w:val="001C2D74"/>
    <w:pPr>
      <w:ind w:firstLine="0"/>
    </w:pPr>
  </w:style>
  <w:style w:type="paragraph" w:customStyle="1" w:styleId="ListNote">
    <w:name w:val="List Note"/>
    <w:basedOn w:val="List"/>
    <w:rsid w:val="001C2D74"/>
    <w:pPr>
      <w:pBdr>
        <w:top w:val="single" w:sz="6" w:space="2" w:color="918585"/>
        <w:bottom w:val="single" w:sz="6" w:space="2" w:color="918585"/>
      </w:pBdr>
      <w:tabs>
        <w:tab w:val="left" w:pos="1021"/>
      </w:tabs>
      <w:ind w:firstLine="0"/>
    </w:pPr>
  </w:style>
  <w:style w:type="paragraph" w:customStyle="1" w:styleId="Warning">
    <w:name w:val="Warning"/>
    <w:basedOn w:val="BodyText"/>
    <w:rsid w:val="001C2D74"/>
    <w:pPr>
      <w:shd w:val="clear" w:color="auto" w:fill="D9D9D9"/>
      <w:tabs>
        <w:tab w:val="left" w:pos="992"/>
      </w:tabs>
      <w:ind w:left="119" w:right="119"/>
    </w:pPr>
    <w:rPr>
      <w:sz w:val="20"/>
    </w:rPr>
  </w:style>
  <w:style w:type="paragraph" w:customStyle="1" w:styleId="MarginIcons">
    <w:name w:val="Margin Icons"/>
    <w:basedOn w:val="BodyText"/>
    <w:rsid w:val="001C2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D74"/>
    <w:rPr>
      <w:rFonts w:ascii="Courier New" w:hAnsi="Courier New"/>
    </w:rPr>
  </w:style>
  <w:style w:type="paragraph" w:customStyle="1" w:styleId="NoteBullet">
    <w:name w:val="Note Bullet"/>
    <w:basedOn w:val="Note"/>
    <w:rsid w:val="001C2D74"/>
    <w:pPr>
      <w:tabs>
        <w:tab w:val="clear" w:pos="680"/>
      </w:tabs>
      <w:spacing w:before="60" w:after="60"/>
    </w:pPr>
  </w:style>
  <w:style w:type="paragraph" w:customStyle="1" w:styleId="SubHeading2">
    <w:name w:val="SubHeading2"/>
    <w:basedOn w:val="HeadingBase"/>
    <w:rsid w:val="001C2D74"/>
    <w:pPr>
      <w:spacing w:before="240" w:after="60"/>
    </w:pPr>
    <w:rPr>
      <w:sz w:val="20"/>
    </w:rPr>
  </w:style>
  <w:style w:type="paragraph" w:customStyle="1" w:styleId="SubHeading1">
    <w:name w:val="SubHeading1"/>
    <w:basedOn w:val="HeadingBase"/>
    <w:rsid w:val="001C2D74"/>
    <w:pPr>
      <w:spacing w:before="240" w:after="60"/>
    </w:pPr>
    <w:rPr>
      <w:color w:val="918585"/>
      <w:sz w:val="22"/>
    </w:rPr>
  </w:style>
  <w:style w:type="paragraph" w:customStyle="1" w:styleId="SideHeading">
    <w:name w:val="Side Heading"/>
    <w:basedOn w:val="HeadingBase"/>
    <w:rsid w:val="001C2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D74"/>
    <w:pPr>
      <w:numPr>
        <w:numId w:val="10"/>
      </w:numPr>
    </w:pPr>
  </w:style>
  <w:style w:type="paragraph" w:styleId="PlainText">
    <w:name w:val="Plain Text"/>
    <w:basedOn w:val="Normal"/>
    <w:link w:val="PlainTextChar"/>
    <w:rsid w:val="001C2D74"/>
    <w:rPr>
      <w:sz w:val="20"/>
    </w:rPr>
  </w:style>
  <w:style w:type="character" w:customStyle="1" w:styleId="PlainTextChar">
    <w:name w:val="Plain Text Char"/>
    <w:basedOn w:val="DefaultParagraphFont"/>
    <w:link w:val="PlainText"/>
    <w:rsid w:val="001C2D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D74"/>
    <w:rPr>
      <w:b/>
      <w:smallCaps/>
    </w:rPr>
  </w:style>
  <w:style w:type="paragraph" w:customStyle="1" w:styleId="TableListNumber">
    <w:name w:val="Table List Number"/>
    <w:basedOn w:val="ListNumber"/>
    <w:rsid w:val="001C2D74"/>
    <w:pPr>
      <w:numPr>
        <w:numId w:val="0"/>
      </w:numPr>
    </w:pPr>
  </w:style>
  <w:style w:type="paragraph" w:styleId="TOC4">
    <w:name w:val="toc 4"/>
    <w:basedOn w:val="TOCBase"/>
    <w:next w:val="Normal"/>
    <w:semiHidden/>
    <w:rsid w:val="001C2D74"/>
    <w:pPr>
      <w:tabs>
        <w:tab w:val="right" w:leader="dot" w:pos="9071"/>
      </w:tabs>
      <w:ind w:left="1701"/>
    </w:pPr>
  </w:style>
  <w:style w:type="paragraph" w:customStyle="1" w:styleId="ListAlpha">
    <w:name w:val="List Alpha"/>
    <w:basedOn w:val="List"/>
    <w:rsid w:val="001C2D74"/>
    <w:pPr>
      <w:numPr>
        <w:numId w:val="7"/>
      </w:numPr>
    </w:pPr>
  </w:style>
  <w:style w:type="paragraph" w:customStyle="1" w:styleId="ListAlpha2">
    <w:name w:val="List Alpha 2"/>
    <w:basedOn w:val="List2"/>
    <w:rsid w:val="001C2D74"/>
    <w:pPr>
      <w:numPr>
        <w:numId w:val="6"/>
      </w:numPr>
    </w:pPr>
  </w:style>
  <w:style w:type="paragraph" w:styleId="List2">
    <w:name w:val="List 2"/>
    <w:basedOn w:val="BodyText"/>
    <w:rsid w:val="001C2D74"/>
    <w:pPr>
      <w:tabs>
        <w:tab w:val="left" w:pos="680"/>
      </w:tabs>
      <w:spacing w:before="60" w:after="60"/>
      <w:ind w:left="680" w:hanging="340"/>
    </w:pPr>
  </w:style>
  <w:style w:type="paragraph" w:styleId="List3">
    <w:name w:val="List 3"/>
    <w:basedOn w:val="BodyText"/>
    <w:rsid w:val="001C2D74"/>
    <w:pPr>
      <w:tabs>
        <w:tab w:val="left" w:pos="1021"/>
      </w:tabs>
      <w:spacing w:before="60" w:after="60"/>
      <w:ind w:left="1020" w:hanging="340"/>
    </w:pPr>
  </w:style>
  <w:style w:type="paragraph" w:styleId="List4">
    <w:name w:val="List 4"/>
    <w:basedOn w:val="BodyText"/>
    <w:rsid w:val="001C2D74"/>
    <w:pPr>
      <w:tabs>
        <w:tab w:val="left" w:pos="1361"/>
      </w:tabs>
      <w:spacing w:before="60" w:after="60"/>
      <w:ind w:left="1361" w:hanging="340"/>
    </w:pPr>
  </w:style>
  <w:style w:type="paragraph" w:styleId="List5">
    <w:name w:val="List 5"/>
    <w:basedOn w:val="BodyText"/>
    <w:rsid w:val="001C2D74"/>
    <w:pPr>
      <w:tabs>
        <w:tab w:val="left" w:pos="1701"/>
      </w:tabs>
      <w:spacing w:before="60" w:after="60"/>
      <w:ind w:left="1701" w:hanging="340"/>
    </w:pPr>
  </w:style>
  <w:style w:type="paragraph" w:styleId="ListBullet3">
    <w:name w:val="List Bullet 3"/>
    <w:basedOn w:val="List3"/>
    <w:rsid w:val="001C2D74"/>
    <w:pPr>
      <w:numPr>
        <w:numId w:val="13"/>
      </w:numPr>
      <w:tabs>
        <w:tab w:val="clear" w:pos="1021"/>
      </w:tabs>
      <w:ind w:left="1037" w:hanging="357"/>
    </w:pPr>
  </w:style>
  <w:style w:type="paragraph" w:styleId="ListBullet4">
    <w:name w:val="List Bullet 4"/>
    <w:basedOn w:val="List4"/>
    <w:rsid w:val="001C2D74"/>
    <w:pPr>
      <w:numPr>
        <w:numId w:val="1"/>
      </w:numPr>
    </w:pPr>
  </w:style>
  <w:style w:type="paragraph" w:styleId="ListBullet5">
    <w:name w:val="List Bullet 5"/>
    <w:basedOn w:val="List5"/>
    <w:rsid w:val="001C2D74"/>
    <w:pPr>
      <w:numPr>
        <w:numId w:val="2"/>
      </w:numPr>
    </w:pPr>
  </w:style>
  <w:style w:type="paragraph" w:styleId="ListContinue2">
    <w:name w:val="List Continue 2"/>
    <w:basedOn w:val="List2"/>
    <w:rsid w:val="001C2D74"/>
    <w:pPr>
      <w:ind w:firstLine="0"/>
    </w:pPr>
  </w:style>
  <w:style w:type="paragraph" w:styleId="ListContinue3">
    <w:name w:val="List Continue 3"/>
    <w:basedOn w:val="List3"/>
    <w:rsid w:val="001C2D74"/>
    <w:pPr>
      <w:ind w:left="1021" w:firstLine="0"/>
    </w:pPr>
  </w:style>
  <w:style w:type="paragraph" w:styleId="ListContinue4">
    <w:name w:val="List Continue 4"/>
    <w:basedOn w:val="List4"/>
    <w:rsid w:val="001C2D74"/>
    <w:pPr>
      <w:ind w:firstLine="0"/>
    </w:pPr>
  </w:style>
  <w:style w:type="paragraph" w:styleId="ListContinue5">
    <w:name w:val="List Continue 5"/>
    <w:basedOn w:val="List5"/>
    <w:rsid w:val="001C2D74"/>
    <w:pPr>
      <w:ind w:firstLine="0"/>
    </w:pPr>
  </w:style>
  <w:style w:type="paragraph" w:styleId="ListNumber3">
    <w:name w:val="List Number 3"/>
    <w:basedOn w:val="List3"/>
    <w:rsid w:val="001C2D74"/>
    <w:pPr>
      <w:numPr>
        <w:numId w:val="3"/>
      </w:numPr>
    </w:pPr>
  </w:style>
  <w:style w:type="paragraph" w:styleId="ListNumber4">
    <w:name w:val="List Number 4"/>
    <w:basedOn w:val="List4"/>
    <w:rsid w:val="001C2D74"/>
    <w:pPr>
      <w:numPr>
        <w:numId w:val="4"/>
      </w:numPr>
    </w:pPr>
  </w:style>
  <w:style w:type="paragraph" w:styleId="ListNumber5">
    <w:name w:val="List Number 5"/>
    <w:basedOn w:val="List5"/>
    <w:rsid w:val="001C2D74"/>
    <w:pPr>
      <w:numPr>
        <w:numId w:val="5"/>
      </w:numPr>
    </w:pPr>
  </w:style>
  <w:style w:type="paragraph" w:styleId="BlockText">
    <w:name w:val="Block Text"/>
    <w:basedOn w:val="Normal"/>
    <w:rsid w:val="001C2D74"/>
    <w:pPr>
      <w:spacing w:after="120"/>
      <w:ind w:left="1440" w:right="1440"/>
    </w:pPr>
  </w:style>
  <w:style w:type="character" w:customStyle="1" w:styleId="Subscript">
    <w:name w:val="Subscript"/>
    <w:basedOn w:val="DefaultParagraphFont"/>
    <w:rsid w:val="001C2D74"/>
    <w:rPr>
      <w:sz w:val="16"/>
      <w:vertAlign w:val="subscript"/>
    </w:rPr>
  </w:style>
  <w:style w:type="character" w:customStyle="1" w:styleId="Superscript">
    <w:name w:val="Superscript"/>
    <w:basedOn w:val="DefaultParagraphFont"/>
    <w:rsid w:val="001C2D74"/>
    <w:rPr>
      <w:sz w:val="16"/>
      <w:vertAlign w:val="superscript"/>
    </w:rPr>
  </w:style>
  <w:style w:type="character" w:customStyle="1" w:styleId="Symbols">
    <w:name w:val="Symbols"/>
    <w:basedOn w:val="DefaultParagraphFont"/>
    <w:rsid w:val="001C2D74"/>
    <w:rPr>
      <w:rFonts w:ascii="Symbol" w:hAnsi="Symbol"/>
    </w:rPr>
  </w:style>
  <w:style w:type="character" w:customStyle="1" w:styleId="MenuOptions">
    <w:name w:val="Menu Options"/>
    <w:basedOn w:val="DefaultParagraphFont"/>
    <w:rsid w:val="001C2D74"/>
    <w:rPr>
      <w:rFonts w:ascii="Arial Narrow" w:hAnsi="Arial Narrow"/>
      <w:smallCaps/>
    </w:rPr>
  </w:style>
  <w:style w:type="character" w:customStyle="1" w:styleId="Buttons">
    <w:name w:val="Buttons"/>
    <w:basedOn w:val="DefaultParagraphFont"/>
    <w:rsid w:val="001C2D74"/>
    <w:rPr>
      <w:b/>
    </w:rPr>
  </w:style>
  <w:style w:type="character" w:customStyle="1" w:styleId="Underlined">
    <w:name w:val="Underlined"/>
    <w:basedOn w:val="DefaultParagraphFont"/>
    <w:rsid w:val="001C2D74"/>
    <w:rPr>
      <w:u w:val="single"/>
    </w:rPr>
  </w:style>
  <w:style w:type="paragraph" w:customStyle="1" w:styleId="TableBodyTextRight">
    <w:name w:val="Table Body Text Right"/>
    <w:basedOn w:val="TableBodyText"/>
    <w:rsid w:val="001C2D74"/>
    <w:pPr>
      <w:widowControl w:val="0"/>
      <w:autoSpaceDE w:val="0"/>
      <w:autoSpaceDN w:val="0"/>
      <w:adjustRightInd w:val="0"/>
      <w:jc w:val="right"/>
    </w:pPr>
    <w:rPr>
      <w:rFonts w:cs="Arial"/>
      <w:szCs w:val="18"/>
    </w:rPr>
  </w:style>
  <w:style w:type="paragraph" w:customStyle="1" w:styleId="CopyrightText">
    <w:name w:val="Copyright Text"/>
    <w:basedOn w:val="BodyText"/>
    <w:rsid w:val="001C2D74"/>
    <w:rPr>
      <w:sz w:val="18"/>
    </w:rPr>
  </w:style>
  <w:style w:type="paragraph" w:customStyle="1" w:styleId="BodySmallRight">
    <w:name w:val="Body Small Right"/>
    <w:basedOn w:val="BodyTextRight"/>
    <w:rsid w:val="001C2D74"/>
    <w:rPr>
      <w:sz w:val="18"/>
      <w:szCs w:val="18"/>
    </w:rPr>
  </w:style>
  <w:style w:type="paragraph" w:customStyle="1" w:styleId="MarginEdition">
    <w:name w:val="Margin Edition"/>
    <w:basedOn w:val="MarginNote"/>
    <w:rsid w:val="001C2D74"/>
    <w:pPr>
      <w:spacing w:before="0" w:after="0"/>
    </w:pPr>
    <w:rPr>
      <w:rFonts w:ascii="Times New Roman" w:hAnsi="Times New Roman"/>
      <w:color w:val="999999"/>
    </w:rPr>
  </w:style>
  <w:style w:type="paragraph" w:customStyle="1" w:styleId="Spacer">
    <w:name w:val="Spacer"/>
    <w:basedOn w:val="Normal"/>
    <w:rsid w:val="001C2D74"/>
    <w:rPr>
      <w:sz w:val="2"/>
      <w:szCs w:val="2"/>
    </w:rPr>
  </w:style>
  <w:style w:type="character" w:customStyle="1" w:styleId="Small">
    <w:name w:val="Small"/>
    <w:basedOn w:val="DefaultParagraphFont"/>
    <w:rsid w:val="001C2D74"/>
    <w:rPr>
      <w:sz w:val="16"/>
    </w:rPr>
  </w:style>
  <w:style w:type="paragraph" w:customStyle="1" w:styleId="WideTable">
    <w:name w:val="Wide Table"/>
    <w:basedOn w:val="Normal"/>
    <w:rsid w:val="001C2D74"/>
    <w:pPr>
      <w:ind w:left="-1418"/>
    </w:pPr>
    <w:rPr>
      <w:sz w:val="2"/>
      <w:szCs w:val="2"/>
    </w:rPr>
  </w:style>
  <w:style w:type="character" w:styleId="PageNumber">
    <w:name w:val="page number"/>
    <w:basedOn w:val="DefaultParagraphFont"/>
    <w:rsid w:val="001C2D74"/>
  </w:style>
  <w:style w:type="paragraph" w:styleId="Quote">
    <w:name w:val="Quote"/>
    <w:basedOn w:val="Heading1"/>
    <w:link w:val="QuoteChar"/>
    <w:qFormat/>
    <w:rsid w:val="001C2D74"/>
    <w:rPr>
      <w:b w:val="0"/>
      <w:sz w:val="72"/>
      <w:szCs w:val="72"/>
      <w:lang w:val="en-NZ"/>
    </w:rPr>
  </w:style>
  <w:style w:type="character" w:customStyle="1" w:styleId="QuoteChar">
    <w:name w:val="Quote Char"/>
    <w:basedOn w:val="DefaultParagraphFont"/>
    <w:link w:val="Quote"/>
    <w:rsid w:val="001C2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D74"/>
    <w:pPr>
      <w:pageBreakBefore/>
    </w:pPr>
  </w:style>
  <w:style w:type="paragraph" w:customStyle="1" w:styleId="Border">
    <w:name w:val="Border"/>
    <w:basedOn w:val="Normal"/>
    <w:qFormat/>
    <w:rsid w:val="001C2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D74"/>
    <w:rPr>
      <w:b/>
      <w:bCs/>
      <w:i/>
      <w:iCs/>
      <w:color w:val="auto"/>
    </w:rPr>
  </w:style>
  <w:style w:type="paragraph" w:styleId="IntenseQuote">
    <w:name w:val="Intense Quote"/>
    <w:basedOn w:val="Normal"/>
    <w:next w:val="Normal"/>
    <w:link w:val="IntenseQuoteChar"/>
    <w:uiPriority w:val="30"/>
    <w:qFormat/>
    <w:rsid w:val="001C2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D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D74"/>
    <w:rPr>
      <w:smallCaps/>
      <w:color w:val="auto"/>
      <w:u w:val="single"/>
    </w:rPr>
  </w:style>
  <w:style w:type="character" w:styleId="IntenseReference">
    <w:name w:val="Intense Reference"/>
    <w:basedOn w:val="DefaultParagraphFont"/>
    <w:uiPriority w:val="32"/>
    <w:qFormat/>
    <w:rsid w:val="001C2D74"/>
    <w:rPr>
      <w:b/>
      <w:bCs/>
      <w:smallCaps/>
      <w:color w:val="auto"/>
      <w:spacing w:val="5"/>
      <w:u w:val="single"/>
    </w:rPr>
  </w:style>
  <w:style w:type="paragraph" w:customStyle="1" w:styleId="2ColumnHeading">
    <w:name w:val="2Column Heading"/>
    <w:basedOn w:val="BodyText"/>
    <w:qFormat/>
    <w:rsid w:val="001C2D74"/>
    <w:pPr>
      <w:spacing w:after="60"/>
      <w:ind w:left="-2268"/>
    </w:pPr>
    <w:rPr>
      <w:b/>
    </w:rPr>
  </w:style>
  <w:style w:type="paragraph" w:customStyle="1" w:styleId="Heading1TOC">
    <w:name w:val="Heading1 TOC"/>
    <w:basedOn w:val="Normal"/>
    <w:qFormat/>
    <w:rsid w:val="001C2D74"/>
    <w:pPr>
      <w:spacing w:before="240" w:after="120"/>
    </w:pPr>
    <w:rPr>
      <w:rFonts w:ascii="Times New Roman" w:hAnsi="Times New Roman"/>
      <w:b/>
      <w:sz w:val="32"/>
    </w:rPr>
  </w:style>
  <w:style w:type="paragraph" w:customStyle="1" w:styleId="Heading2TOC">
    <w:name w:val="Heading2 TOC"/>
    <w:basedOn w:val="Normal"/>
    <w:qFormat/>
    <w:rsid w:val="001C2D74"/>
    <w:pPr>
      <w:spacing w:before="240" w:after="60"/>
    </w:pPr>
    <w:rPr>
      <w:rFonts w:ascii="Times New Roman" w:hAnsi="Times New Roman"/>
      <w:b/>
      <w:sz w:val="28"/>
    </w:rPr>
  </w:style>
  <w:style w:type="character" w:customStyle="1" w:styleId="Underline">
    <w:name w:val="Underline"/>
    <w:basedOn w:val="DefaultParagraphFont"/>
    <w:qFormat/>
    <w:rsid w:val="001C2D74"/>
    <w:rPr>
      <w:u w:val="single"/>
    </w:rPr>
  </w:style>
  <w:style w:type="character" w:customStyle="1" w:styleId="BoldandItalics">
    <w:name w:val="Bold and Italics"/>
    <w:qFormat/>
    <w:rsid w:val="001C2D74"/>
    <w:rPr>
      <w:b/>
      <w:i/>
      <w:u w:val="none"/>
    </w:rPr>
  </w:style>
  <w:style w:type="paragraph" w:styleId="BalloonText">
    <w:name w:val="Balloon Text"/>
    <w:basedOn w:val="Normal"/>
    <w:link w:val="BalloonTextChar"/>
    <w:rsid w:val="001C2D74"/>
    <w:rPr>
      <w:rFonts w:ascii="Tahoma" w:hAnsi="Tahoma" w:cs="Tahoma"/>
      <w:sz w:val="16"/>
      <w:szCs w:val="16"/>
    </w:rPr>
  </w:style>
  <w:style w:type="character" w:customStyle="1" w:styleId="BalloonTextChar">
    <w:name w:val="Balloon Text Char"/>
    <w:basedOn w:val="DefaultParagraphFont"/>
    <w:link w:val="BalloonText"/>
    <w:rsid w:val="001C2D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D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1356</Words>
  <Characters>8679</Characters>
  <Application>Microsoft Office Word</Application>
  <DocSecurity>0</DocSecurity>
  <Lines>324</Lines>
  <Paragraphs>180</Paragraphs>
  <ScaleCrop>false</ScaleCrop>
  <Company>Author-it Software Corporation Ltd.</Company>
  <LinksUpToDate>false</LinksUpToDate>
  <CharactersWithSpaces>9926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TLIF907C Conduct cleaning operations in enclosed spaces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2012-05-27T08:17:00Z</dcterms:created>
  <dcterms:modified xsi:type="dcterms:W3CDTF">2012-05-27T08:17:00Z</dcterms:modified>
</cp:coreProperties>
</file>