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5858" w:rsidP="00025858">
      <w:pPr>
        <w:pStyle w:val="Title"/>
      </w:pPr>
      <w:r>
        <w:fldChar w:fldCharType="begin"/>
      </w:r>
      <w:r>
        <w:instrText xml:space="preserve"> TITLE   \* MERGEFORMAT </w:instrText>
      </w:r>
      <w:r>
        <w:fldChar w:fldCharType="separate"/>
      </w:r>
      <w:r>
        <w:t>TLID2107C Use specialised bulk transfer equipment (dry)</w:t>
      </w:r>
      <w:r>
        <w:fldChar w:fldCharType="end"/>
      </w:r>
    </w:p>
    <w:p w:rsidR="00025858" w:rsidP="00025858">
      <w:pPr>
        <w:pStyle w:val="Version"/>
        <w:sectPr w:rsidSect="005C3E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3E44" w:rsidP="005C3E44">
      <w:pPr>
        <w:pStyle w:val="SuperHeading"/>
      </w:pPr>
      <w:r w:rsidRPr="005C3E44">
        <w:t>TLID2107C Use specialised bulk transfer equipment (dry)</w:t>
      </w:r>
    </w:p>
    <w:p w:rsidR="00000000" w:rsidRPr="005C3E44" w:rsidP="005C3E44">
      <w:pPr>
        <w:pStyle w:val="Heading1"/>
      </w:pPr>
      <w:bookmarkStart w:id="1" w:name="O_316245"/>
      <w:bookmarkEnd w:id="1"/>
      <w:r w:rsidRPr="005C3E44">
        <w:t>Modification History</w:t>
      </w:r>
    </w:p>
    <w:p w:rsidR="00000000" w:rsidRPr="005C3E44" w:rsidP="005C3E44">
      <w:pPr>
        <w:pStyle w:val="BodyText"/>
      </w:pPr>
      <w:r w:rsidRPr="005C3E44">
        <w:t>Not applicable.</w:t>
      </w:r>
    </w:p>
    <w:p w:rsidR="00000000" w:rsidRPr="005C3E44" w:rsidP="005C3E44">
      <w:pPr>
        <w:pStyle w:val="AllowPageBreak"/>
      </w:pPr>
    </w:p>
    <w:p w:rsidR="00000000" w:rsidRPr="005C3E44" w:rsidP="005C3E44">
      <w:pPr>
        <w:pStyle w:val="Heading1"/>
      </w:pPr>
      <w:bookmarkStart w:id="2" w:name="O_316250"/>
      <w:bookmarkEnd w:id="2"/>
      <w:r w:rsidRPr="005C3E44">
        <w:t>Unit Descriptor</w:t>
      </w:r>
    </w:p>
    <w:p w:rsidR="00000000" w:rsidRPr="005C3E44" w:rsidP="005C3E44">
      <w:pPr>
        <w:pStyle w:val="BodyText"/>
      </w:pPr>
      <w:r w:rsidRPr="005C3E44">
        <w:t>This unit involves the skills and knowledge required to use specialised bulk transfer equipment for dry materi</w:t>
      </w:r>
      <w:r w:rsidRPr="005C3E44">
        <w:t>als, including planning the work, transferring the material according to regulatory and operational requirements, monitoring and operating controls, and completing all operations, as required.</w:t>
      </w:r>
    </w:p>
    <w:p w:rsidR="00000000" w:rsidRPr="005C3E44" w:rsidP="005C3E44">
      <w:pPr>
        <w:pStyle w:val="AllowPageBreak"/>
      </w:pPr>
    </w:p>
    <w:p w:rsidR="00000000" w:rsidRPr="005C3E44" w:rsidP="005C3E44">
      <w:pPr>
        <w:pStyle w:val="Heading1"/>
      </w:pPr>
      <w:bookmarkStart w:id="3" w:name="O_316249"/>
      <w:bookmarkEnd w:id="3"/>
      <w:r w:rsidRPr="005C3E44">
        <w:t>Application of the Unit</w:t>
      </w:r>
    </w:p>
    <w:p w:rsidR="00000000" w:rsidRPr="005C3E44" w:rsidP="005C3E44">
      <w:pPr>
        <w:pStyle w:val="BodyText"/>
      </w:pPr>
      <w:r w:rsidRPr="005C3E44">
        <w:t>Work must be carried o</w:t>
      </w:r>
      <w:r w:rsidRPr="005C3E44">
        <w:t>ut in compliance with the relevant state/territory regulations concerning the use of specialised equipment for the transfer of dry bulk product.</w:t>
      </w:r>
    </w:p>
    <w:p w:rsidR="00000000" w:rsidRPr="005C3E44" w:rsidP="005C3E44">
      <w:pPr>
        <w:pStyle w:val="BodyText"/>
      </w:pPr>
      <w:r w:rsidRPr="005C3E44">
        <w:t>Work is performed under general supervision. It involves the application of basic principles, routine procedure</w:t>
      </w:r>
      <w:r w:rsidRPr="005C3E44">
        <w:t>s and regulatory requirements to the use of specialised bulk transfer equipment to load and unload dry bulk products.</w:t>
      </w:r>
    </w:p>
    <w:p w:rsidR="00000000" w:rsidRPr="005C3E44" w:rsidP="005C3E44">
      <w:pPr>
        <w:pStyle w:val="AllowPageBreak"/>
      </w:pPr>
    </w:p>
    <w:p w:rsidR="00000000" w:rsidRPr="005C3E44" w:rsidP="005C3E44">
      <w:pPr>
        <w:pStyle w:val="Heading1"/>
      </w:pPr>
      <w:bookmarkStart w:id="4" w:name="O_316248"/>
      <w:bookmarkEnd w:id="4"/>
      <w:r w:rsidRPr="005C3E44">
        <w:t>Licensing/Regulatory Information</w:t>
      </w:r>
    </w:p>
    <w:p w:rsidR="00000000" w:rsidRPr="005C3E44" w:rsidP="005C3E44">
      <w:pPr>
        <w:pStyle w:val="BodyText"/>
      </w:pPr>
      <w:r w:rsidRPr="005C3E44">
        <w:t>Not applicable.</w:t>
      </w:r>
    </w:p>
    <w:p w:rsidR="00000000" w:rsidRPr="005C3E44" w:rsidP="005C3E44">
      <w:pPr>
        <w:pStyle w:val="AllowPageBreak"/>
      </w:pPr>
    </w:p>
    <w:p w:rsidR="00000000" w:rsidRPr="005C3E44" w:rsidP="005C3E44">
      <w:pPr>
        <w:pStyle w:val="Heading1"/>
      </w:pPr>
      <w:bookmarkStart w:id="5" w:name="O_316247"/>
      <w:bookmarkEnd w:id="5"/>
      <w:r w:rsidRPr="005C3E44">
        <w:t>Pre-Requisites</w:t>
      </w:r>
    </w:p>
    <w:p w:rsidR="00000000" w:rsidRPr="005C3E44" w:rsidP="005C3E44">
      <w:pPr>
        <w:pStyle w:val="BodyText"/>
      </w:pPr>
      <w:r w:rsidRPr="005C3E44">
        <w:t>Not applicable.</w:t>
      </w:r>
    </w:p>
    <w:p w:rsidR="00000000" w:rsidRPr="005C3E44" w:rsidP="005C3E44">
      <w:pPr>
        <w:pStyle w:val="AllowPageBreak"/>
      </w:pPr>
    </w:p>
    <w:p w:rsidR="00000000" w:rsidRPr="005C3E44" w:rsidP="005C3E44">
      <w:pPr>
        <w:pStyle w:val="Heading1"/>
      </w:pPr>
      <w:bookmarkStart w:id="6" w:name="O_316239"/>
      <w:bookmarkEnd w:id="6"/>
      <w:r w:rsidRPr="005C3E44">
        <w:t>Em</w:t>
      </w:r>
      <w:r w:rsidRPr="005C3E44">
        <w:t>ployability Skills Information</w:t>
      </w:r>
    </w:p>
    <w:p w:rsidR="00000000" w:rsidRPr="005C3E44" w:rsidP="005C3E44">
      <w:pPr>
        <w:pStyle w:val="BodyText"/>
      </w:pPr>
      <w:r w:rsidRPr="005C3E44">
        <w:t>The required outcomes described in this unit of competency contain applicable facets of Employability Skills. The Employability Skills Summary of the qualification in which this competency is packaged will assist in identifyi</w:t>
      </w:r>
      <w:r w:rsidRPr="005C3E44">
        <w:t>ng employability skill requirements.</w:t>
      </w:r>
    </w:p>
    <w:p w:rsidR="00000000" w:rsidRPr="005C3E44" w:rsidP="005C3E44">
      <w:pPr>
        <w:pStyle w:val="AllowPageBreak"/>
      </w:pPr>
    </w:p>
    <w:p w:rsidR="00000000" w:rsidRPr="005C3E44" w:rsidP="005C3E44">
      <w:pPr>
        <w:pStyle w:val="Heading1"/>
      </w:pPr>
      <w:bookmarkStart w:id="7" w:name="O_316251"/>
      <w:bookmarkEnd w:id="7"/>
      <w:r w:rsidRPr="005C3E44">
        <w:t>Elements and Performance Criteria Pre-Content</w:t>
      </w:r>
    </w:p>
    <w:p w:rsidR="00000000" w:rsidRPr="005C3E44" w:rsidP="005C3E44">
      <w:pPr>
        <w:pStyle w:val="BodyText"/>
      </w:pPr>
      <w:r w:rsidRPr="005C3E44">
        <w:t>Elements describe the essential outcomes of a unit of competency.</w:t>
      </w:r>
    </w:p>
    <w:p w:rsidR="00000000" w:rsidRPr="005C3E44" w:rsidP="005C3E44">
      <w:pPr>
        <w:pStyle w:val="BodyText"/>
      </w:pPr>
      <w:r w:rsidRPr="005C3E44">
        <w:t>Perf</w:t>
      </w:r>
      <w:r w:rsidRPr="005C3E44">
        <w:t>ormance criteria describe the required performance needed to demonstrate achievement of the element. Assessment of performance is to be consistent with the evidence guide.</w:t>
      </w:r>
    </w:p>
    <w:p w:rsidR="00000000" w:rsidRPr="005C3E44" w:rsidP="005C3E44">
      <w:pPr>
        <w:pStyle w:val="AllowPageBreak"/>
      </w:pPr>
    </w:p>
    <w:p w:rsidR="00000000" w:rsidRPr="005C3E44" w:rsidP="005C3E44">
      <w:pPr>
        <w:pStyle w:val="Heading1"/>
      </w:pPr>
      <w:bookmarkStart w:id="8" w:name="O_316246"/>
      <w:bookmarkEnd w:id="8"/>
      <w:r w:rsidRPr="005C3E4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2585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rPr>
                <w:rStyle w:val="SpecialBold"/>
              </w:rPr>
              <w:t>Elements and Performance Criteria</w:t>
            </w:r>
          </w:p>
        </w:tc>
      </w:tr>
      <w:tr w:rsidTr="0002585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C3E44" w:rsidP="005C3E44">
            <w:pPr>
              <w:pStyle w:val="BodyText"/>
            </w:pPr>
            <w:r w:rsidRPr="005C3E4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rPr>
                <w:rStyle w:val="SpecialBold"/>
              </w:rPr>
              <w:t>Performance Criteria</w:t>
            </w:r>
          </w:p>
        </w:tc>
      </w:tr>
      <w:tr w:rsidTr="0002585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C3E44" w:rsidP="005C3E44">
            <w:pPr>
              <w:pStyle w:val="BodyText"/>
            </w:pPr>
            <w:r w:rsidRPr="005C3E44">
              <w:t>1</w:t>
            </w:r>
          </w:p>
        </w:tc>
        <w:tc>
          <w:tcPr>
            <w:tcW w:w="3000" w:type="dxa"/>
            <w:vMerge w:val="restart"/>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rPr>
                <w:rStyle w:val="SpecialBold"/>
              </w:rPr>
              <w:t>Plan work</w:t>
            </w:r>
          </w:p>
        </w:tc>
        <w:tc>
          <w:tcPr>
            <w:tcW w:w="5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1.1</w:t>
            </w:r>
          </w:p>
        </w:tc>
        <w:tc>
          <w:tcPr>
            <w:tcW w:w="51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Dangerous or hazardous (including regulated waste), or other materials requiring specialised handling are identified and relevant procedures are taken into account when planning the work</w:t>
            </w:r>
          </w:p>
        </w:tc>
      </w:tr>
      <w:tr w:rsidTr="000258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1.2</w:t>
            </w:r>
          </w:p>
        </w:tc>
        <w:tc>
          <w:tcPr>
            <w:tcW w:w="51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Traffic flow and work area conditions are assessed and anticipated to ensure safe operation and no injury to people, or damage to equipment, loads, facilities or environment</w:t>
            </w:r>
          </w:p>
        </w:tc>
      </w:tr>
      <w:tr w:rsidTr="000258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1.3</w:t>
            </w:r>
          </w:p>
        </w:tc>
        <w:tc>
          <w:tcPr>
            <w:tcW w:w="51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Characteristics</w:t>
            </w:r>
            <w:r w:rsidRPr="005C3E44">
              <w:t xml:space="preserve"> of the load are taken into account when selecting method, equipment and, where applicable, appropriate attachments to transfer the load</w:t>
            </w:r>
          </w:p>
        </w:tc>
      </w:tr>
      <w:tr w:rsidTr="000258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1.4</w:t>
            </w:r>
          </w:p>
        </w:tc>
        <w:tc>
          <w:tcPr>
            <w:tcW w:w="51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 xml:space="preserve">Any potential occurrences in the work area that may affect the safety and efficiency of operations are reported </w:t>
            </w:r>
            <w:r w:rsidRPr="005C3E44">
              <w:t>to the appropriate personnel</w:t>
            </w:r>
          </w:p>
        </w:tc>
      </w:tr>
      <w:tr w:rsidTr="000258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1.5</w:t>
            </w:r>
          </w:p>
        </w:tc>
        <w:tc>
          <w:tcPr>
            <w:tcW w:w="51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Bulk transfer of dry materials is planned, taking into account the requirements of the load, transfer method, storage facility and transport mode, load weight and dimensions and the capacity of the equipment</w:t>
            </w:r>
          </w:p>
        </w:tc>
      </w:tr>
      <w:tr w:rsidTr="000258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1.6</w:t>
            </w:r>
          </w:p>
        </w:tc>
        <w:tc>
          <w:tcPr>
            <w:tcW w:w="51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Requi</w:t>
            </w:r>
            <w:r w:rsidRPr="005C3E44">
              <w:t>red personal safety equipment, signage, barriers and special precautions are identified in the plan and utilised</w:t>
            </w:r>
          </w:p>
        </w:tc>
      </w:tr>
      <w:tr w:rsidTr="000258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1.7</w:t>
            </w:r>
          </w:p>
        </w:tc>
        <w:tc>
          <w:tcPr>
            <w:tcW w:w="51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Procedures to deal with spills, leakages and ruptures are identified</w:t>
            </w:r>
          </w:p>
        </w:tc>
      </w:tr>
      <w:tr w:rsidTr="000258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1.8</w:t>
            </w:r>
          </w:p>
        </w:tc>
        <w:tc>
          <w:tcPr>
            <w:tcW w:w="51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Customer requests for variation to agreed operations are actioned within scope of authority or referred to appropriate personnel</w:t>
            </w:r>
          </w:p>
        </w:tc>
      </w:tr>
      <w:tr w:rsidTr="0002585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C3E44" w:rsidP="005C3E44">
            <w:pPr>
              <w:pStyle w:val="BodyText"/>
            </w:pPr>
            <w:r w:rsidRPr="005C3E44">
              <w:t>2</w:t>
            </w:r>
          </w:p>
        </w:tc>
        <w:tc>
          <w:tcPr>
            <w:tcW w:w="3000" w:type="dxa"/>
            <w:vMerge w:val="restart"/>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rPr>
                <w:rStyle w:val="SpecialBold"/>
              </w:rPr>
              <w:t>Transfer material</w:t>
            </w:r>
          </w:p>
        </w:tc>
        <w:tc>
          <w:tcPr>
            <w:tcW w:w="5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2.1</w:t>
            </w:r>
          </w:p>
        </w:tc>
        <w:tc>
          <w:tcPr>
            <w:tcW w:w="51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Equipment is prepared and any appropriate attachment fitted</w:t>
            </w:r>
          </w:p>
        </w:tc>
      </w:tr>
      <w:tr w:rsidTr="000258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2.2</w:t>
            </w:r>
          </w:p>
        </w:tc>
        <w:tc>
          <w:tcPr>
            <w:tcW w:w="51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Equipment controls are checked for correct operational status before commencing transfer</w:t>
            </w:r>
          </w:p>
        </w:tc>
      </w:tr>
      <w:tr w:rsidTr="000258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2.3</w:t>
            </w:r>
          </w:p>
        </w:tc>
        <w:tc>
          <w:tcPr>
            <w:tcW w:w="51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 xml:space="preserve">Adjustments are made to process to accommodate special requirements such as temperature control, </w:t>
            </w:r>
            <w:r w:rsidRPr="005C3E44">
              <w:t>combustion etc.</w:t>
            </w:r>
          </w:p>
        </w:tc>
      </w:tr>
      <w:tr w:rsidTr="000258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2.4</w:t>
            </w:r>
          </w:p>
        </w:tc>
        <w:tc>
          <w:tcPr>
            <w:tcW w:w="51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Instruments and gauges are monitored dur</w:t>
            </w:r>
            <w:r w:rsidRPr="005C3E44">
              <w:t>ing operations to ensure that operation is consistent with workplace procedures, manufacturers specifications and enterprise schedule and safety requirements</w:t>
            </w:r>
          </w:p>
        </w:tc>
      </w:tr>
      <w:tr w:rsidTr="000258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2.5</w:t>
            </w:r>
          </w:p>
        </w:tc>
        <w:tc>
          <w:tcPr>
            <w:tcW w:w="51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Speed of operation is managed for safety and efficiency of materials movement and equipment operations</w:t>
            </w:r>
          </w:p>
        </w:tc>
      </w:tr>
      <w:tr w:rsidTr="000258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2.6</w:t>
            </w:r>
          </w:p>
        </w:tc>
        <w:tc>
          <w:tcPr>
            <w:tcW w:w="51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Any faults or damage to equipment are immediately reported to the appropriate personnel</w:t>
            </w:r>
          </w:p>
        </w:tc>
      </w:tr>
      <w:tr w:rsidTr="0002585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C3E44" w:rsidP="005C3E44">
            <w:pPr>
              <w:pStyle w:val="BodyText"/>
            </w:pPr>
            <w:r w:rsidRPr="005C3E44">
              <w:t>3</w:t>
            </w:r>
          </w:p>
        </w:tc>
        <w:tc>
          <w:tcPr>
            <w:tcW w:w="3000" w:type="dxa"/>
            <w:vMerge w:val="restart"/>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rPr>
                <w:rStyle w:val="SpecialBold"/>
              </w:rPr>
              <w:t>Monitor and operate controls</w:t>
            </w:r>
          </w:p>
        </w:tc>
        <w:tc>
          <w:tcPr>
            <w:tcW w:w="5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3.1</w:t>
            </w:r>
          </w:p>
        </w:tc>
        <w:tc>
          <w:tcPr>
            <w:tcW w:w="51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Equipment controls are</w:t>
            </w:r>
            <w:r w:rsidRPr="005C3E44">
              <w:t xml:space="preserve"> monitored and operated in accordance with manufacturers operating instructions</w:t>
            </w:r>
          </w:p>
        </w:tc>
      </w:tr>
      <w:tr w:rsidTr="000258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3.2</w:t>
            </w:r>
          </w:p>
        </w:tc>
        <w:tc>
          <w:tcPr>
            <w:tcW w:w="51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 xml:space="preserve">Control systems are monitored to ensure that operation is consistent with workplace procedures, manufacturers specifications, workplace schedule, </w:t>
            </w:r>
            <w:r w:rsidRPr="005C3E44">
              <w:t>safety requirements and statutory regulations</w:t>
            </w:r>
          </w:p>
        </w:tc>
      </w:tr>
      <w:tr w:rsidTr="000258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3.3</w:t>
            </w:r>
          </w:p>
        </w:tc>
        <w:tc>
          <w:tcPr>
            <w:tcW w:w="51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Materials are moved ensuring no injury to personnel or damage to equipment or goods</w:t>
            </w:r>
          </w:p>
        </w:tc>
      </w:tr>
      <w:tr w:rsidTr="000258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3.4</w:t>
            </w:r>
          </w:p>
        </w:tc>
        <w:tc>
          <w:tcPr>
            <w:tcW w:w="51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Faults are identified and reported in accordance with enterprise guidelines</w:t>
            </w:r>
          </w:p>
        </w:tc>
      </w:tr>
      <w:tr w:rsidTr="0002585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C3E44" w:rsidP="005C3E44">
            <w:pPr>
              <w:pStyle w:val="BodyText"/>
            </w:pPr>
            <w:r w:rsidRPr="005C3E44">
              <w:t>4</w:t>
            </w:r>
          </w:p>
        </w:tc>
        <w:tc>
          <w:tcPr>
            <w:tcW w:w="3000" w:type="dxa"/>
            <w:vMerge w:val="restart"/>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rPr>
                <w:rStyle w:val="SpecialBold"/>
              </w:rPr>
              <w:t>Complete operations</w:t>
            </w:r>
          </w:p>
        </w:tc>
        <w:tc>
          <w:tcPr>
            <w:tcW w:w="5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4.1</w:t>
            </w:r>
          </w:p>
        </w:tc>
        <w:tc>
          <w:tcPr>
            <w:tcW w:w="51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Equipment is shut down within manufacturers guidelines without injury to personnel or damage to equipment, loads or facilities in accordance with enterprise procedures]</w:t>
            </w:r>
          </w:p>
        </w:tc>
      </w:tr>
      <w:tr w:rsidTr="000258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4.2</w:t>
            </w:r>
          </w:p>
        </w:tc>
        <w:tc>
          <w:tcPr>
            <w:tcW w:w="51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Clean up methods for transfer equipment are completed following workplace proced</w:t>
            </w:r>
            <w:r w:rsidRPr="005C3E44">
              <w:t>ures</w:t>
            </w:r>
          </w:p>
        </w:tc>
      </w:tr>
      <w:tr w:rsidTr="000258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4.3</w:t>
            </w:r>
          </w:p>
        </w:tc>
        <w:tc>
          <w:tcPr>
            <w:tcW w:w="51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Equipment is secured in accordance with securing procedures for the appropriate equipment</w:t>
            </w:r>
          </w:p>
        </w:tc>
      </w:tr>
      <w:tr w:rsidTr="000258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4.4</w:t>
            </w:r>
          </w:p>
        </w:tc>
        <w:tc>
          <w:tcPr>
            <w:tcW w:w="5100" w:type="dxa"/>
            <w:tcBorders>
              <w:top w:val="nil"/>
              <w:left w:val="nil"/>
              <w:bottom w:val="nil"/>
              <w:right w:val="nil"/>
            </w:tcBorders>
            <w:tcMar>
              <w:top w:w="0" w:type="dxa"/>
              <w:left w:w="62" w:type="dxa"/>
              <w:bottom w:w="0" w:type="dxa"/>
              <w:right w:w="62" w:type="dxa"/>
            </w:tcMar>
          </w:tcPr>
          <w:p w:rsidR="00000000" w:rsidRPr="005C3E44" w:rsidP="005C3E44">
            <w:pPr>
              <w:pStyle w:val="BodyText"/>
            </w:pPr>
            <w:r w:rsidRPr="005C3E44">
              <w:t>Workplace documentation is completed and filed following workplace procedures</w:t>
            </w:r>
          </w:p>
        </w:tc>
      </w:tr>
    </w:tbl>
    <w:p w:rsidR="00000000" w:rsidRPr="005C3E44" w:rsidP="005C3E44">
      <w:pPr>
        <w:pStyle w:val="BodyText"/>
      </w:pPr>
    </w:p>
    <w:p w:rsidR="00000000" w:rsidRPr="005C3E44" w:rsidP="005C3E44">
      <w:pPr>
        <w:pStyle w:val="AllowPageBreak"/>
      </w:pPr>
    </w:p>
    <w:p w:rsidR="00000000" w:rsidRPr="005C3E44" w:rsidP="005C3E44">
      <w:pPr>
        <w:pStyle w:val="Heading1"/>
      </w:pPr>
      <w:bookmarkStart w:id="9" w:name="O_316240"/>
      <w:bookmarkEnd w:id="9"/>
      <w:r w:rsidRPr="005C3E44">
        <w:t>Required Skills and Knowledge</w:t>
      </w:r>
    </w:p>
    <w:tbl>
      <w:tblPr>
        <w:tblW w:w="0" w:type="auto"/>
        <w:tblLayout w:type="fixed"/>
        <w:tblCellMar>
          <w:left w:w="62" w:type="dxa"/>
          <w:right w:w="62" w:type="dxa"/>
        </w:tblCellMar>
        <w:tblLook w:val="0000"/>
      </w:tblPr>
      <w:tblGrid>
        <w:gridCol w:w="9000"/>
      </w:tblGrid>
      <w:tr w:rsidTr="000258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rPr>
                <w:rStyle w:val="SpecialBold"/>
              </w:rPr>
              <w:t>REQUIRED KNOWLEDGE AND SKILLS</w:t>
            </w:r>
          </w:p>
        </w:tc>
      </w:tr>
      <w:tr w:rsidTr="000258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 xml:space="preserve">This describes the essential knowledge and skills and their level required for this unit. </w:t>
            </w:r>
          </w:p>
        </w:tc>
      </w:tr>
      <w:tr w:rsidTr="000258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rPr>
                <w:rStyle w:val="SpecialBold"/>
              </w:rPr>
              <w:t>Required knowledge</w:t>
            </w:r>
            <w:r w:rsidRPr="005C3E44">
              <w:t xml:space="preserve">: </w:t>
            </w:r>
          </w:p>
        </w:tc>
      </w:tr>
      <w:tr w:rsidTr="000258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 xml:space="preserve">Australian Dangerous Goods Code and relevant state/territory mass and loading regulations as they apply to vehicles transporting dry bulk product </w:t>
            </w:r>
          </w:p>
        </w:tc>
      </w:tr>
      <w:tr w:rsidTr="000258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 xml:space="preserve">OH&amp;S procedures and guidelines concerning the use of specialised bulk transfer equipment </w:t>
            </w:r>
          </w:p>
        </w:tc>
      </w:tr>
      <w:tr w:rsidTr="000258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Risks when transf</w:t>
            </w:r>
            <w:r w:rsidRPr="005C3E44">
              <w:t xml:space="preserve">erring dry bulk product and related precautions to control the risk </w:t>
            </w:r>
          </w:p>
        </w:tc>
      </w:tr>
      <w:tr w:rsidTr="000258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 xml:space="preserve">Workplace procedures and policies for the efficient use of specialised equipment to transfer dry bulk loads </w:t>
            </w:r>
          </w:p>
        </w:tc>
      </w:tr>
      <w:tr w:rsidTr="000258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 xml:space="preserve">Housekeeping standards procedures required in the workplace </w:t>
            </w:r>
          </w:p>
        </w:tc>
      </w:tr>
      <w:tr w:rsidTr="000258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Methods of sec</w:t>
            </w:r>
            <w:r w:rsidRPr="005C3E44">
              <w:t xml:space="preserve">uring a vehicle following transfer of dry bulk product </w:t>
            </w:r>
          </w:p>
        </w:tc>
      </w:tr>
      <w:tr w:rsidTr="000258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C3E44" w:rsidP="005C3E44">
            <w:pPr>
              <w:pStyle w:val="BodyText"/>
            </w:pPr>
            <w:r w:rsidRPr="005C3E44">
              <w:t xml:space="preserve">Relevant regulatory, permit and licence requirements including ADG Code </w:t>
            </w:r>
          </w:p>
        </w:tc>
      </w:tr>
    </w:tbl>
    <w:p w:rsidR="00000000" w:rsidRPr="005C3E44" w:rsidP="005C3E44">
      <w:pPr>
        <w:pStyle w:val="BodyText"/>
      </w:pPr>
    </w:p>
    <w:tbl>
      <w:tblPr>
        <w:tblW w:w="0" w:type="auto"/>
        <w:tblLayout w:type="fixed"/>
        <w:tblCellMar>
          <w:left w:w="62" w:type="dxa"/>
          <w:right w:w="62" w:type="dxa"/>
        </w:tblCellMar>
        <w:tblLook w:val="0000"/>
      </w:tblPr>
      <w:tblGrid>
        <w:gridCol w:w="9000"/>
      </w:tblGrid>
      <w:tr w:rsidTr="000258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rPr>
                <w:rStyle w:val="SpecialBold"/>
              </w:rPr>
              <w:t>Required skills</w:t>
            </w:r>
            <w:r w:rsidRPr="005C3E44">
              <w:t>:</w:t>
            </w:r>
          </w:p>
        </w:tc>
      </w:tr>
      <w:tr w:rsidTr="000258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 xml:space="preserve">Communicate effectively with others when using specialised equipment to transfer dry bulk product </w:t>
            </w:r>
          </w:p>
        </w:tc>
      </w:tr>
      <w:tr w:rsidTr="000258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Read a</w:t>
            </w:r>
            <w:r w:rsidRPr="005C3E44">
              <w:t xml:space="preserve">nd interpret instructions, procedures, information and signs relevant to the transfer of dry bulk product using specialised equipment </w:t>
            </w:r>
          </w:p>
        </w:tc>
      </w:tr>
      <w:tr w:rsidTr="000258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 xml:space="preserve">Identify goods coding, IMDG markings and, where applicable, emergency information panels </w:t>
            </w:r>
          </w:p>
        </w:tc>
      </w:tr>
      <w:tr w:rsidTr="000258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 xml:space="preserve">Interpret and follow operational instructions and prioritise work </w:t>
            </w:r>
          </w:p>
        </w:tc>
      </w:tr>
      <w:tr w:rsidTr="000258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 xml:space="preserve">Complete documentation related to the transfer of dry bulk product using specialised equipment </w:t>
            </w:r>
          </w:p>
        </w:tc>
      </w:tr>
      <w:tr w:rsidTr="000258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 xml:space="preserve">Operate electronic communication equipment to required protocol </w:t>
            </w:r>
          </w:p>
        </w:tc>
      </w:tr>
      <w:tr w:rsidTr="000258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Estimate the mass, volume</w:t>
            </w:r>
            <w:r w:rsidRPr="005C3E44">
              <w:t xml:space="preserve"> and special requirements of dry bulk products </w:t>
            </w:r>
          </w:p>
        </w:tc>
      </w:tr>
      <w:tr w:rsidTr="000258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 xml:space="preserve">Work collaboratively with others when using specialised equipment to transfer dry bulk product </w:t>
            </w:r>
          </w:p>
        </w:tc>
      </w:tr>
      <w:tr w:rsidTr="000258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Adapt appropriately to cultural differences in the workplace, including modes of behaviour and interactions wi</w:t>
            </w:r>
            <w:r w:rsidRPr="005C3E44">
              <w:t xml:space="preserve">th others </w:t>
            </w:r>
          </w:p>
        </w:tc>
      </w:tr>
      <w:tr w:rsidTr="000258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 xml:space="preserve">Promptly report and/or rectify any identified problems, faults or malfunctions that may occur when using specialised equipment to transfer dry bulk product in accordance with regulatory requirements and workplace procedures </w:t>
            </w:r>
          </w:p>
        </w:tc>
      </w:tr>
      <w:tr w:rsidTr="000258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Implement continge</w:t>
            </w:r>
            <w:r w:rsidRPr="005C3E44">
              <w:t xml:space="preserve">ncy plans for unexpected events when using specialised equipment to transfer dry bulk product </w:t>
            </w:r>
          </w:p>
        </w:tc>
      </w:tr>
      <w:tr w:rsidTr="000258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Apply precautions and required action to minimise, control or eliminate hazards that may exist during the transfer of dry bulk product using specialised equipme</w:t>
            </w:r>
            <w:r w:rsidRPr="005C3E44">
              <w:t xml:space="preserve">nt </w:t>
            </w:r>
          </w:p>
        </w:tc>
      </w:tr>
      <w:tr w:rsidTr="000258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 xml:space="preserve">Monitor work activities in terms of planned schedule </w:t>
            </w:r>
          </w:p>
        </w:tc>
      </w:tr>
      <w:tr w:rsidTr="000258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 xml:space="preserve">Modify activities depending on differing operational contingencies, risk situations and environments </w:t>
            </w:r>
          </w:p>
        </w:tc>
      </w:tr>
      <w:tr w:rsidTr="000258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 xml:space="preserve">Work systematically with required attention to detail without injury to self or others, or damage to product or equipment </w:t>
            </w:r>
          </w:p>
        </w:tc>
      </w:tr>
      <w:tr w:rsidTr="000258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 xml:space="preserve">Operate and adapt to differences in equipment in accordance with standard operating procedures </w:t>
            </w:r>
          </w:p>
        </w:tc>
      </w:tr>
      <w:tr w:rsidTr="000258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Identify and correctly use equipmen</w:t>
            </w:r>
            <w:r w:rsidRPr="005C3E44">
              <w:t xml:space="preserve">t required to transfer dry bulk product </w:t>
            </w:r>
          </w:p>
        </w:tc>
      </w:tr>
      <w:tr w:rsidTr="000258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 xml:space="preserve">Monitor performance of equipment </w:t>
            </w:r>
          </w:p>
        </w:tc>
      </w:tr>
      <w:tr w:rsidTr="000258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 xml:space="preserve">Service equipment in terms of maintenance schedule and standard operating procedures </w:t>
            </w:r>
          </w:p>
        </w:tc>
      </w:tr>
      <w:tr w:rsidTr="0002585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C3E44" w:rsidP="005C3E44">
            <w:pPr>
              <w:pStyle w:val="BodyText"/>
            </w:pPr>
            <w:r w:rsidRPr="005C3E44">
              <w:t>Select and use required personal protective equipment conforming to industry and OH&amp;S standa</w:t>
            </w:r>
            <w:r w:rsidRPr="005C3E44">
              <w:t xml:space="preserve">rds </w:t>
            </w:r>
          </w:p>
        </w:tc>
      </w:tr>
    </w:tbl>
    <w:p w:rsidR="00000000" w:rsidRPr="005C3E44" w:rsidP="005C3E44">
      <w:pPr>
        <w:pStyle w:val="BodyText"/>
      </w:pPr>
    </w:p>
    <w:p w:rsidR="00000000" w:rsidRPr="005C3E44" w:rsidP="005C3E44">
      <w:pPr>
        <w:pStyle w:val="AllowPageBreak"/>
      </w:pPr>
    </w:p>
    <w:p w:rsidR="00000000" w:rsidRPr="005C3E44" w:rsidP="005C3E44">
      <w:pPr>
        <w:pStyle w:val="Heading1"/>
      </w:pPr>
      <w:bookmarkStart w:id="10" w:name="O_316244"/>
      <w:bookmarkEnd w:id="10"/>
      <w:r w:rsidRPr="005C3E44">
        <w:t>Evidence Guide</w:t>
      </w:r>
    </w:p>
    <w:tbl>
      <w:tblPr>
        <w:tblW w:w="0" w:type="auto"/>
        <w:tblLayout w:type="fixed"/>
        <w:tblCellMar>
          <w:left w:w="62" w:type="dxa"/>
          <w:right w:w="62" w:type="dxa"/>
        </w:tblCellMar>
        <w:tblLook w:val="0000"/>
      </w:tblPr>
      <w:tblGrid>
        <w:gridCol w:w="4500"/>
        <w:gridCol w:w="4500"/>
      </w:tblGrid>
      <w:tr w:rsidTr="0002585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2585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 xml:space="preserve">The evidence guide provides advice on assessment and must be read in conjunction with the performance criteria, required knowledge and skills, </w:t>
            </w:r>
            <w:r w:rsidRPr="005C3E44">
              <w:t xml:space="preserve">the range statement and the assessment guidelines for this Training Package. </w:t>
            </w:r>
          </w:p>
        </w:tc>
      </w:tr>
      <w:tr w:rsidTr="000258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5C3E44" w:rsidP="005C3E44">
            <w:pPr>
              <w:pStyle w:val="BodyText"/>
            </w:pPr>
            <w:r w:rsidRPr="005C3E44">
              <w:t>The evidence required to demonstrate competency in this unit must be relevant to an</w:t>
            </w:r>
            <w:r w:rsidRPr="005C3E44">
              <w:t xml:space="preserve">d satisfy all of the requirements of the elements and performance criteria of this unit and include demonstration of applying:   </w:t>
            </w:r>
          </w:p>
          <w:p w:rsidR="00000000" w:rsidRPr="005C3E44" w:rsidP="005C3E44">
            <w:pPr>
              <w:pStyle w:val="BodyText"/>
            </w:pPr>
            <w:r w:rsidRPr="005C3E44">
              <w:t>the underpinning knowledge and skills</w:t>
            </w:r>
          </w:p>
          <w:p w:rsidR="00000000" w:rsidRPr="005C3E44" w:rsidP="005C3E44">
            <w:pPr>
              <w:pStyle w:val="BodyText"/>
            </w:pPr>
            <w:r w:rsidRPr="005C3E44">
              <w:t>relevant legislation and workplace procedures</w:t>
            </w:r>
          </w:p>
          <w:p w:rsidR="00000000" w:rsidP="005C3E44">
            <w:pPr>
              <w:pStyle w:val="BodyText"/>
              <w:rPr>
                <w:lang w:val="en-NZ"/>
              </w:rPr>
            </w:pPr>
            <w:r w:rsidRPr="005C3E44">
              <w:t>other relevant aspects of the range statem</w:t>
            </w:r>
            <w:r w:rsidRPr="005C3E44">
              <w:t xml:space="preserve">ent </w:t>
            </w:r>
          </w:p>
        </w:tc>
      </w:tr>
      <w:tr w:rsidTr="000258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5C3E44" w:rsidP="005C3E44">
            <w:pPr>
              <w:pStyle w:val="BodyText"/>
            </w:pPr>
            <w:r w:rsidRPr="005C3E44">
              <w:t>Performance is demonstrated consistently over a period of time and in a suitable range of contexts</w:t>
            </w:r>
          </w:p>
          <w:p w:rsidR="00000000" w:rsidRPr="005C3E44" w:rsidP="005C3E44">
            <w:pPr>
              <w:pStyle w:val="BodyText"/>
            </w:pPr>
            <w:r w:rsidRPr="005C3E44">
              <w:t xml:space="preserve">Resources for assessment include:   </w:t>
            </w:r>
          </w:p>
          <w:p w:rsidR="00000000" w:rsidRPr="005C3E44" w:rsidP="005C3E44">
            <w:pPr>
              <w:pStyle w:val="BodyText"/>
            </w:pPr>
            <w:r w:rsidRPr="005C3E44">
              <w:t>a range of relevant exercises, case studies and other simulated p</w:t>
            </w:r>
            <w:r w:rsidRPr="005C3E44">
              <w:t>ractical and knowledge assessment, and/or</w:t>
            </w:r>
          </w:p>
          <w:p w:rsidR="00000000" w:rsidRPr="005C3E44" w:rsidP="005C3E44">
            <w:pPr>
              <w:pStyle w:val="BodyText"/>
            </w:pPr>
            <w:r w:rsidRPr="005C3E44">
              <w:t>access to an appropriate range of relevant operational situations in the workplace</w:t>
            </w:r>
          </w:p>
          <w:p w:rsidR="00000000" w:rsidRPr="005C3E44" w:rsidP="005C3E44">
            <w:pPr>
              <w:pStyle w:val="BodyText"/>
            </w:pPr>
          </w:p>
          <w:p w:rsidR="00000000" w:rsidRPr="005C3E44" w:rsidP="005C3E44">
            <w:pPr>
              <w:pStyle w:val="BodyText"/>
            </w:pPr>
            <w:r w:rsidRPr="005C3E44">
              <w:t xml:space="preserve">In both real and simulated environments, access is required to:     </w:t>
            </w:r>
          </w:p>
          <w:p w:rsidR="00000000" w:rsidRPr="005C3E44" w:rsidP="005C3E44">
            <w:pPr>
              <w:pStyle w:val="BodyText"/>
            </w:pPr>
            <w:r w:rsidRPr="005C3E44">
              <w:t>relevant and appropriate materials and/or equipment, and/or</w:t>
            </w:r>
          </w:p>
          <w:p w:rsidR="00000000" w:rsidP="005C3E44">
            <w:pPr>
              <w:pStyle w:val="BodyText"/>
              <w:rPr>
                <w:lang w:val="en-NZ"/>
              </w:rPr>
            </w:pPr>
            <w:r w:rsidRPr="005C3E44">
              <w:t xml:space="preserve">applicable documentation including workplace procedures, regulations, codes of practice and operation manuals </w:t>
            </w:r>
          </w:p>
        </w:tc>
      </w:tr>
      <w:tr w:rsidTr="000258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5C3E44" w:rsidP="005C3E44">
            <w:pPr>
              <w:pStyle w:val="BodyText"/>
            </w:pPr>
            <w:r w:rsidRPr="005C3E44">
              <w:t>Assessment of this unit must be undertaken by a registered training organisation</w:t>
            </w:r>
          </w:p>
          <w:p w:rsidR="00000000" w:rsidRPr="005C3E44" w:rsidP="005C3E44">
            <w:pPr>
              <w:pStyle w:val="BodyText"/>
            </w:pPr>
            <w:r w:rsidRPr="005C3E44">
              <w:t>As a minimum, assessment of knowledge must</w:t>
            </w:r>
            <w:r w:rsidRPr="005C3E44">
              <w:t xml:space="preserve"> be conducted through appropriate written/oral tests</w:t>
            </w:r>
          </w:p>
          <w:p w:rsidR="00000000" w:rsidRPr="005C3E44" w:rsidP="005C3E44">
            <w:pPr>
              <w:pStyle w:val="BodyText"/>
            </w:pPr>
            <w:r w:rsidRPr="005C3E44">
              <w:t xml:space="preserve">Practical assessment must occur:   </w:t>
            </w:r>
          </w:p>
          <w:p w:rsidR="00000000" w:rsidRPr="005C3E44" w:rsidP="005C3E44">
            <w:pPr>
              <w:pStyle w:val="BodyText"/>
            </w:pPr>
            <w:r w:rsidRPr="005C3E44">
              <w:t>through appropriately simulated activities at the registered training organisation, and/or</w:t>
            </w:r>
          </w:p>
          <w:p w:rsidR="00000000" w:rsidRPr="005C3E44" w:rsidP="005C3E44">
            <w:pPr>
              <w:pStyle w:val="BodyText"/>
            </w:pPr>
            <w:r w:rsidRPr="005C3E44">
              <w:t xml:space="preserve">in an appropriate range of situations in the workplace </w:t>
            </w:r>
          </w:p>
        </w:tc>
      </w:tr>
    </w:tbl>
    <w:p w:rsidR="00000000" w:rsidRPr="005C3E44" w:rsidP="005C3E44">
      <w:pPr>
        <w:pStyle w:val="BodyText"/>
      </w:pPr>
    </w:p>
    <w:p w:rsidR="00000000" w:rsidRPr="005C3E44" w:rsidP="005C3E44">
      <w:pPr>
        <w:pStyle w:val="AllowPageBreak"/>
      </w:pPr>
    </w:p>
    <w:p w:rsidR="00000000" w:rsidRPr="005C3E44" w:rsidP="005C3E44">
      <w:pPr>
        <w:pStyle w:val="Heading1"/>
      </w:pPr>
      <w:bookmarkStart w:id="11" w:name="O_316243"/>
      <w:bookmarkEnd w:id="11"/>
      <w:r w:rsidRPr="005C3E44">
        <w:t>R</w:t>
      </w:r>
      <w:r w:rsidRPr="005C3E44">
        <w:t>ange Statement</w:t>
      </w:r>
    </w:p>
    <w:tbl>
      <w:tblPr>
        <w:tblW w:w="0" w:type="auto"/>
        <w:tblLayout w:type="fixed"/>
        <w:tblCellMar>
          <w:left w:w="62" w:type="dxa"/>
          <w:right w:w="62" w:type="dxa"/>
        </w:tblCellMar>
        <w:tblLook w:val="0000"/>
      </w:tblPr>
      <w:tblGrid>
        <w:gridCol w:w="4500"/>
        <w:gridCol w:w="4500"/>
      </w:tblGrid>
      <w:tr w:rsidTr="0002585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rPr>
                <w:rStyle w:val="SpecialBold"/>
              </w:rPr>
              <w:t>RANGE STATEMENT</w:t>
            </w:r>
          </w:p>
        </w:tc>
      </w:tr>
      <w:tr w:rsidTr="0002585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 xml:space="preserve">The range statement relates to the unit of competency as a whole. It allows for different work environments and situations that may affect performance. </w:t>
            </w:r>
          </w:p>
        </w:tc>
      </w:tr>
      <w:tr w:rsidTr="000258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 xml:space="preserve">Operations may be conducted: </w:t>
            </w:r>
          </w:p>
        </w:tc>
        <w:tc>
          <w:tcPr>
            <w:tcW w:w="4500" w:type="dxa"/>
            <w:tcBorders>
              <w:top w:val="nil"/>
              <w:left w:val="nil"/>
              <w:bottom w:val="nil"/>
              <w:right w:val="nil"/>
            </w:tcBorders>
            <w:tcMar>
              <w:top w:w="0" w:type="dxa"/>
              <w:left w:w="62" w:type="dxa"/>
              <w:bottom w:w="0" w:type="dxa"/>
              <w:right w:w="62" w:type="dxa"/>
            </w:tcMar>
          </w:tcPr>
          <w:p w:rsidR="00000000" w:rsidRPr="005C3E44" w:rsidP="005C3E44">
            <w:pPr>
              <w:pStyle w:val="BodyText"/>
            </w:pPr>
            <w:r w:rsidRPr="005C3E44">
              <w:t>in a range of work environments</w:t>
            </w:r>
          </w:p>
          <w:p w:rsidR="00000000" w:rsidP="005C3E44">
            <w:pPr>
              <w:pStyle w:val="BodyText"/>
              <w:rPr>
                <w:lang w:val="en-NZ"/>
              </w:rPr>
            </w:pPr>
            <w:r w:rsidRPr="005C3E44">
              <w:t xml:space="preserve">by day or night </w:t>
            </w:r>
          </w:p>
        </w:tc>
      </w:tr>
      <w:tr w:rsidTr="000258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 xml:space="preserve">internal or external </w:t>
            </w:r>
          </w:p>
        </w:tc>
      </w:tr>
      <w:tr w:rsidTr="000258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 xml:space="preserve">large, medium or small worksites </w:t>
            </w:r>
          </w:p>
        </w:tc>
      </w:tr>
      <w:tr w:rsidTr="000258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5C3E44" w:rsidP="005C3E44">
            <w:pPr>
              <w:pStyle w:val="BodyText"/>
            </w:pPr>
            <w:r w:rsidRPr="005C3E44">
              <w:t>restricted spaces</w:t>
            </w:r>
          </w:p>
          <w:p w:rsidR="00000000" w:rsidRPr="005C3E44" w:rsidP="005C3E44">
            <w:pPr>
              <w:pStyle w:val="BodyText"/>
            </w:pPr>
            <w:r w:rsidRPr="005C3E44">
              <w:t>exposed conditions</w:t>
            </w:r>
          </w:p>
          <w:p w:rsidR="00000000" w:rsidP="005C3E44">
            <w:pPr>
              <w:pStyle w:val="BodyText"/>
              <w:rPr>
                <w:lang w:val="en-NZ"/>
              </w:rPr>
            </w:pPr>
            <w:r w:rsidRPr="005C3E44">
              <w:t xml:space="preserve">controlled or open environments </w:t>
            </w:r>
          </w:p>
        </w:tc>
      </w:tr>
      <w:tr w:rsidTr="000258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 xml:space="preserve">Dry bulk product to be transferred may require: </w:t>
            </w:r>
          </w:p>
        </w:tc>
        <w:tc>
          <w:tcPr>
            <w:tcW w:w="45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 xml:space="preserve">special precautions </w:t>
            </w:r>
          </w:p>
        </w:tc>
      </w:tr>
      <w:tr w:rsidTr="000258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 xml:space="preserve">Hazards in the work area may include exposure to: </w:t>
            </w:r>
          </w:p>
        </w:tc>
        <w:tc>
          <w:tcPr>
            <w:tcW w:w="4500" w:type="dxa"/>
            <w:tcBorders>
              <w:top w:val="nil"/>
              <w:left w:val="nil"/>
              <w:bottom w:val="nil"/>
              <w:right w:val="nil"/>
            </w:tcBorders>
            <w:tcMar>
              <w:top w:w="0" w:type="dxa"/>
              <w:left w:w="62" w:type="dxa"/>
              <w:bottom w:w="0" w:type="dxa"/>
              <w:right w:w="62" w:type="dxa"/>
            </w:tcMar>
          </w:tcPr>
          <w:p w:rsidR="00000000" w:rsidRPr="005C3E44" w:rsidP="005C3E44">
            <w:pPr>
              <w:pStyle w:val="BodyText"/>
            </w:pPr>
            <w:r w:rsidRPr="005C3E44">
              <w:t>hazardous or dangerous materials</w:t>
            </w:r>
          </w:p>
          <w:p w:rsidR="00000000" w:rsidRPr="005C3E44" w:rsidP="005C3E44">
            <w:pPr>
              <w:pStyle w:val="BodyText"/>
            </w:pPr>
            <w:r w:rsidRPr="005C3E44">
              <w:t>contamination of, or from, materials being handled</w:t>
            </w:r>
          </w:p>
          <w:p w:rsidR="00000000" w:rsidRPr="005C3E44" w:rsidP="005C3E44">
            <w:pPr>
              <w:pStyle w:val="BodyText"/>
            </w:pPr>
            <w:r w:rsidRPr="005C3E44">
              <w:t>noise, light, energy sources</w:t>
            </w:r>
          </w:p>
          <w:p w:rsidR="00000000" w:rsidRPr="005C3E44" w:rsidP="005C3E44">
            <w:pPr>
              <w:pStyle w:val="BodyText"/>
            </w:pPr>
            <w:r w:rsidRPr="005C3E44">
              <w:t>stationary and moving</w:t>
            </w:r>
            <w:r w:rsidRPr="005C3E44">
              <w:t xml:space="preserve"> machinery, parts or components</w:t>
            </w:r>
          </w:p>
          <w:p w:rsidR="00000000" w:rsidRPr="005C3E44" w:rsidP="005C3E44">
            <w:pPr>
              <w:pStyle w:val="BodyText"/>
            </w:pPr>
            <w:r w:rsidRPr="005C3E44">
              <w:t>service lines</w:t>
            </w:r>
          </w:p>
          <w:p w:rsidR="00000000" w:rsidRPr="005C3E44" w:rsidP="005C3E44">
            <w:pPr>
              <w:pStyle w:val="BodyText"/>
            </w:pPr>
            <w:r w:rsidRPr="005C3E44">
              <w:t>spills, leakages, ruptures</w:t>
            </w:r>
          </w:p>
          <w:p w:rsidR="00000000" w:rsidP="005C3E44">
            <w:pPr>
              <w:pStyle w:val="BodyText"/>
              <w:rPr>
                <w:lang w:val="en-NZ"/>
              </w:rPr>
            </w:pPr>
            <w:r w:rsidRPr="005C3E44">
              <w:t xml:space="preserve">dust/vapours </w:t>
            </w:r>
          </w:p>
        </w:tc>
      </w:tr>
      <w:tr w:rsidTr="000258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5C3E44" w:rsidP="005C3E44">
            <w:pPr>
              <w:pStyle w:val="BodyText"/>
            </w:pPr>
            <w:r w:rsidRPr="005C3E44">
              <w:t>gloves</w:t>
            </w:r>
          </w:p>
          <w:p w:rsidR="00000000" w:rsidRPr="005C3E44" w:rsidP="005C3E44">
            <w:pPr>
              <w:pStyle w:val="BodyText"/>
            </w:pPr>
            <w:r w:rsidRPr="005C3E44">
              <w:t>safety headwear and footwear</w:t>
            </w:r>
          </w:p>
          <w:p w:rsidR="00000000" w:rsidRPr="005C3E44" w:rsidP="005C3E44">
            <w:pPr>
              <w:pStyle w:val="BodyText"/>
            </w:pPr>
            <w:r w:rsidRPr="005C3E44">
              <w:t>safety glasses</w:t>
            </w:r>
          </w:p>
          <w:p w:rsidR="00000000" w:rsidRPr="005C3E44" w:rsidP="005C3E44">
            <w:pPr>
              <w:pStyle w:val="BodyText"/>
            </w:pPr>
            <w:r w:rsidRPr="005C3E44">
              <w:t>mask or respirator</w:t>
            </w:r>
          </w:p>
          <w:p w:rsidR="00000000" w:rsidP="005C3E44">
            <w:pPr>
              <w:pStyle w:val="BodyText"/>
              <w:rPr>
                <w:lang w:val="en-NZ"/>
              </w:rPr>
            </w:pPr>
            <w:r w:rsidRPr="005C3E44">
              <w:t xml:space="preserve">high visibility clothing </w:t>
            </w:r>
          </w:p>
        </w:tc>
      </w:tr>
      <w:tr w:rsidTr="000258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 xml:space="preserve">Hazard management is: </w:t>
            </w:r>
          </w:p>
        </w:tc>
        <w:tc>
          <w:tcPr>
            <w:tcW w:w="45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cons</w:t>
            </w:r>
            <w:r w:rsidRPr="005C3E44">
              <w:t xml:space="preserve">istent with the principle of hierarchy of control with elimination, substitution, isolation and engineering control measures being selected before safe working practices and personal protective equipment </w:t>
            </w:r>
          </w:p>
        </w:tc>
      </w:tr>
      <w:tr w:rsidTr="000258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 xml:space="preserve">Exposure during work operations may be to: </w:t>
            </w:r>
          </w:p>
        </w:tc>
        <w:tc>
          <w:tcPr>
            <w:tcW w:w="4500" w:type="dxa"/>
            <w:tcBorders>
              <w:top w:val="nil"/>
              <w:left w:val="nil"/>
              <w:bottom w:val="nil"/>
              <w:right w:val="nil"/>
            </w:tcBorders>
            <w:tcMar>
              <w:top w:w="0" w:type="dxa"/>
              <w:left w:w="62" w:type="dxa"/>
              <w:bottom w:w="0" w:type="dxa"/>
              <w:right w:w="62" w:type="dxa"/>
            </w:tcMar>
          </w:tcPr>
          <w:p w:rsidR="00000000" w:rsidRPr="005C3E44" w:rsidP="005C3E44">
            <w:pPr>
              <w:pStyle w:val="BodyText"/>
            </w:pPr>
            <w:r w:rsidRPr="005C3E44">
              <w:t>corrosive chemicals</w:t>
            </w:r>
          </w:p>
          <w:p w:rsidR="00000000" w:rsidRPr="005C3E44" w:rsidP="005C3E44">
            <w:pPr>
              <w:pStyle w:val="BodyText"/>
            </w:pPr>
            <w:r w:rsidRPr="005C3E44">
              <w:t>solvents and adhesives</w:t>
            </w:r>
          </w:p>
          <w:p w:rsidR="00000000" w:rsidRPr="005C3E44" w:rsidP="005C3E44">
            <w:pPr>
              <w:pStyle w:val="BodyText"/>
            </w:pPr>
            <w:r w:rsidRPr="005C3E44">
              <w:t>toxic, explosive and other harmful substances</w:t>
            </w:r>
          </w:p>
          <w:p w:rsidR="00000000" w:rsidP="005C3E44">
            <w:pPr>
              <w:pStyle w:val="BodyText"/>
              <w:rPr>
                <w:lang w:val="en-NZ"/>
              </w:rPr>
            </w:pPr>
            <w:r w:rsidRPr="005C3E44">
              <w:t xml:space="preserve">movement of equipment, goods, vehicles </w:t>
            </w:r>
          </w:p>
        </w:tc>
      </w:tr>
      <w:tr w:rsidTr="000258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 xml:space="preserve">Regulatory controls and enterprise procedures may govern requirements for: </w:t>
            </w:r>
          </w:p>
        </w:tc>
        <w:tc>
          <w:tcPr>
            <w:tcW w:w="4500" w:type="dxa"/>
            <w:tcBorders>
              <w:top w:val="nil"/>
              <w:left w:val="nil"/>
              <w:bottom w:val="nil"/>
              <w:right w:val="nil"/>
            </w:tcBorders>
            <w:tcMar>
              <w:top w:w="0" w:type="dxa"/>
              <w:left w:w="62" w:type="dxa"/>
              <w:bottom w:w="0" w:type="dxa"/>
              <w:right w:w="62" w:type="dxa"/>
            </w:tcMar>
          </w:tcPr>
          <w:p w:rsidR="00000000" w:rsidRPr="005C3E44" w:rsidP="005C3E44">
            <w:pPr>
              <w:pStyle w:val="BodyText"/>
            </w:pPr>
            <w:r w:rsidRPr="005C3E44">
              <w:t>transport</w:t>
            </w:r>
          </w:p>
          <w:p w:rsidR="00000000" w:rsidRPr="005C3E44" w:rsidP="005C3E44">
            <w:pPr>
              <w:pStyle w:val="BodyText"/>
            </w:pPr>
            <w:r w:rsidRPr="005C3E44">
              <w:t>storage</w:t>
            </w:r>
          </w:p>
          <w:p w:rsidR="00000000" w:rsidRPr="005C3E44" w:rsidP="005C3E44">
            <w:pPr>
              <w:pStyle w:val="BodyText"/>
            </w:pPr>
            <w:r w:rsidRPr="005C3E44">
              <w:t>volume</w:t>
            </w:r>
          </w:p>
          <w:p w:rsidR="00000000" w:rsidRPr="005C3E44" w:rsidP="005C3E44">
            <w:pPr>
              <w:pStyle w:val="BodyText"/>
            </w:pPr>
            <w:r w:rsidRPr="005C3E44">
              <w:t>mass</w:t>
            </w:r>
          </w:p>
          <w:p w:rsidR="00000000" w:rsidP="005C3E44">
            <w:pPr>
              <w:pStyle w:val="BodyText"/>
              <w:rPr>
                <w:lang w:val="en-NZ"/>
              </w:rPr>
            </w:pPr>
            <w:r w:rsidRPr="005C3E44">
              <w:t xml:space="preserve">required controls </w:t>
            </w:r>
          </w:p>
        </w:tc>
      </w:tr>
      <w:tr w:rsidTr="000258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 xml:space="preserve">Relevant transfer systems may include: </w:t>
            </w:r>
          </w:p>
        </w:tc>
        <w:tc>
          <w:tcPr>
            <w:tcW w:w="4500" w:type="dxa"/>
            <w:tcBorders>
              <w:top w:val="nil"/>
              <w:left w:val="nil"/>
              <w:bottom w:val="nil"/>
              <w:right w:val="nil"/>
            </w:tcBorders>
            <w:tcMar>
              <w:top w:w="0" w:type="dxa"/>
              <w:left w:w="62" w:type="dxa"/>
              <w:bottom w:w="0" w:type="dxa"/>
              <w:right w:w="62" w:type="dxa"/>
            </w:tcMar>
          </w:tcPr>
          <w:p w:rsidR="00000000" w:rsidRPr="005C3E44" w:rsidP="005C3E44">
            <w:pPr>
              <w:pStyle w:val="BodyText"/>
            </w:pPr>
            <w:r w:rsidRPr="005C3E44">
              <w:t>ducted</w:t>
            </w:r>
          </w:p>
          <w:p w:rsidR="00000000" w:rsidRPr="005C3E44" w:rsidP="005C3E44">
            <w:pPr>
              <w:pStyle w:val="BodyText"/>
            </w:pPr>
            <w:r w:rsidRPr="005C3E44">
              <w:t>conveyor</w:t>
            </w:r>
          </w:p>
          <w:p w:rsidR="00000000" w:rsidRPr="005C3E44" w:rsidP="005C3E44">
            <w:pPr>
              <w:pStyle w:val="BodyText"/>
            </w:pPr>
            <w:r w:rsidRPr="005C3E44">
              <w:t>mobile plant</w:t>
            </w:r>
          </w:p>
          <w:p w:rsidR="00000000" w:rsidRPr="005C3E44" w:rsidP="005C3E44">
            <w:pPr>
              <w:pStyle w:val="BodyText"/>
            </w:pPr>
            <w:r w:rsidRPr="005C3E44">
              <w:t>pipelines</w:t>
            </w:r>
          </w:p>
          <w:p w:rsidR="00000000" w:rsidRPr="005C3E44" w:rsidP="005C3E44">
            <w:pPr>
              <w:pStyle w:val="BodyText"/>
            </w:pPr>
            <w:r w:rsidRPr="005C3E44">
              <w:t>elevators</w:t>
            </w:r>
          </w:p>
          <w:p w:rsidR="00000000" w:rsidP="005C3E44">
            <w:pPr>
              <w:pStyle w:val="BodyText"/>
              <w:rPr>
                <w:lang w:val="en-NZ"/>
              </w:rPr>
            </w:pPr>
            <w:r w:rsidRPr="005C3E44">
              <w:t xml:space="preserve">augers </w:t>
            </w:r>
          </w:p>
        </w:tc>
      </w:tr>
      <w:tr w:rsidTr="000258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 xml:space="preserve">Requirements for work may include: </w:t>
            </w:r>
          </w:p>
        </w:tc>
        <w:tc>
          <w:tcPr>
            <w:tcW w:w="4500" w:type="dxa"/>
            <w:tcBorders>
              <w:top w:val="nil"/>
              <w:left w:val="nil"/>
              <w:bottom w:val="nil"/>
              <w:right w:val="nil"/>
            </w:tcBorders>
            <w:tcMar>
              <w:top w:w="0" w:type="dxa"/>
              <w:left w:w="62" w:type="dxa"/>
              <w:bottom w:w="0" w:type="dxa"/>
              <w:right w:w="62" w:type="dxa"/>
            </w:tcMar>
          </w:tcPr>
          <w:p w:rsidR="00000000" w:rsidRPr="005C3E44" w:rsidP="005C3E44">
            <w:pPr>
              <w:pStyle w:val="BodyText"/>
            </w:pPr>
            <w:r w:rsidRPr="005C3E44">
              <w:t>site restrictions and procedures</w:t>
            </w:r>
          </w:p>
          <w:p w:rsidR="00000000" w:rsidRPr="005C3E44" w:rsidP="005C3E44">
            <w:pPr>
              <w:pStyle w:val="BodyText"/>
            </w:pPr>
            <w:r w:rsidRPr="005C3E44">
              <w:t>use of safety and personal protective equipment</w:t>
            </w:r>
          </w:p>
          <w:p w:rsidR="00000000" w:rsidRPr="005C3E44" w:rsidP="005C3E44">
            <w:pPr>
              <w:pStyle w:val="BodyText"/>
            </w:pPr>
            <w:r w:rsidRPr="005C3E44">
              <w:t>communications equipment</w:t>
            </w:r>
          </w:p>
          <w:p w:rsidR="00000000" w:rsidRPr="005C3E44" w:rsidP="005C3E44">
            <w:pPr>
              <w:pStyle w:val="BodyText"/>
            </w:pPr>
            <w:r w:rsidRPr="005C3E44">
              <w:t>specialised lifting and/or handling equipment</w:t>
            </w:r>
          </w:p>
          <w:p w:rsidR="00000000" w:rsidRPr="005C3E44" w:rsidP="005C3E44">
            <w:pPr>
              <w:pStyle w:val="BodyText"/>
            </w:pPr>
            <w:r w:rsidRPr="005C3E44">
              <w:t>incident breakdown procedures</w:t>
            </w:r>
          </w:p>
          <w:p w:rsidR="00000000" w:rsidRPr="005C3E44" w:rsidP="005C3E44">
            <w:pPr>
              <w:pStyle w:val="BodyText"/>
            </w:pPr>
            <w:r w:rsidRPr="005C3E44">
              <w:t>additional gear and equipment</w:t>
            </w:r>
          </w:p>
          <w:p w:rsidR="00000000" w:rsidRPr="005C3E44" w:rsidP="005C3E44">
            <w:pPr>
              <w:pStyle w:val="BodyText"/>
            </w:pPr>
            <w:r w:rsidRPr="005C3E44">
              <w:t>noise restrictions</w:t>
            </w:r>
          </w:p>
          <w:p w:rsidR="00000000" w:rsidRPr="005C3E44" w:rsidP="005C3E44">
            <w:pPr>
              <w:pStyle w:val="BodyText"/>
            </w:pPr>
            <w:r w:rsidRPr="005C3E44">
              <w:t>hours of operation</w:t>
            </w:r>
          </w:p>
          <w:p w:rsidR="00000000" w:rsidP="005C3E44">
            <w:pPr>
              <w:pStyle w:val="BodyText"/>
              <w:rPr>
                <w:lang w:val="en-NZ"/>
              </w:rPr>
            </w:pPr>
            <w:r w:rsidRPr="005C3E44">
              <w:t xml:space="preserve">authorities and permits </w:t>
            </w:r>
          </w:p>
        </w:tc>
      </w:tr>
      <w:tr w:rsidTr="000258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5C3E44" w:rsidP="005C3E44">
            <w:pPr>
              <w:pStyle w:val="BodyText"/>
            </w:pPr>
            <w:r w:rsidRPr="005C3E44">
              <w:t>other employees and supervisors</w:t>
            </w:r>
          </w:p>
          <w:p w:rsidR="00000000" w:rsidRPr="005C3E44" w:rsidP="005C3E44">
            <w:pPr>
              <w:pStyle w:val="BodyText"/>
            </w:pPr>
            <w:r w:rsidRPr="005C3E44">
              <w:t>suppliers, potent</w:t>
            </w:r>
            <w:r w:rsidRPr="005C3E44">
              <w:t>ial customers and existing clients</w:t>
            </w:r>
          </w:p>
          <w:p w:rsidR="00000000" w:rsidRPr="005C3E44" w:rsidP="005C3E44">
            <w:pPr>
              <w:pStyle w:val="BodyText"/>
            </w:pPr>
            <w:r w:rsidRPr="005C3E44">
              <w:t>management and union representatives</w:t>
            </w:r>
          </w:p>
          <w:p w:rsidR="00000000" w:rsidP="005C3E44">
            <w:pPr>
              <w:pStyle w:val="BodyText"/>
              <w:rPr>
                <w:lang w:val="en-NZ"/>
              </w:rPr>
            </w:pPr>
            <w:r w:rsidRPr="005C3E44">
              <w:t xml:space="preserve">industrial relations, OH&amp;S specialists, and other maintenance, professional or technical staff </w:t>
            </w:r>
          </w:p>
        </w:tc>
      </w:tr>
      <w:tr w:rsidTr="000258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5C3E44" w:rsidP="005C3E44">
            <w:pPr>
              <w:pStyle w:val="BodyText"/>
            </w:pPr>
            <w:r w:rsidRPr="005C3E44">
              <w:t>phone</w:t>
            </w:r>
          </w:p>
          <w:p w:rsidR="00000000" w:rsidRPr="005C3E44" w:rsidP="005C3E44">
            <w:pPr>
              <w:pStyle w:val="BodyText"/>
            </w:pPr>
            <w:r w:rsidRPr="005C3E44">
              <w:t>electronic data interchange</w:t>
            </w:r>
          </w:p>
          <w:p w:rsidR="00000000" w:rsidRPr="005C3E44" w:rsidP="005C3E44">
            <w:pPr>
              <w:pStyle w:val="BodyText"/>
            </w:pPr>
            <w:r w:rsidRPr="005C3E44">
              <w:t>fax</w:t>
            </w:r>
          </w:p>
          <w:p w:rsidR="00000000" w:rsidRPr="005C3E44" w:rsidP="005C3E44">
            <w:pPr>
              <w:pStyle w:val="BodyText"/>
            </w:pPr>
            <w:r w:rsidRPr="005C3E44">
              <w:t>emai</w:t>
            </w:r>
            <w:r w:rsidRPr="005C3E44">
              <w:t>l</w:t>
            </w:r>
          </w:p>
          <w:p w:rsidR="00000000" w:rsidRPr="005C3E44" w:rsidP="005C3E44">
            <w:pPr>
              <w:pStyle w:val="BodyText"/>
            </w:pPr>
            <w:r w:rsidRPr="005C3E44">
              <w:t>internet</w:t>
            </w:r>
          </w:p>
          <w:p w:rsidR="00000000" w:rsidRPr="005C3E44" w:rsidP="005C3E44">
            <w:pPr>
              <w:pStyle w:val="BodyText"/>
            </w:pPr>
            <w:r w:rsidRPr="005C3E44">
              <w:t>radio</w:t>
            </w:r>
          </w:p>
          <w:p w:rsidR="00000000" w:rsidP="005C3E44">
            <w:pPr>
              <w:pStyle w:val="BodyText"/>
              <w:rPr>
                <w:lang w:val="en-NZ"/>
              </w:rPr>
            </w:pPr>
            <w:r w:rsidRPr="005C3E44">
              <w:t xml:space="preserve">oral, aural or signed communications </w:t>
            </w:r>
          </w:p>
        </w:tc>
      </w:tr>
      <w:tr w:rsidTr="000258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5C3E44" w:rsidP="005C3E44">
            <w:pPr>
              <w:pStyle w:val="BodyText"/>
            </w:pPr>
            <w:r w:rsidRPr="005C3E44">
              <w:t>company procedures</w:t>
            </w:r>
          </w:p>
          <w:p w:rsidR="00000000" w:rsidRPr="005C3E44" w:rsidP="005C3E44">
            <w:pPr>
              <w:pStyle w:val="BodyText"/>
            </w:pPr>
            <w:r w:rsidRPr="005C3E44">
              <w:t>enterprise procedures</w:t>
            </w:r>
          </w:p>
          <w:p w:rsidR="00000000" w:rsidRPr="005C3E44" w:rsidP="005C3E44">
            <w:pPr>
              <w:pStyle w:val="BodyText"/>
            </w:pPr>
            <w:r w:rsidRPr="005C3E44">
              <w:t>organisational procedures</w:t>
            </w:r>
          </w:p>
          <w:p w:rsidR="00000000" w:rsidRPr="005C3E44" w:rsidP="005C3E44">
            <w:pPr>
              <w:pStyle w:val="BodyText"/>
            </w:pPr>
            <w:r w:rsidRPr="005C3E44">
              <w:t>established procedures</w:t>
            </w:r>
          </w:p>
          <w:p w:rsidR="00000000" w:rsidP="005C3E44">
            <w:pPr>
              <w:pStyle w:val="BodyText"/>
              <w:rPr>
                <w:lang w:val="en-NZ"/>
              </w:rPr>
            </w:pPr>
            <w:r w:rsidRPr="005C3E44">
              <w:t xml:space="preserve">site procedures </w:t>
            </w:r>
          </w:p>
        </w:tc>
      </w:tr>
      <w:tr w:rsidTr="000258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5C3E44" w:rsidP="005C3E44">
            <w:pPr>
              <w:pStyle w:val="BodyText"/>
            </w:pPr>
            <w:r w:rsidRPr="005C3E44">
              <w:t>Safe Working Load (SWL) and Working Load Limit (WLL)</w:t>
            </w:r>
          </w:p>
          <w:p w:rsidR="00000000" w:rsidRPr="005C3E44" w:rsidP="005C3E44">
            <w:pPr>
              <w:pStyle w:val="BodyText"/>
            </w:pPr>
            <w:r w:rsidRPr="005C3E44">
              <w:t>manifests, bar codes, goods and product identification</w:t>
            </w:r>
          </w:p>
          <w:p w:rsidR="00000000" w:rsidRPr="005C3E44" w:rsidP="005C3E44">
            <w:pPr>
              <w:pStyle w:val="BodyText"/>
            </w:pPr>
            <w:r w:rsidRPr="005C3E44">
              <w:t>manufacturers specifications for equipment/tools</w:t>
            </w:r>
          </w:p>
          <w:p w:rsidR="00000000" w:rsidRPr="005C3E44" w:rsidP="005C3E44">
            <w:pPr>
              <w:pStyle w:val="BodyText"/>
            </w:pPr>
            <w:r w:rsidRPr="005C3E44">
              <w:t>workplace procedures a</w:t>
            </w:r>
            <w:r w:rsidRPr="005C3E44">
              <w:t>nd policies for the transfer of dry bulk product</w:t>
            </w:r>
          </w:p>
          <w:p w:rsidR="00000000" w:rsidRPr="005C3E44" w:rsidP="005C3E44">
            <w:pPr>
              <w:pStyle w:val="BodyText"/>
            </w:pPr>
            <w:r w:rsidRPr="005C3E44">
              <w:t>supplier and/or client instructions</w:t>
            </w:r>
          </w:p>
          <w:p w:rsidR="00000000" w:rsidRPr="005C3E44" w:rsidP="005C3E44">
            <w:pPr>
              <w:pStyle w:val="BodyText"/>
            </w:pPr>
            <w:r w:rsidRPr="005C3E44">
              <w:t>material safety data sheets</w:t>
            </w:r>
          </w:p>
          <w:p w:rsidR="00000000" w:rsidRPr="005C3E44" w:rsidP="005C3E44">
            <w:pPr>
              <w:pStyle w:val="BodyText"/>
            </w:pPr>
            <w:r w:rsidRPr="005C3E44">
              <w:t>codes of practice including the National Standards for Manual Handling and the Industry Safety Code</w:t>
            </w:r>
          </w:p>
          <w:p w:rsidR="00000000" w:rsidRPr="005C3E44" w:rsidP="005C3E44">
            <w:pPr>
              <w:pStyle w:val="BodyText"/>
            </w:pPr>
            <w:r w:rsidRPr="005C3E44">
              <w:t>award, enterprise bargaining agreement, oth</w:t>
            </w:r>
            <w:r w:rsidRPr="005C3E44">
              <w:t>er industrial arrangements</w:t>
            </w:r>
          </w:p>
          <w:p w:rsidR="00000000" w:rsidRPr="005C3E44" w:rsidP="005C3E44">
            <w:pPr>
              <w:pStyle w:val="BodyText"/>
            </w:pPr>
            <w:r w:rsidRPr="005C3E44">
              <w:t>relevant standards and certification requirements</w:t>
            </w:r>
          </w:p>
          <w:p w:rsidR="00000000" w:rsidRPr="005C3E44" w:rsidP="005C3E44">
            <w:pPr>
              <w:pStyle w:val="BodyText"/>
            </w:pPr>
            <w:r w:rsidRPr="005C3E44">
              <w:t>quality assurance procedures</w:t>
            </w:r>
          </w:p>
          <w:p w:rsidR="00000000" w:rsidP="005C3E44">
            <w:pPr>
              <w:pStyle w:val="BodyText"/>
              <w:rPr>
                <w:lang w:val="en-NZ"/>
              </w:rPr>
            </w:pPr>
            <w:r w:rsidRPr="005C3E44">
              <w:t xml:space="preserve">emergency procedures </w:t>
            </w:r>
          </w:p>
        </w:tc>
      </w:tr>
      <w:tr w:rsidTr="000258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C3E44">
            <w:pPr>
              <w:pStyle w:val="BodyText"/>
              <w:rPr>
                <w:lang w:val="en-NZ"/>
              </w:rPr>
            </w:pPr>
            <w:r w:rsidRPr="005C3E44">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5C3E44" w:rsidP="005C3E44">
            <w:pPr>
              <w:pStyle w:val="BodyText"/>
            </w:pPr>
            <w:r w:rsidRPr="005C3E44">
              <w:t>state/territory mass and loading regulations</w:t>
            </w:r>
          </w:p>
          <w:p w:rsidR="00000000" w:rsidRPr="005C3E44" w:rsidP="005C3E44">
            <w:pPr>
              <w:pStyle w:val="BodyText"/>
            </w:pPr>
            <w:r w:rsidRPr="005C3E44">
              <w:t>Australian regulations releva</w:t>
            </w:r>
            <w:r w:rsidRPr="005C3E44">
              <w:t>nt to the transfer of dry bulk product</w:t>
            </w:r>
          </w:p>
          <w:p w:rsidR="00000000" w:rsidRPr="005C3E44" w:rsidP="005C3E44">
            <w:pPr>
              <w:pStyle w:val="BodyText"/>
            </w:pPr>
            <w:r w:rsidRPr="005C3E44">
              <w:t xml:space="preserve">Australian and international regulations and codes of practice for the handling and transport of dangerous goods and hazardous substances, including:   </w:t>
            </w:r>
          </w:p>
          <w:p w:rsidR="00000000" w:rsidRPr="005C3E44" w:rsidP="005C3E44">
            <w:pPr>
              <w:pStyle w:val="BodyText"/>
            </w:pPr>
            <w:r w:rsidRPr="005C3E44">
              <w:t>Australian and International Dangerous Goods Codes</w:t>
            </w:r>
          </w:p>
          <w:p w:rsidR="00000000" w:rsidRPr="005C3E44" w:rsidP="005C3E44">
            <w:pPr>
              <w:pStyle w:val="BodyText"/>
            </w:pPr>
            <w:r w:rsidRPr="005C3E44">
              <w:t>Australian Marine Orders and the International Maritime Dangerous Goods Code</w:t>
            </w:r>
          </w:p>
          <w:p w:rsidR="00000000" w:rsidRPr="005C3E44" w:rsidP="005C3E44">
            <w:pPr>
              <w:pStyle w:val="BodyText"/>
            </w:pPr>
            <w:r w:rsidRPr="005C3E44">
              <w:t>IATA Dangerous Goods by Air regulations</w:t>
            </w:r>
          </w:p>
          <w:p w:rsidR="00000000" w:rsidRPr="005C3E44" w:rsidP="005C3E44">
            <w:pPr>
              <w:pStyle w:val="BodyText"/>
            </w:pPr>
          </w:p>
          <w:p w:rsidR="00000000" w:rsidRPr="005C3E44" w:rsidP="005C3E44">
            <w:pPr>
              <w:pStyle w:val="BodyText"/>
            </w:pPr>
            <w:r w:rsidRPr="005C3E44">
              <w:t xml:space="preserve">relevant state/territory environmental protection legislation  </w:t>
            </w:r>
          </w:p>
          <w:p w:rsidR="00000000" w:rsidRPr="005C3E44" w:rsidP="005C3E44">
            <w:pPr>
              <w:pStyle w:val="BodyText"/>
            </w:pPr>
            <w:r w:rsidRPr="005C3E44">
              <w:t xml:space="preserve">relevant state/territory OH&amp;S legislation </w:t>
            </w:r>
          </w:p>
        </w:tc>
      </w:tr>
    </w:tbl>
    <w:p w:rsidR="00000000" w:rsidRPr="005C3E44" w:rsidP="005C3E44">
      <w:pPr>
        <w:pStyle w:val="BodyText"/>
      </w:pPr>
    </w:p>
    <w:p w:rsidR="00000000" w:rsidRPr="005C3E44" w:rsidP="005C3E44">
      <w:pPr>
        <w:pStyle w:val="AllowPageBreak"/>
      </w:pPr>
    </w:p>
    <w:p w:rsidR="00000000" w:rsidRPr="005C3E44" w:rsidP="005C3E44">
      <w:pPr>
        <w:pStyle w:val="Heading1"/>
      </w:pPr>
      <w:bookmarkStart w:id="12" w:name="O_316242"/>
      <w:bookmarkEnd w:id="12"/>
      <w:r w:rsidRPr="005C3E44">
        <w:t>Unit Sector(</w:t>
      </w:r>
      <w:r w:rsidRPr="005C3E44">
        <w:t>s)</w:t>
      </w:r>
    </w:p>
    <w:p w:rsidR="00000000" w:rsidRPr="005C3E44" w:rsidP="005C3E44">
      <w:pPr>
        <w:pStyle w:val="BodyText"/>
      </w:pPr>
      <w:r w:rsidRPr="005C3E44">
        <w:t>Not applicable.</w:t>
      </w:r>
    </w:p>
    <w:p w:rsidR="00000000" w:rsidRPr="005C3E44" w:rsidP="005C3E44">
      <w:pPr>
        <w:pStyle w:val="AllowPageBreak"/>
      </w:pPr>
    </w:p>
    <w:p w:rsidR="00000000" w:rsidRPr="005C3E44" w:rsidP="005C3E44">
      <w:pPr>
        <w:pStyle w:val="Heading1"/>
      </w:pPr>
      <w:bookmarkStart w:id="13" w:name="O_316241"/>
      <w:bookmarkEnd w:id="13"/>
      <w:r w:rsidRPr="005C3E44">
        <w:t xml:space="preserve">Competency Field </w:t>
      </w:r>
    </w:p>
    <w:p w:rsidR="00000000" w:rsidRPr="005C3E44" w:rsidP="005C3E44">
      <w:pPr>
        <w:pStyle w:val="BodyText"/>
      </w:pPr>
      <w:r w:rsidRPr="005C3E44">
        <w:t>D - Load Handling</w:t>
      </w:r>
    </w:p>
    <w:p w:rsidR="00000000" w:rsidRPr="005C3E44" w:rsidP="005C3E44"/>
    <w:sectPr w:rsidSect="005C3E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E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5858" w:rsidP="000258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E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858" w:rsidP="005C3E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25858" w:rsidP="005C3E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25858" w:rsidP="005C3E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E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5858" w:rsidP="0002585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E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858" w:rsidP="005C3E44">
    <w:pPr>
      <w:pStyle w:val="Header"/>
      <w:framePr w:wrap="around"/>
    </w:pPr>
    <w:r>
      <w:fldChar w:fldCharType="begin"/>
    </w:r>
    <w:r>
      <w:instrText xml:space="preserve"> TITLE   \* MERGEFORMAT </w:instrText>
    </w:r>
    <w:r>
      <w:fldChar w:fldCharType="separate"/>
    </w:r>
    <w:r>
      <w:t>TLID2107C Use specialised bulk transfer equipment (dry)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25858" w:rsidP="005C3E4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E4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C3E44"/>
    <w:pPr>
      <w:spacing w:before="360" w:after="60"/>
      <w:outlineLvl w:val="0"/>
    </w:pPr>
    <w:rPr>
      <w:sz w:val="32"/>
    </w:rPr>
  </w:style>
  <w:style w:type="paragraph" w:styleId="Heading2">
    <w:name w:val="heading 2"/>
    <w:basedOn w:val="HeadingBase"/>
    <w:next w:val="BodyText"/>
    <w:link w:val="Heading2Char"/>
    <w:qFormat/>
    <w:rsid w:val="005C3E44"/>
    <w:pPr>
      <w:keepLines/>
      <w:spacing w:before="240" w:after="120"/>
      <w:outlineLvl w:val="1"/>
    </w:pPr>
    <w:rPr>
      <w:sz w:val="28"/>
      <w:szCs w:val="40"/>
    </w:rPr>
  </w:style>
  <w:style w:type="paragraph" w:styleId="Heading3">
    <w:name w:val="heading 3"/>
    <w:basedOn w:val="HeadingBase"/>
    <w:next w:val="BodyText"/>
    <w:link w:val="Heading3Char"/>
    <w:qFormat/>
    <w:rsid w:val="005C3E44"/>
    <w:pPr>
      <w:spacing w:before="180" w:after="120"/>
      <w:outlineLvl w:val="2"/>
    </w:pPr>
    <w:rPr>
      <w:spacing w:val="-10"/>
      <w:kern w:val="32"/>
    </w:rPr>
  </w:style>
  <w:style w:type="paragraph" w:styleId="Heading4">
    <w:name w:val="heading 4"/>
    <w:basedOn w:val="HeadingBase"/>
    <w:next w:val="BodyText"/>
    <w:link w:val="Heading4Char"/>
    <w:qFormat/>
    <w:rsid w:val="005C3E44"/>
    <w:pPr>
      <w:spacing w:before="160" w:after="120"/>
      <w:outlineLvl w:val="3"/>
    </w:pPr>
    <w:rPr>
      <w:sz w:val="22"/>
    </w:rPr>
  </w:style>
  <w:style w:type="paragraph" w:styleId="Heading5">
    <w:name w:val="heading 5"/>
    <w:basedOn w:val="HeadingBase"/>
    <w:next w:val="Normal"/>
    <w:link w:val="Heading5Char"/>
    <w:qFormat/>
    <w:rsid w:val="005C3E44"/>
    <w:pPr>
      <w:spacing w:before="80"/>
      <w:outlineLvl w:val="4"/>
    </w:pPr>
    <w:rPr>
      <w:color w:val="918585"/>
      <w:sz w:val="20"/>
    </w:rPr>
  </w:style>
  <w:style w:type="paragraph" w:styleId="Heading6">
    <w:name w:val="heading 6"/>
    <w:basedOn w:val="HeadingBase"/>
    <w:next w:val="Normal"/>
    <w:link w:val="Heading6Char"/>
    <w:qFormat/>
    <w:rsid w:val="005C3E44"/>
    <w:pPr>
      <w:spacing w:before="60"/>
      <w:outlineLvl w:val="5"/>
    </w:pPr>
    <w:rPr>
      <w:color w:val="918585"/>
      <w:sz w:val="20"/>
    </w:rPr>
  </w:style>
  <w:style w:type="paragraph" w:styleId="Heading7">
    <w:name w:val="heading 7"/>
    <w:basedOn w:val="Normal"/>
    <w:next w:val="Normal"/>
    <w:link w:val="Heading7Char"/>
    <w:qFormat/>
    <w:rsid w:val="005C3E44"/>
    <w:pPr>
      <w:ind w:left="720"/>
      <w:outlineLvl w:val="6"/>
    </w:pPr>
    <w:rPr>
      <w:i/>
    </w:rPr>
  </w:style>
  <w:style w:type="paragraph" w:styleId="Heading8">
    <w:name w:val="heading 8"/>
    <w:basedOn w:val="Normal"/>
    <w:next w:val="Normal"/>
    <w:link w:val="Heading8Char"/>
    <w:qFormat/>
    <w:rsid w:val="005C3E44"/>
    <w:pPr>
      <w:ind w:left="720"/>
      <w:outlineLvl w:val="7"/>
    </w:pPr>
    <w:rPr>
      <w:i/>
    </w:rPr>
  </w:style>
  <w:style w:type="paragraph" w:styleId="Heading9">
    <w:name w:val="heading 9"/>
    <w:basedOn w:val="Normal"/>
    <w:next w:val="Normal"/>
    <w:link w:val="Heading9Char"/>
    <w:qFormat/>
    <w:rsid w:val="005C3E44"/>
    <w:pPr>
      <w:ind w:left="720"/>
      <w:outlineLvl w:val="8"/>
    </w:pPr>
    <w:rPr>
      <w:i/>
    </w:rPr>
  </w:style>
  <w:style w:type="character" w:default="1" w:styleId="DefaultParagraphFont">
    <w:name w:val="Default Paragraph Font"/>
    <w:uiPriority w:val="1"/>
    <w:unhideWhenUsed/>
    <w:rsid w:val="005C3E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3E44"/>
  </w:style>
  <w:style w:type="character" w:customStyle="1" w:styleId="Heading1Char">
    <w:name w:val="Heading 1 Char"/>
    <w:basedOn w:val="DefaultParagraphFont"/>
    <w:link w:val="Heading1"/>
    <w:rsid w:val="005C3E44"/>
    <w:rPr>
      <w:rFonts w:ascii="Times New Roman" w:eastAsia="Times New Roman" w:hAnsi="Times New Roman" w:cs="Times New Roman"/>
      <w:b/>
      <w:sz w:val="32"/>
      <w:szCs w:val="20"/>
      <w:lang w:eastAsia="en-US"/>
    </w:rPr>
  </w:style>
  <w:style w:type="paragraph" w:styleId="BodyText">
    <w:name w:val="Body Text"/>
    <w:basedOn w:val="Normal"/>
    <w:link w:val="BodyTextChar"/>
    <w:rsid w:val="005C3E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3E44"/>
    <w:rPr>
      <w:rFonts w:ascii="Times New Roman" w:eastAsia="Times New Roman" w:hAnsi="Times New Roman" w:cs="Times New Roman"/>
      <w:sz w:val="24"/>
      <w:lang w:val="en-US" w:eastAsia="en-US"/>
    </w:rPr>
  </w:style>
  <w:style w:type="paragraph" w:styleId="Footer">
    <w:name w:val="footer"/>
    <w:basedOn w:val="Normal"/>
    <w:link w:val="FooterChar"/>
    <w:rsid w:val="005C3E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3E4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5C3E44"/>
    <w:rPr>
      <w:b/>
      <w:spacing w:val="0"/>
    </w:rPr>
  </w:style>
  <w:style w:type="paragraph" w:styleId="Header">
    <w:name w:val="header"/>
    <w:basedOn w:val="Normal"/>
    <w:link w:val="HeaderChar"/>
    <w:rsid w:val="005C3E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3E4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C3E44"/>
    <w:pPr>
      <w:spacing w:before="240" w:after="120"/>
      <w:outlineLvl w:val="0"/>
    </w:pPr>
    <w:rPr>
      <w:rFonts w:ascii="Times New Roman" w:hAnsi="Times New Roman"/>
      <w:b/>
      <w:sz w:val="28"/>
    </w:rPr>
  </w:style>
  <w:style w:type="paragraph" w:customStyle="1" w:styleId="AllowPageBreak">
    <w:name w:val="AllowPageBreak"/>
    <w:rsid w:val="005C3E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3E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3E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3E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3E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3E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3E4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C3E4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C3E44"/>
    <w:rPr>
      <w:rFonts w:ascii="Courier New" w:eastAsia="Times New Roman" w:hAnsi="Courier New" w:cs="Times New Roman"/>
      <w:i/>
      <w:szCs w:val="20"/>
      <w:lang w:val="en-US" w:eastAsia="en-US"/>
    </w:rPr>
  </w:style>
  <w:style w:type="paragraph" w:customStyle="1" w:styleId="HeadingBase">
    <w:name w:val="Heading Base"/>
    <w:rsid w:val="005C3E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3E44"/>
    <w:pPr>
      <w:tabs>
        <w:tab w:val="right" w:leader="dot" w:pos="9072"/>
      </w:tabs>
      <w:ind w:left="567"/>
    </w:pPr>
    <w:rPr>
      <w:szCs w:val="22"/>
    </w:rPr>
  </w:style>
  <w:style w:type="paragraph" w:customStyle="1" w:styleId="TOCBase">
    <w:name w:val="TOC Base"/>
    <w:rsid w:val="005C3E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3E44"/>
    <w:pPr>
      <w:tabs>
        <w:tab w:val="right" w:leader="dot" w:pos="9072"/>
      </w:tabs>
      <w:spacing w:before="40" w:after="40"/>
      <w:ind w:left="284"/>
    </w:pPr>
    <w:rPr>
      <w:rFonts w:ascii="Times New Roman" w:hAnsi="Times New Roman"/>
    </w:rPr>
  </w:style>
  <w:style w:type="paragraph" w:styleId="TOC1">
    <w:name w:val="toc 1"/>
    <w:basedOn w:val="TOCBase"/>
    <w:next w:val="Normal"/>
    <w:rsid w:val="005C3E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3E44"/>
    <w:pPr>
      <w:spacing w:before="5040"/>
      <w:jc w:val="center"/>
    </w:pPr>
    <w:rPr>
      <w:sz w:val="48"/>
      <w:szCs w:val="72"/>
      <w:lang w:val="en-US"/>
    </w:rPr>
  </w:style>
  <w:style w:type="character" w:customStyle="1" w:styleId="TitleChar">
    <w:name w:val="Title Char"/>
    <w:basedOn w:val="DefaultParagraphFont"/>
    <w:link w:val="Title"/>
    <w:rsid w:val="005C3E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3E44"/>
    <w:pPr>
      <w:tabs>
        <w:tab w:val="left" w:pos="3600"/>
        <w:tab w:val="left" w:pos="3958"/>
      </w:tabs>
    </w:pPr>
  </w:style>
  <w:style w:type="paragraph" w:styleId="List">
    <w:name w:val="List"/>
    <w:basedOn w:val="BodyText"/>
    <w:next w:val="BodyText"/>
    <w:rsid w:val="005C3E44"/>
    <w:pPr>
      <w:tabs>
        <w:tab w:val="left" w:pos="340"/>
      </w:tabs>
      <w:spacing w:before="60" w:after="60"/>
      <w:ind w:left="340" w:hanging="340"/>
    </w:pPr>
  </w:style>
  <w:style w:type="paragraph" w:styleId="ListBullet">
    <w:name w:val="List Bullet"/>
    <w:basedOn w:val="List"/>
    <w:rsid w:val="005C3E44"/>
    <w:pPr>
      <w:numPr>
        <w:numId w:val="11"/>
      </w:numPr>
      <w:tabs>
        <w:tab w:val="clear" w:pos="340"/>
      </w:tabs>
      <w:spacing w:before="40" w:after="40"/>
    </w:pPr>
  </w:style>
  <w:style w:type="paragraph" w:customStyle="1" w:styleId="Note">
    <w:name w:val="Note"/>
    <w:basedOn w:val="BodyText"/>
    <w:rsid w:val="005C3E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3E44"/>
    <w:pPr>
      <w:framePr w:wrap="auto" w:hAnchor="text" w:y="6049"/>
    </w:pPr>
    <w:rPr>
      <w:color w:val="000000"/>
      <w:sz w:val="40"/>
    </w:rPr>
  </w:style>
  <w:style w:type="paragraph" w:customStyle="1" w:styleId="TOCTitle">
    <w:name w:val="TOCTitle"/>
    <w:basedOn w:val="Heading1"/>
    <w:rsid w:val="005C3E44"/>
    <w:pPr>
      <w:spacing w:after="240"/>
      <w:jc w:val="center"/>
      <w:outlineLvl w:val="9"/>
    </w:pPr>
    <w:rPr>
      <w:caps/>
    </w:rPr>
  </w:style>
  <w:style w:type="paragraph" w:customStyle="1" w:styleId="Version">
    <w:name w:val="Version"/>
    <w:rsid w:val="005C3E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3E44"/>
    <w:pPr>
      <w:numPr>
        <w:numId w:val="12"/>
      </w:numPr>
      <w:tabs>
        <w:tab w:val="clear" w:pos="680"/>
      </w:tabs>
    </w:pPr>
  </w:style>
  <w:style w:type="paragraph" w:styleId="Index1">
    <w:name w:val="index 1"/>
    <w:basedOn w:val="Normal"/>
    <w:next w:val="Normal"/>
    <w:semiHidden/>
    <w:rsid w:val="005C3E44"/>
    <w:pPr>
      <w:keepNext w:val="0"/>
      <w:tabs>
        <w:tab w:val="right" w:pos="4176"/>
      </w:tabs>
      <w:ind w:left="198" w:hanging="198"/>
    </w:pPr>
    <w:rPr>
      <w:rFonts w:ascii="Garamond" w:hAnsi="Garamond"/>
    </w:rPr>
  </w:style>
  <w:style w:type="paragraph" w:styleId="IndexHeading">
    <w:name w:val="index heading"/>
    <w:basedOn w:val="Normal"/>
    <w:next w:val="Index1"/>
    <w:semiHidden/>
    <w:rsid w:val="005C3E44"/>
    <w:pPr>
      <w:spacing w:before="120" w:after="120"/>
    </w:pPr>
    <w:rPr>
      <w:rFonts w:ascii="Arial" w:hAnsi="Arial"/>
      <w:b/>
      <w:color w:val="918585"/>
      <w:sz w:val="24"/>
    </w:rPr>
  </w:style>
  <w:style w:type="paragraph" w:customStyle="1" w:styleId="Chapter">
    <w:name w:val="Chapter"/>
    <w:basedOn w:val="Normal"/>
    <w:rsid w:val="005C3E44"/>
    <w:pPr>
      <w:spacing w:before="240"/>
    </w:pPr>
    <w:rPr>
      <w:rFonts w:ascii="Times New Roman" w:hAnsi="Times New Roman"/>
      <w:smallCaps/>
      <w:spacing w:val="80"/>
      <w:sz w:val="28"/>
    </w:rPr>
  </w:style>
  <w:style w:type="paragraph" w:customStyle="1" w:styleId="InChapter">
    <w:name w:val="InChapter"/>
    <w:basedOn w:val="Heading3"/>
    <w:rsid w:val="005C3E44"/>
    <w:pPr>
      <w:spacing w:after="240"/>
      <w:outlineLvl w:val="9"/>
    </w:pPr>
    <w:rPr>
      <w:noProof/>
    </w:rPr>
  </w:style>
  <w:style w:type="paragraph" w:styleId="Index2">
    <w:name w:val="index 2"/>
    <w:basedOn w:val="Normal"/>
    <w:next w:val="Normal"/>
    <w:semiHidden/>
    <w:rsid w:val="005C3E44"/>
    <w:pPr>
      <w:tabs>
        <w:tab w:val="right" w:pos="4176"/>
      </w:tabs>
      <w:ind w:left="568" w:hanging="284"/>
    </w:pPr>
    <w:rPr>
      <w:rFonts w:ascii="Garamond" w:hAnsi="Garamond"/>
    </w:rPr>
  </w:style>
  <w:style w:type="paragraph" w:customStyle="1" w:styleId="Byline">
    <w:name w:val="Byline"/>
    <w:rsid w:val="005C3E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3E44"/>
    <w:pPr>
      <w:tabs>
        <w:tab w:val="clear" w:pos="3600"/>
        <w:tab w:val="clear" w:pos="3958"/>
      </w:tabs>
      <w:jc w:val="right"/>
    </w:pPr>
  </w:style>
  <w:style w:type="character" w:styleId="Emphasis">
    <w:name w:val="Emphasis"/>
    <w:basedOn w:val="DefaultParagraphFont"/>
    <w:qFormat/>
    <w:rsid w:val="005C3E44"/>
    <w:rPr>
      <w:i/>
    </w:rPr>
  </w:style>
  <w:style w:type="paragraph" w:styleId="Caption">
    <w:name w:val="caption"/>
    <w:basedOn w:val="BodyText"/>
    <w:next w:val="Normal"/>
    <w:qFormat/>
    <w:rsid w:val="005C3E44"/>
    <w:pPr>
      <w:framePr w:w="2268" w:hSpace="181" w:vSpace="181" w:wrap="around" w:vAnchor="text" w:hAnchor="page" w:x="1135" w:y="285" w:anchorLock="1"/>
    </w:pPr>
    <w:rPr>
      <w:i/>
    </w:rPr>
  </w:style>
  <w:style w:type="paragraph" w:customStyle="1" w:styleId="MiniTOCTitle">
    <w:name w:val="MiniTOCTitle"/>
    <w:basedOn w:val="Heading4"/>
    <w:rsid w:val="005C3E44"/>
    <w:pPr>
      <w:spacing w:before="240"/>
      <w:outlineLvl w:val="9"/>
    </w:pPr>
    <w:rPr>
      <w:noProof/>
      <w:sz w:val="24"/>
    </w:rPr>
  </w:style>
  <w:style w:type="paragraph" w:customStyle="1" w:styleId="MiniTOCItem">
    <w:name w:val="MiniTOCItem"/>
    <w:basedOn w:val="ListBullet"/>
    <w:rsid w:val="005C3E44"/>
    <w:pPr>
      <w:numPr>
        <w:numId w:val="0"/>
      </w:numPr>
      <w:tabs>
        <w:tab w:val="right" w:leader="dot" w:pos="6521"/>
      </w:tabs>
      <w:spacing w:before="0" w:after="0"/>
    </w:pPr>
  </w:style>
  <w:style w:type="paragraph" w:customStyle="1" w:styleId="TOFTitle">
    <w:name w:val="TOFTitle"/>
    <w:basedOn w:val="TOCTitle"/>
    <w:rsid w:val="005C3E44"/>
  </w:style>
  <w:style w:type="paragraph" w:styleId="TableofFigures">
    <w:name w:val="table of figures"/>
    <w:basedOn w:val="Normal"/>
    <w:next w:val="Normal"/>
    <w:semiHidden/>
    <w:rsid w:val="005C3E44"/>
    <w:pPr>
      <w:tabs>
        <w:tab w:val="right" w:leader="dot" w:pos="9072"/>
      </w:tabs>
      <w:ind w:left="970" w:hanging="403"/>
    </w:pPr>
    <w:rPr>
      <w:rFonts w:ascii="Times New Roman" w:hAnsi="Times New Roman"/>
      <w:b/>
    </w:rPr>
  </w:style>
  <w:style w:type="paragraph" w:styleId="ListNumber">
    <w:name w:val="List Number"/>
    <w:basedOn w:val="List"/>
    <w:rsid w:val="005C3E44"/>
    <w:pPr>
      <w:numPr>
        <w:numId w:val="9"/>
      </w:numPr>
    </w:pPr>
  </w:style>
  <w:style w:type="character" w:customStyle="1" w:styleId="WingdingSymbols">
    <w:name w:val="Wingding Symbols"/>
    <w:rsid w:val="005C3E44"/>
    <w:rPr>
      <w:rFonts w:ascii="Wingdings" w:hAnsi="Wingdings"/>
    </w:rPr>
  </w:style>
  <w:style w:type="paragraph" w:customStyle="1" w:styleId="TableHeading">
    <w:name w:val="Table Heading"/>
    <w:basedOn w:val="HeadingBase"/>
    <w:rsid w:val="005C3E44"/>
    <w:pPr>
      <w:keepLines/>
      <w:pBdr>
        <w:bottom w:val="single" w:sz="6" w:space="1" w:color="918585"/>
      </w:pBdr>
      <w:spacing w:before="240"/>
    </w:pPr>
  </w:style>
  <w:style w:type="character" w:customStyle="1" w:styleId="HotSpot">
    <w:name w:val="HotSpot"/>
    <w:rsid w:val="005C3E44"/>
    <w:rPr>
      <w:color w:val="0033CC"/>
      <w:u w:val="none"/>
    </w:rPr>
  </w:style>
  <w:style w:type="paragraph" w:customStyle="1" w:styleId="BodyTextRight">
    <w:name w:val="Body Text Right"/>
    <w:basedOn w:val="BodyText"/>
    <w:rsid w:val="005C3E44"/>
    <w:pPr>
      <w:spacing w:before="0" w:after="0"/>
      <w:jc w:val="right"/>
    </w:pPr>
  </w:style>
  <w:style w:type="paragraph" w:styleId="Index3">
    <w:name w:val="index 3"/>
    <w:basedOn w:val="ListNumber2"/>
    <w:next w:val="Normal"/>
    <w:semiHidden/>
    <w:rsid w:val="005C3E44"/>
    <w:pPr>
      <w:numPr>
        <w:numId w:val="0"/>
      </w:numPr>
      <w:tabs>
        <w:tab w:val="right" w:leader="dot" w:pos="4176"/>
      </w:tabs>
    </w:pPr>
  </w:style>
  <w:style w:type="paragraph" w:styleId="ListNumber2">
    <w:name w:val="List Number 2"/>
    <w:basedOn w:val="List2"/>
    <w:rsid w:val="005C3E44"/>
    <w:pPr>
      <w:numPr>
        <w:numId w:val="8"/>
      </w:numPr>
      <w:tabs>
        <w:tab w:val="clear" w:pos="1060"/>
      </w:tabs>
    </w:pPr>
  </w:style>
  <w:style w:type="paragraph" w:customStyle="1" w:styleId="MarginNote">
    <w:name w:val="Margin Note"/>
    <w:basedOn w:val="BodyText"/>
    <w:rsid w:val="005C3E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3E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3E4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C3E44"/>
    <w:rPr>
      <w:sz w:val="32"/>
    </w:rPr>
  </w:style>
  <w:style w:type="paragraph" w:customStyle="1" w:styleId="HeadingProcedure">
    <w:name w:val="Heading Procedure"/>
    <w:basedOn w:val="HeadingBase"/>
    <w:next w:val="Normal"/>
    <w:rsid w:val="005C3E44"/>
    <w:pPr>
      <w:tabs>
        <w:tab w:val="left" w:pos="0"/>
      </w:tabs>
      <w:spacing w:before="120" w:after="60"/>
    </w:pPr>
    <w:rPr>
      <w:i/>
      <w:color w:val="918585"/>
      <w:sz w:val="22"/>
    </w:rPr>
  </w:style>
  <w:style w:type="paragraph" w:customStyle="1" w:styleId="TableBodyText">
    <w:name w:val="Table Body Text"/>
    <w:basedOn w:val="BodyText"/>
    <w:rsid w:val="005C3E44"/>
    <w:pPr>
      <w:spacing w:before="60" w:after="60"/>
    </w:pPr>
  </w:style>
  <w:style w:type="paragraph" w:styleId="ListContinue">
    <w:name w:val="List Continue"/>
    <w:basedOn w:val="List"/>
    <w:rsid w:val="005C3E44"/>
    <w:pPr>
      <w:ind w:firstLine="0"/>
    </w:pPr>
  </w:style>
  <w:style w:type="paragraph" w:customStyle="1" w:styleId="ListNote">
    <w:name w:val="List Note"/>
    <w:basedOn w:val="List"/>
    <w:rsid w:val="005C3E44"/>
    <w:pPr>
      <w:pBdr>
        <w:top w:val="single" w:sz="6" w:space="2" w:color="918585"/>
        <w:bottom w:val="single" w:sz="6" w:space="2" w:color="918585"/>
      </w:pBdr>
      <w:tabs>
        <w:tab w:val="left" w:pos="1021"/>
      </w:tabs>
      <w:ind w:firstLine="0"/>
    </w:pPr>
  </w:style>
  <w:style w:type="paragraph" w:customStyle="1" w:styleId="Warning">
    <w:name w:val="Warning"/>
    <w:basedOn w:val="BodyText"/>
    <w:rsid w:val="005C3E44"/>
    <w:pPr>
      <w:shd w:val="clear" w:color="auto" w:fill="D9D9D9"/>
      <w:tabs>
        <w:tab w:val="left" w:pos="992"/>
      </w:tabs>
      <w:ind w:left="119" w:right="119"/>
    </w:pPr>
    <w:rPr>
      <w:sz w:val="20"/>
    </w:rPr>
  </w:style>
  <w:style w:type="paragraph" w:customStyle="1" w:styleId="MarginIcons">
    <w:name w:val="Margin Icons"/>
    <w:basedOn w:val="BodyText"/>
    <w:rsid w:val="005C3E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3E44"/>
    <w:rPr>
      <w:rFonts w:ascii="Courier New" w:hAnsi="Courier New"/>
    </w:rPr>
  </w:style>
  <w:style w:type="paragraph" w:customStyle="1" w:styleId="NoteBullet">
    <w:name w:val="Note Bullet"/>
    <w:basedOn w:val="Note"/>
    <w:rsid w:val="005C3E44"/>
    <w:pPr>
      <w:tabs>
        <w:tab w:val="clear" w:pos="680"/>
      </w:tabs>
      <w:spacing w:before="60" w:after="60"/>
    </w:pPr>
  </w:style>
  <w:style w:type="paragraph" w:customStyle="1" w:styleId="SubHeading2">
    <w:name w:val="SubHeading2"/>
    <w:basedOn w:val="HeadingBase"/>
    <w:rsid w:val="005C3E44"/>
    <w:pPr>
      <w:spacing w:before="240" w:after="60"/>
    </w:pPr>
    <w:rPr>
      <w:sz w:val="20"/>
    </w:rPr>
  </w:style>
  <w:style w:type="paragraph" w:customStyle="1" w:styleId="SubHeading1">
    <w:name w:val="SubHeading1"/>
    <w:basedOn w:val="HeadingBase"/>
    <w:rsid w:val="005C3E44"/>
    <w:pPr>
      <w:spacing w:before="240" w:after="60"/>
    </w:pPr>
    <w:rPr>
      <w:color w:val="918585"/>
      <w:sz w:val="22"/>
    </w:rPr>
  </w:style>
  <w:style w:type="paragraph" w:customStyle="1" w:styleId="SideHeading">
    <w:name w:val="Side Heading"/>
    <w:basedOn w:val="HeadingBase"/>
    <w:rsid w:val="005C3E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3E44"/>
    <w:pPr>
      <w:numPr>
        <w:numId w:val="10"/>
      </w:numPr>
    </w:pPr>
  </w:style>
  <w:style w:type="paragraph" w:styleId="PlainText">
    <w:name w:val="Plain Text"/>
    <w:basedOn w:val="Normal"/>
    <w:link w:val="PlainTextChar"/>
    <w:rsid w:val="005C3E44"/>
    <w:rPr>
      <w:sz w:val="20"/>
    </w:rPr>
  </w:style>
  <w:style w:type="character" w:customStyle="1" w:styleId="PlainTextChar">
    <w:name w:val="Plain Text Char"/>
    <w:basedOn w:val="DefaultParagraphFont"/>
    <w:link w:val="PlainText"/>
    <w:rsid w:val="005C3E4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C3E44"/>
    <w:rPr>
      <w:b/>
      <w:smallCaps/>
    </w:rPr>
  </w:style>
  <w:style w:type="paragraph" w:customStyle="1" w:styleId="TableListNumber">
    <w:name w:val="Table List Number"/>
    <w:basedOn w:val="ListNumber"/>
    <w:rsid w:val="005C3E44"/>
    <w:pPr>
      <w:numPr>
        <w:numId w:val="0"/>
      </w:numPr>
    </w:pPr>
  </w:style>
  <w:style w:type="paragraph" w:styleId="TOC4">
    <w:name w:val="toc 4"/>
    <w:basedOn w:val="TOCBase"/>
    <w:next w:val="Normal"/>
    <w:semiHidden/>
    <w:rsid w:val="005C3E44"/>
    <w:pPr>
      <w:tabs>
        <w:tab w:val="right" w:leader="dot" w:pos="9071"/>
      </w:tabs>
      <w:ind w:left="1701"/>
    </w:pPr>
  </w:style>
  <w:style w:type="paragraph" w:customStyle="1" w:styleId="ListAlpha">
    <w:name w:val="List Alpha"/>
    <w:basedOn w:val="List"/>
    <w:rsid w:val="005C3E44"/>
    <w:pPr>
      <w:numPr>
        <w:numId w:val="7"/>
      </w:numPr>
    </w:pPr>
  </w:style>
  <w:style w:type="paragraph" w:customStyle="1" w:styleId="ListAlpha2">
    <w:name w:val="List Alpha 2"/>
    <w:basedOn w:val="List2"/>
    <w:rsid w:val="005C3E44"/>
    <w:pPr>
      <w:numPr>
        <w:numId w:val="6"/>
      </w:numPr>
    </w:pPr>
  </w:style>
  <w:style w:type="paragraph" w:styleId="List2">
    <w:name w:val="List 2"/>
    <w:basedOn w:val="BodyText"/>
    <w:rsid w:val="005C3E44"/>
    <w:pPr>
      <w:tabs>
        <w:tab w:val="left" w:pos="680"/>
      </w:tabs>
      <w:spacing w:before="60" w:after="60"/>
      <w:ind w:left="680" w:hanging="340"/>
    </w:pPr>
  </w:style>
  <w:style w:type="paragraph" w:styleId="List3">
    <w:name w:val="List 3"/>
    <w:basedOn w:val="BodyText"/>
    <w:rsid w:val="005C3E44"/>
    <w:pPr>
      <w:tabs>
        <w:tab w:val="left" w:pos="1021"/>
      </w:tabs>
      <w:spacing w:before="60" w:after="60"/>
      <w:ind w:left="1020" w:hanging="340"/>
    </w:pPr>
  </w:style>
  <w:style w:type="paragraph" w:styleId="List4">
    <w:name w:val="List 4"/>
    <w:basedOn w:val="BodyText"/>
    <w:rsid w:val="005C3E44"/>
    <w:pPr>
      <w:tabs>
        <w:tab w:val="left" w:pos="1361"/>
      </w:tabs>
      <w:spacing w:before="60" w:after="60"/>
      <w:ind w:left="1361" w:hanging="340"/>
    </w:pPr>
  </w:style>
  <w:style w:type="paragraph" w:styleId="List5">
    <w:name w:val="List 5"/>
    <w:basedOn w:val="BodyText"/>
    <w:rsid w:val="005C3E44"/>
    <w:pPr>
      <w:tabs>
        <w:tab w:val="left" w:pos="1701"/>
      </w:tabs>
      <w:spacing w:before="60" w:after="60"/>
      <w:ind w:left="1701" w:hanging="340"/>
    </w:pPr>
  </w:style>
  <w:style w:type="paragraph" w:styleId="ListBullet3">
    <w:name w:val="List Bullet 3"/>
    <w:basedOn w:val="List3"/>
    <w:rsid w:val="005C3E44"/>
    <w:pPr>
      <w:numPr>
        <w:numId w:val="13"/>
      </w:numPr>
      <w:tabs>
        <w:tab w:val="clear" w:pos="1021"/>
      </w:tabs>
      <w:ind w:left="1037" w:hanging="357"/>
    </w:pPr>
  </w:style>
  <w:style w:type="paragraph" w:styleId="ListBullet4">
    <w:name w:val="List Bullet 4"/>
    <w:basedOn w:val="List4"/>
    <w:rsid w:val="005C3E44"/>
    <w:pPr>
      <w:numPr>
        <w:numId w:val="1"/>
      </w:numPr>
    </w:pPr>
  </w:style>
  <w:style w:type="paragraph" w:styleId="ListBullet5">
    <w:name w:val="List Bullet 5"/>
    <w:basedOn w:val="List5"/>
    <w:rsid w:val="005C3E44"/>
    <w:pPr>
      <w:numPr>
        <w:numId w:val="2"/>
      </w:numPr>
    </w:pPr>
  </w:style>
  <w:style w:type="paragraph" w:styleId="ListContinue2">
    <w:name w:val="List Continue 2"/>
    <w:basedOn w:val="List2"/>
    <w:rsid w:val="005C3E44"/>
    <w:pPr>
      <w:ind w:firstLine="0"/>
    </w:pPr>
  </w:style>
  <w:style w:type="paragraph" w:styleId="ListContinue3">
    <w:name w:val="List Continue 3"/>
    <w:basedOn w:val="List3"/>
    <w:rsid w:val="005C3E44"/>
    <w:pPr>
      <w:ind w:left="1021" w:firstLine="0"/>
    </w:pPr>
  </w:style>
  <w:style w:type="paragraph" w:styleId="ListContinue4">
    <w:name w:val="List Continue 4"/>
    <w:basedOn w:val="List4"/>
    <w:rsid w:val="005C3E44"/>
    <w:pPr>
      <w:ind w:firstLine="0"/>
    </w:pPr>
  </w:style>
  <w:style w:type="paragraph" w:styleId="ListContinue5">
    <w:name w:val="List Continue 5"/>
    <w:basedOn w:val="List5"/>
    <w:rsid w:val="005C3E44"/>
    <w:pPr>
      <w:ind w:firstLine="0"/>
    </w:pPr>
  </w:style>
  <w:style w:type="paragraph" w:styleId="ListNumber3">
    <w:name w:val="List Number 3"/>
    <w:basedOn w:val="List3"/>
    <w:rsid w:val="005C3E44"/>
    <w:pPr>
      <w:numPr>
        <w:numId w:val="3"/>
      </w:numPr>
    </w:pPr>
  </w:style>
  <w:style w:type="paragraph" w:styleId="ListNumber4">
    <w:name w:val="List Number 4"/>
    <w:basedOn w:val="List4"/>
    <w:rsid w:val="005C3E44"/>
    <w:pPr>
      <w:numPr>
        <w:numId w:val="4"/>
      </w:numPr>
    </w:pPr>
  </w:style>
  <w:style w:type="paragraph" w:styleId="ListNumber5">
    <w:name w:val="List Number 5"/>
    <w:basedOn w:val="List5"/>
    <w:rsid w:val="005C3E44"/>
    <w:pPr>
      <w:numPr>
        <w:numId w:val="5"/>
      </w:numPr>
    </w:pPr>
  </w:style>
  <w:style w:type="paragraph" w:styleId="BlockText">
    <w:name w:val="Block Text"/>
    <w:basedOn w:val="Normal"/>
    <w:rsid w:val="005C3E44"/>
    <w:pPr>
      <w:spacing w:after="120"/>
      <w:ind w:left="1440" w:right="1440"/>
    </w:pPr>
  </w:style>
  <w:style w:type="character" w:customStyle="1" w:styleId="Subscript">
    <w:name w:val="Subscript"/>
    <w:basedOn w:val="DefaultParagraphFont"/>
    <w:rsid w:val="005C3E44"/>
    <w:rPr>
      <w:sz w:val="16"/>
      <w:vertAlign w:val="subscript"/>
    </w:rPr>
  </w:style>
  <w:style w:type="character" w:customStyle="1" w:styleId="Superscript">
    <w:name w:val="Superscript"/>
    <w:basedOn w:val="DefaultParagraphFont"/>
    <w:rsid w:val="005C3E44"/>
    <w:rPr>
      <w:sz w:val="16"/>
      <w:vertAlign w:val="superscript"/>
    </w:rPr>
  </w:style>
  <w:style w:type="character" w:customStyle="1" w:styleId="Symbols">
    <w:name w:val="Symbols"/>
    <w:basedOn w:val="DefaultParagraphFont"/>
    <w:rsid w:val="005C3E44"/>
    <w:rPr>
      <w:rFonts w:ascii="Symbol" w:hAnsi="Symbol"/>
    </w:rPr>
  </w:style>
  <w:style w:type="character" w:customStyle="1" w:styleId="MenuOptions">
    <w:name w:val="Menu Options"/>
    <w:basedOn w:val="DefaultParagraphFont"/>
    <w:rsid w:val="005C3E44"/>
    <w:rPr>
      <w:rFonts w:ascii="Arial Narrow" w:hAnsi="Arial Narrow"/>
      <w:smallCaps/>
    </w:rPr>
  </w:style>
  <w:style w:type="character" w:customStyle="1" w:styleId="Buttons">
    <w:name w:val="Buttons"/>
    <w:basedOn w:val="DefaultParagraphFont"/>
    <w:rsid w:val="005C3E44"/>
    <w:rPr>
      <w:b/>
    </w:rPr>
  </w:style>
  <w:style w:type="character" w:customStyle="1" w:styleId="Underlined">
    <w:name w:val="Underlined"/>
    <w:basedOn w:val="DefaultParagraphFont"/>
    <w:rsid w:val="005C3E44"/>
    <w:rPr>
      <w:u w:val="single"/>
    </w:rPr>
  </w:style>
  <w:style w:type="paragraph" w:customStyle="1" w:styleId="TableBodyTextRight">
    <w:name w:val="Table Body Text Right"/>
    <w:basedOn w:val="TableBodyText"/>
    <w:rsid w:val="005C3E44"/>
    <w:pPr>
      <w:widowControl w:val="0"/>
      <w:autoSpaceDE w:val="0"/>
      <w:autoSpaceDN w:val="0"/>
      <w:adjustRightInd w:val="0"/>
      <w:jc w:val="right"/>
    </w:pPr>
    <w:rPr>
      <w:rFonts w:cs="Arial"/>
      <w:szCs w:val="18"/>
    </w:rPr>
  </w:style>
  <w:style w:type="paragraph" w:customStyle="1" w:styleId="CopyrightText">
    <w:name w:val="Copyright Text"/>
    <w:basedOn w:val="BodyText"/>
    <w:rsid w:val="005C3E44"/>
    <w:rPr>
      <w:sz w:val="18"/>
    </w:rPr>
  </w:style>
  <w:style w:type="paragraph" w:customStyle="1" w:styleId="BodySmallRight">
    <w:name w:val="Body Small Right"/>
    <w:basedOn w:val="BodyTextRight"/>
    <w:rsid w:val="005C3E44"/>
    <w:rPr>
      <w:sz w:val="18"/>
      <w:szCs w:val="18"/>
    </w:rPr>
  </w:style>
  <w:style w:type="paragraph" w:customStyle="1" w:styleId="MarginEdition">
    <w:name w:val="Margin Edition"/>
    <w:basedOn w:val="MarginNote"/>
    <w:rsid w:val="005C3E44"/>
    <w:pPr>
      <w:spacing w:before="0" w:after="0"/>
    </w:pPr>
    <w:rPr>
      <w:rFonts w:ascii="Times New Roman" w:hAnsi="Times New Roman"/>
      <w:color w:val="999999"/>
    </w:rPr>
  </w:style>
  <w:style w:type="paragraph" w:customStyle="1" w:styleId="Spacer">
    <w:name w:val="Spacer"/>
    <w:basedOn w:val="Normal"/>
    <w:rsid w:val="005C3E44"/>
    <w:rPr>
      <w:sz w:val="2"/>
      <w:szCs w:val="2"/>
    </w:rPr>
  </w:style>
  <w:style w:type="character" w:customStyle="1" w:styleId="Small">
    <w:name w:val="Small"/>
    <w:basedOn w:val="DefaultParagraphFont"/>
    <w:rsid w:val="005C3E44"/>
    <w:rPr>
      <w:sz w:val="16"/>
    </w:rPr>
  </w:style>
  <w:style w:type="paragraph" w:customStyle="1" w:styleId="WideTable">
    <w:name w:val="Wide Table"/>
    <w:basedOn w:val="Normal"/>
    <w:rsid w:val="005C3E44"/>
    <w:pPr>
      <w:ind w:left="-1418"/>
    </w:pPr>
    <w:rPr>
      <w:sz w:val="2"/>
      <w:szCs w:val="2"/>
    </w:rPr>
  </w:style>
  <w:style w:type="character" w:styleId="PageNumber">
    <w:name w:val="page number"/>
    <w:basedOn w:val="DefaultParagraphFont"/>
    <w:rsid w:val="005C3E44"/>
  </w:style>
  <w:style w:type="paragraph" w:styleId="Quote">
    <w:name w:val="Quote"/>
    <w:basedOn w:val="Heading1"/>
    <w:link w:val="QuoteChar"/>
    <w:qFormat/>
    <w:rsid w:val="005C3E44"/>
    <w:rPr>
      <w:b w:val="0"/>
      <w:sz w:val="72"/>
      <w:szCs w:val="72"/>
      <w:lang w:val="en-NZ"/>
    </w:rPr>
  </w:style>
  <w:style w:type="character" w:customStyle="1" w:styleId="QuoteChar">
    <w:name w:val="Quote Char"/>
    <w:basedOn w:val="DefaultParagraphFont"/>
    <w:link w:val="Quote"/>
    <w:rsid w:val="005C3E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3E44"/>
    <w:pPr>
      <w:pageBreakBefore/>
    </w:pPr>
  </w:style>
  <w:style w:type="paragraph" w:customStyle="1" w:styleId="Border">
    <w:name w:val="Border"/>
    <w:basedOn w:val="Normal"/>
    <w:qFormat/>
    <w:rsid w:val="005C3E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3E44"/>
    <w:rPr>
      <w:b/>
      <w:bCs/>
      <w:i/>
      <w:iCs/>
      <w:color w:val="auto"/>
    </w:rPr>
  </w:style>
  <w:style w:type="paragraph" w:styleId="IntenseQuote">
    <w:name w:val="Intense Quote"/>
    <w:basedOn w:val="Normal"/>
    <w:next w:val="Normal"/>
    <w:link w:val="IntenseQuoteChar"/>
    <w:uiPriority w:val="30"/>
    <w:qFormat/>
    <w:rsid w:val="005C3E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3E4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C3E44"/>
    <w:rPr>
      <w:smallCaps/>
      <w:color w:val="auto"/>
      <w:u w:val="single"/>
    </w:rPr>
  </w:style>
  <w:style w:type="character" w:styleId="IntenseReference">
    <w:name w:val="Intense Reference"/>
    <w:basedOn w:val="DefaultParagraphFont"/>
    <w:uiPriority w:val="32"/>
    <w:qFormat/>
    <w:rsid w:val="005C3E44"/>
    <w:rPr>
      <w:b/>
      <w:bCs/>
      <w:smallCaps/>
      <w:color w:val="auto"/>
      <w:spacing w:val="5"/>
      <w:u w:val="single"/>
    </w:rPr>
  </w:style>
  <w:style w:type="paragraph" w:customStyle="1" w:styleId="2ColumnHeading">
    <w:name w:val="2Column Heading"/>
    <w:basedOn w:val="BodyText"/>
    <w:qFormat/>
    <w:rsid w:val="005C3E44"/>
    <w:pPr>
      <w:spacing w:after="60"/>
      <w:ind w:left="-2268"/>
    </w:pPr>
    <w:rPr>
      <w:b/>
    </w:rPr>
  </w:style>
  <w:style w:type="paragraph" w:customStyle="1" w:styleId="Heading1TOC">
    <w:name w:val="Heading1 TOC"/>
    <w:basedOn w:val="Normal"/>
    <w:qFormat/>
    <w:rsid w:val="005C3E44"/>
    <w:pPr>
      <w:spacing w:before="240" w:after="120"/>
    </w:pPr>
    <w:rPr>
      <w:rFonts w:ascii="Times New Roman" w:hAnsi="Times New Roman"/>
      <w:b/>
      <w:sz w:val="32"/>
    </w:rPr>
  </w:style>
  <w:style w:type="paragraph" w:customStyle="1" w:styleId="Heading2TOC">
    <w:name w:val="Heading2 TOC"/>
    <w:basedOn w:val="Normal"/>
    <w:qFormat/>
    <w:rsid w:val="005C3E44"/>
    <w:pPr>
      <w:spacing w:before="240" w:after="60"/>
    </w:pPr>
    <w:rPr>
      <w:rFonts w:ascii="Times New Roman" w:hAnsi="Times New Roman"/>
      <w:b/>
      <w:sz w:val="28"/>
    </w:rPr>
  </w:style>
  <w:style w:type="character" w:customStyle="1" w:styleId="Underline">
    <w:name w:val="Underline"/>
    <w:basedOn w:val="DefaultParagraphFont"/>
    <w:qFormat/>
    <w:rsid w:val="005C3E44"/>
    <w:rPr>
      <w:u w:val="single"/>
    </w:rPr>
  </w:style>
  <w:style w:type="character" w:customStyle="1" w:styleId="BoldandItalics">
    <w:name w:val="Bold and Italics"/>
    <w:qFormat/>
    <w:rsid w:val="005C3E44"/>
    <w:rPr>
      <w:b/>
      <w:i/>
      <w:u w:val="none"/>
    </w:rPr>
  </w:style>
  <w:style w:type="paragraph" w:styleId="BalloonText">
    <w:name w:val="Balloon Text"/>
    <w:basedOn w:val="Normal"/>
    <w:link w:val="BalloonTextChar"/>
    <w:rsid w:val="005C3E44"/>
    <w:rPr>
      <w:rFonts w:ascii="Tahoma" w:hAnsi="Tahoma" w:cs="Tahoma"/>
      <w:sz w:val="16"/>
      <w:szCs w:val="16"/>
    </w:rPr>
  </w:style>
  <w:style w:type="character" w:customStyle="1" w:styleId="BalloonTextChar">
    <w:name w:val="Balloon Text Char"/>
    <w:basedOn w:val="DefaultParagraphFont"/>
    <w:link w:val="BalloonText"/>
    <w:rsid w:val="005C3E4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C3E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3E4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1722</Words>
  <Characters>10998</Characters>
  <Application>Microsoft Office Word</Application>
  <DocSecurity>0</DocSecurity>
  <Lines>419</Lines>
  <Paragraphs>232</Paragraphs>
  <ScaleCrop>false</ScaleCrop>
  <Company>Author-it Software Corporation Ltd.</Company>
  <LinksUpToDate>false</LinksUpToDate>
  <CharactersWithSpaces>12575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TLID2107C Use specialised bulk transfer equipment (dry)</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2012-05-27T03:40:00Z</dcterms:created>
  <dcterms:modified xsi:type="dcterms:W3CDTF">2012-05-27T03:40:00Z</dcterms:modified>
</cp:coreProperties>
</file>