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03B" w:rsidP="0028103B">
      <w:pPr>
        <w:pStyle w:val="Title"/>
      </w:pPr>
      <w:r>
        <w:fldChar w:fldCharType="begin"/>
      </w:r>
      <w:r>
        <w:instrText xml:space="preserve"> TITLE   \* MERGEFORMAT </w:instrText>
      </w:r>
      <w:r>
        <w:fldChar w:fldCharType="separate"/>
      </w:r>
      <w:r>
        <w:t>TLID1507D Identify and label explosives and dangerous goods</w:t>
      </w:r>
      <w:r>
        <w:fldChar w:fldCharType="end"/>
      </w:r>
    </w:p>
    <w:p w:rsidR="0028103B" w:rsidP="0028103B">
      <w:pPr>
        <w:pStyle w:val="Version"/>
        <w:sectPr w:rsidSect="009B10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1007" w:rsidP="009B1007">
      <w:pPr>
        <w:pStyle w:val="SuperHeading"/>
      </w:pPr>
      <w:r w:rsidRPr="009B1007">
        <w:t>TLID1507D Identify and label explosives and dangerous goods</w:t>
      </w:r>
    </w:p>
    <w:p w:rsidR="00000000" w:rsidRPr="009B1007" w:rsidP="009B1007">
      <w:pPr>
        <w:pStyle w:val="Heading1"/>
      </w:pPr>
      <w:bookmarkStart w:id="1" w:name="O_315295"/>
      <w:bookmarkEnd w:id="1"/>
      <w:r w:rsidRPr="009B1007">
        <w:t>Modification History</w:t>
      </w:r>
    </w:p>
    <w:p w:rsidR="00000000" w:rsidRPr="009B1007" w:rsidP="009B1007">
      <w:pPr>
        <w:pStyle w:val="BodyText"/>
      </w:pPr>
      <w:r w:rsidRPr="009B1007">
        <w:t>Not applicable.</w:t>
      </w:r>
    </w:p>
    <w:p w:rsidR="00000000" w:rsidRPr="009B1007" w:rsidP="009B1007">
      <w:pPr>
        <w:pStyle w:val="AllowPageBreak"/>
      </w:pPr>
    </w:p>
    <w:p w:rsidR="00000000" w:rsidRPr="009B1007" w:rsidP="009B1007">
      <w:pPr>
        <w:pStyle w:val="Heading1"/>
      </w:pPr>
      <w:bookmarkStart w:id="2" w:name="O_315294"/>
      <w:bookmarkEnd w:id="2"/>
      <w:r w:rsidRPr="009B1007">
        <w:t>Unit Descriptor</w:t>
      </w:r>
    </w:p>
    <w:p w:rsidR="00000000" w:rsidRPr="009B1007" w:rsidP="009B1007">
      <w:pPr>
        <w:pStyle w:val="BodyText"/>
      </w:pPr>
      <w:r w:rsidRPr="009B1007">
        <w:t>This unit involves the skills and knowledge required to identify and label explosives and dan</w:t>
      </w:r>
      <w:r w:rsidRPr="009B1007">
        <w:t>gerous goods, including assessing explosives/dangerous goods; handling explosives/dangerous goods in accordance with regulatory requirements; labelling explosives/dangerous goods in accordance with regulatory requirements; and complying with all required d</w:t>
      </w:r>
      <w:r w:rsidRPr="009B1007">
        <w:t>ocumentation. Licensing, legislative, regulatory or certification requirements are applicable to this unit.</w:t>
      </w:r>
    </w:p>
    <w:p w:rsidR="00000000" w:rsidRPr="009B1007" w:rsidP="009B1007">
      <w:pPr>
        <w:pStyle w:val="AllowPageBreak"/>
      </w:pPr>
    </w:p>
    <w:p w:rsidR="00000000" w:rsidRPr="009B1007" w:rsidP="009B1007">
      <w:pPr>
        <w:pStyle w:val="Heading1"/>
      </w:pPr>
      <w:bookmarkStart w:id="3" w:name="O_315293"/>
      <w:bookmarkEnd w:id="3"/>
      <w:r w:rsidRPr="009B1007">
        <w:t>Application of the Unit</w:t>
      </w:r>
    </w:p>
    <w:p w:rsidR="00000000" w:rsidRPr="009B1007" w:rsidP="009B1007">
      <w:pPr>
        <w:pStyle w:val="BodyText"/>
      </w:pPr>
      <w:r w:rsidRPr="009B1007">
        <w:t>Work must be carried out in compliance with the regulatory requirements of the relevant Australian state/te</w:t>
      </w:r>
      <w:r w:rsidRPr="009B1007">
        <w:t>rritory authorities concerned with the carriage of explosives and dangerous goods including the current Australian Dangerous Goods and Australian Explosives Codes.</w:t>
      </w:r>
    </w:p>
    <w:p w:rsidR="00000000" w:rsidRPr="009B1007" w:rsidP="009B1007">
      <w:pPr>
        <w:pStyle w:val="BodyText"/>
      </w:pPr>
      <w:r w:rsidRPr="009B1007">
        <w:t>Work is performed under limited or minimum supervision. It involves the application of stand</w:t>
      </w:r>
      <w:r w:rsidRPr="009B1007">
        <w:t>ard procedures and regulatory requirements for the identification and labelling of explosives and dangerous goods.</w:t>
      </w:r>
    </w:p>
    <w:p w:rsidR="00000000" w:rsidRPr="009B1007" w:rsidP="009B1007">
      <w:pPr>
        <w:pStyle w:val="AllowPageBreak"/>
      </w:pPr>
    </w:p>
    <w:p w:rsidR="00000000" w:rsidRPr="009B1007" w:rsidP="009B1007">
      <w:pPr>
        <w:pStyle w:val="Heading1"/>
      </w:pPr>
      <w:bookmarkStart w:id="4" w:name="O_315292"/>
      <w:bookmarkEnd w:id="4"/>
      <w:r w:rsidRPr="009B1007">
        <w:t>Licensing/Regulatory Information</w:t>
      </w:r>
    </w:p>
    <w:p w:rsidR="00000000" w:rsidRPr="009B1007" w:rsidP="009B1007">
      <w:pPr>
        <w:pStyle w:val="BodyText"/>
      </w:pPr>
      <w:r w:rsidRPr="009B1007">
        <w:t>Refer to Unit Descriptor</w:t>
      </w:r>
    </w:p>
    <w:p w:rsidR="00000000" w:rsidRPr="009B1007" w:rsidP="009B1007">
      <w:pPr>
        <w:pStyle w:val="AllowPageBreak"/>
      </w:pPr>
    </w:p>
    <w:p w:rsidR="00000000" w:rsidRPr="009B1007" w:rsidP="009B1007">
      <w:pPr>
        <w:pStyle w:val="Heading1"/>
      </w:pPr>
      <w:bookmarkStart w:id="5" w:name="O_315291"/>
      <w:bookmarkEnd w:id="5"/>
      <w:r w:rsidRPr="009B1007">
        <w:t>Pre-Requisites</w:t>
      </w:r>
    </w:p>
    <w:p w:rsidR="00000000" w:rsidRPr="009B1007" w:rsidP="009B1007">
      <w:pPr>
        <w:pStyle w:val="BodyText"/>
      </w:pPr>
      <w:r w:rsidRPr="009B1007">
        <w:t>Not applicable.</w:t>
      </w:r>
    </w:p>
    <w:p w:rsidR="00000000" w:rsidRPr="009B1007" w:rsidP="009B1007">
      <w:pPr>
        <w:pStyle w:val="AllowPageBreak"/>
      </w:pPr>
    </w:p>
    <w:p w:rsidR="00000000" w:rsidRPr="009B1007" w:rsidP="009B1007">
      <w:pPr>
        <w:pStyle w:val="Heading1"/>
      </w:pPr>
      <w:bookmarkStart w:id="6" w:name="O_315284"/>
      <w:bookmarkEnd w:id="6"/>
      <w:r w:rsidRPr="009B1007">
        <w:t>Employability Skills Information</w:t>
      </w:r>
    </w:p>
    <w:p w:rsidR="00000000" w:rsidRPr="009B1007" w:rsidP="009B1007">
      <w:pPr>
        <w:pStyle w:val="BodyText"/>
      </w:pPr>
      <w:r w:rsidRPr="009B1007">
        <w:t>This unit contains employability skills.</w:t>
      </w:r>
    </w:p>
    <w:p w:rsidR="00000000" w:rsidRPr="009B1007" w:rsidP="009B1007">
      <w:pPr>
        <w:pStyle w:val="AllowPageBreak"/>
      </w:pPr>
    </w:p>
    <w:p w:rsidR="00000000" w:rsidRPr="009B1007" w:rsidP="009B1007">
      <w:pPr>
        <w:pStyle w:val="Heading1"/>
      </w:pPr>
      <w:bookmarkStart w:id="7" w:name="O_315290"/>
      <w:bookmarkEnd w:id="7"/>
      <w:r w:rsidRPr="009B1007">
        <w:t>Elements and Performance Criteria Pre-Content</w:t>
      </w:r>
    </w:p>
    <w:p w:rsidR="00000000" w:rsidRPr="009B1007" w:rsidP="009B1007">
      <w:pPr>
        <w:pStyle w:val="BodyText"/>
      </w:pPr>
      <w:r w:rsidRPr="009B1007">
        <w:t>Elements describe the essential outcomes of a unit of competency.</w:t>
      </w:r>
    </w:p>
    <w:p w:rsidR="00000000" w:rsidRPr="009B1007" w:rsidP="009B1007">
      <w:pPr>
        <w:pStyle w:val="BodyText"/>
      </w:pPr>
      <w:r w:rsidRPr="009B1007">
        <w:t>Performance criteria describe the required performance needed to demonstrate achievement of the element. Assessment of performance is to be consistent with the evidence guide.</w:t>
      </w:r>
    </w:p>
    <w:p w:rsidR="00000000" w:rsidRPr="009B1007" w:rsidP="009B1007">
      <w:pPr>
        <w:pStyle w:val="AllowPageBreak"/>
      </w:pPr>
    </w:p>
    <w:p w:rsidR="00000000" w:rsidRPr="009B1007" w:rsidP="009B1007">
      <w:pPr>
        <w:pStyle w:val="Heading1"/>
      </w:pPr>
      <w:bookmarkStart w:id="8" w:name="O_315296"/>
      <w:bookmarkEnd w:id="8"/>
      <w:r w:rsidRPr="009B100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8103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rPr>
                <w:rStyle w:val="SpecialBold"/>
              </w:rPr>
              <w:t>Elements and Performance Crit</w:t>
            </w:r>
            <w:r w:rsidRPr="009B1007">
              <w:rPr>
                <w:rStyle w:val="SpecialBold"/>
              </w:rPr>
              <w:t>eria</w:t>
            </w:r>
          </w:p>
        </w:tc>
      </w:tr>
      <w:tr w:rsidTr="0028103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B1007" w:rsidP="009B1007">
            <w:pPr>
              <w:pStyle w:val="BodyText"/>
            </w:pPr>
            <w:r w:rsidRPr="009B100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rPr>
                <w:rStyle w:val="SpecialBold"/>
              </w:rPr>
              <w:t>Performance Criteria</w:t>
            </w:r>
          </w:p>
        </w:tc>
      </w:tr>
      <w:tr w:rsidTr="0028103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B1007" w:rsidP="009B1007">
            <w:pPr>
              <w:pStyle w:val="BodyText"/>
            </w:pPr>
            <w:r w:rsidRPr="009B1007">
              <w:t>1</w:t>
            </w:r>
          </w:p>
        </w:tc>
        <w:tc>
          <w:tcPr>
            <w:tcW w:w="3000" w:type="dxa"/>
            <w:vMerge w:val="restart"/>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rPr>
                <w:rStyle w:val="SpecialBold"/>
              </w:rPr>
              <w:t>Assess explosives/dangerous goods</w:t>
            </w:r>
          </w:p>
        </w:tc>
        <w:tc>
          <w:tcPr>
            <w:tcW w:w="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1.1</w:t>
            </w:r>
          </w:p>
        </w:tc>
        <w:tc>
          <w:tcPr>
            <w:tcW w:w="51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Load is checked for explosives/dangerous goods in accordance with the relevant codes and government regulations</w:t>
            </w:r>
          </w:p>
        </w:tc>
      </w:tr>
      <w:tr w:rsidTr="0028103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1.2</w:t>
            </w:r>
          </w:p>
        </w:tc>
        <w:tc>
          <w:tcPr>
            <w:tcW w:w="51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Types of explosives/dangerous goods are identified from labels, Dangerous Goods (DG) declarations and placarding in accordance with workplace procedures, and all required action is taken to ensure compliance with relevant government regulations and Austral</w:t>
            </w:r>
            <w:r w:rsidRPr="009B1007">
              <w:t>ian Dangerous Goods (ADG)/Australian Explosives Codes as applicable</w:t>
            </w:r>
          </w:p>
        </w:tc>
      </w:tr>
      <w:tr w:rsidTr="0028103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1.3</w:t>
            </w:r>
          </w:p>
        </w:tc>
        <w:tc>
          <w:tcPr>
            <w:tcW w:w="51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Hazards posed by load are identified from labels and material safety data sheets (MSDS)</w:t>
            </w:r>
          </w:p>
        </w:tc>
      </w:tr>
      <w:tr w:rsidTr="0028103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B1007" w:rsidP="009B1007">
            <w:pPr>
              <w:pStyle w:val="BodyText"/>
            </w:pPr>
            <w:r w:rsidRPr="009B1007">
              <w:t>2</w:t>
            </w:r>
          </w:p>
        </w:tc>
        <w:tc>
          <w:tcPr>
            <w:tcW w:w="3000" w:type="dxa"/>
            <w:vMerge w:val="restart"/>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rPr>
                <w:rStyle w:val="SpecialBold"/>
              </w:rPr>
              <w:t>Handle explosives/dangerous goods</w:t>
            </w:r>
          </w:p>
        </w:tc>
        <w:tc>
          <w:tcPr>
            <w:tcW w:w="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2.1</w:t>
            </w:r>
          </w:p>
        </w:tc>
        <w:tc>
          <w:tcPr>
            <w:tcW w:w="51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Identified explosives/dangerous goods are handled and loaded/unloaded in accordance with regulatory requirements, codes, National Load Restraint Guide, and employer policy</w:t>
            </w:r>
          </w:p>
        </w:tc>
      </w:tr>
      <w:tr w:rsidTr="0028103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2.2</w:t>
            </w:r>
          </w:p>
        </w:tc>
        <w:tc>
          <w:tcPr>
            <w:tcW w:w="51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Appropriate personal protective equipment is used when handling explosives/da</w:t>
            </w:r>
            <w:r w:rsidRPr="009B1007">
              <w:t>ngerous goods in accordance with class, subsidiary risk and MSDS information</w:t>
            </w:r>
          </w:p>
        </w:tc>
      </w:tr>
      <w:tr w:rsidTr="0028103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2.3</w:t>
            </w:r>
          </w:p>
        </w:tc>
        <w:tc>
          <w:tcPr>
            <w:tcW w:w="51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Handling of different types of load takes into account the identified hazards posed by the explosives/dangerous goods concerned</w:t>
            </w:r>
          </w:p>
        </w:tc>
      </w:tr>
      <w:tr w:rsidTr="0028103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2.4</w:t>
            </w:r>
          </w:p>
        </w:tc>
        <w:tc>
          <w:tcPr>
            <w:tcW w:w="51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When loading/storing explosives/dangerous goods, segregation procedures are followed according to the class and subsidiary risk information</w:t>
            </w:r>
          </w:p>
        </w:tc>
      </w:tr>
      <w:tr w:rsidTr="0028103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B1007" w:rsidP="009B1007">
            <w:pPr>
              <w:pStyle w:val="BodyText"/>
            </w:pPr>
            <w:r w:rsidRPr="009B1007">
              <w:t>3</w:t>
            </w:r>
          </w:p>
        </w:tc>
        <w:tc>
          <w:tcPr>
            <w:tcW w:w="3000" w:type="dxa"/>
            <w:vMerge w:val="restart"/>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rPr>
                <w:rStyle w:val="SpecialBold"/>
              </w:rPr>
              <w:t>Label explosives/dangerous goods</w:t>
            </w:r>
          </w:p>
        </w:tc>
        <w:tc>
          <w:tcPr>
            <w:tcW w:w="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3.1</w:t>
            </w:r>
          </w:p>
        </w:tc>
        <w:tc>
          <w:tcPr>
            <w:tcW w:w="51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All packages/containers are labelled with the class and subsidiary risk in a</w:t>
            </w:r>
            <w:r w:rsidRPr="009B1007">
              <w:t>ccordance with current ADG/Australian Explosives Codes as applicable</w:t>
            </w:r>
          </w:p>
        </w:tc>
      </w:tr>
      <w:tr w:rsidTr="0028103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3.2</w:t>
            </w:r>
          </w:p>
        </w:tc>
        <w:tc>
          <w:tcPr>
            <w:tcW w:w="51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A dangerous goods declaration is included with manifest and other shipping documents</w:t>
            </w:r>
          </w:p>
        </w:tc>
      </w:tr>
      <w:tr w:rsidTr="0028103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3.3</w:t>
            </w:r>
          </w:p>
        </w:tc>
        <w:tc>
          <w:tcPr>
            <w:tcW w:w="51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Vehicles carrying explosives and/or dangerous goods are placarded in accordance with current ADG/Australian Explosives Codes as applicable</w:t>
            </w:r>
          </w:p>
        </w:tc>
      </w:tr>
      <w:tr w:rsidTr="0028103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9B1007" w:rsidP="009B1007">
            <w:pPr>
              <w:pStyle w:val="BodyText"/>
            </w:pPr>
            <w:r w:rsidRPr="009B1007">
              <w:t>4</w:t>
            </w:r>
          </w:p>
        </w:tc>
        <w:tc>
          <w:tcPr>
            <w:tcW w:w="3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rPr>
                <w:rStyle w:val="SpecialBold"/>
              </w:rPr>
              <w:t>Complete documentation</w:t>
            </w:r>
          </w:p>
        </w:tc>
        <w:tc>
          <w:tcPr>
            <w:tcW w:w="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4.1</w:t>
            </w:r>
          </w:p>
        </w:tc>
        <w:tc>
          <w:tcPr>
            <w:tcW w:w="5100" w:type="dxa"/>
            <w:tcBorders>
              <w:top w:val="nil"/>
              <w:left w:val="nil"/>
              <w:bottom w:val="nil"/>
              <w:right w:val="nil"/>
            </w:tcBorders>
            <w:tcMar>
              <w:top w:w="0" w:type="dxa"/>
              <w:left w:w="62" w:type="dxa"/>
              <w:bottom w:w="0" w:type="dxa"/>
              <w:right w:w="62" w:type="dxa"/>
            </w:tcMar>
          </w:tcPr>
          <w:p w:rsidR="00000000" w:rsidRPr="009B1007" w:rsidP="009B1007">
            <w:pPr>
              <w:pStyle w:val="BodyText"/>
            </w:pPr>
            <w:r w:rsidRPr="009B1007">
              <w:t>All required transport documents are completed in accordance with current ADG/Australia</w:t>
            </w:r>
            <w:r w:rsidRPr="009B1007">
              <w:t>n Explosives Codes as applicable</w:t>
            </w:r>
          </w:p>
        </w:tc>
      </w:tr>
    </w:tbl>
    <w:p w:rsidR="00000000" w:rsidRPr="009B1007" w:rsidP="009B1007">
      <w:pPr>
        <w:pStyle w:val="BodyText"/>
      </w:pPr>
    </w:p>
    <w:p w:rsidR="00000000" w:rsidRPr="009B1007" w:rsidP="009B1007">
      <w:pPr>
        <w:pStyle w:val="AllowPageBreak"/>
      </w:pPr>
    </w:p>
    <w:p w:rsidR="00000000" w:rsidRPr="009B1007" w:rsidP="009B1007">
      <w:pPr>
        <w:pStyle w:val="Heading1"/>
      </w:pPr>
      <w:bookmarkStart w:id="9" w:name="O_315289"/>
      <w:bookmarkEnd w:id="9"/>
      <w:r w:rsidRPr="009B1007">
        <w:t>Required Skills and Knowledge</w:t>
      </w:r>
    </w:p>
    <w:tbl>
      <w:tblPr>
        <w:tblW w:w="0" w:type="auto"/>
        <w:tblLayout w:type="fixed"/>
        <w:tblCellMar>
          <w:left w:w="62" w:type="dxa"/>
          <w:right w:w="62" w:type="dxa"/>
        </w:tblCellMar>
        <w:tblLook w:val="0000"/>
      </w:tblPr>
      <w:tblGrid>
        <w:gridCol w:w="9000"/>
      </w:tblGrid>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rPr>
                <w:rStyle w:val="SpecialBold"/>
              </w:rPr>
              <w:t>REQUIRED KNOWLEDGE AND SKILLS</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This describes the essential knowledge and skills and their level required for this unit. </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rPr>
                <w:rStyle w:val="SpecialBold"/>
              </w:rPr>
              <w:t>Required knowledge</w:t>
            </w:r>
            <w:r w:rsidRPr="009B1007">
              <w:t xml:space="preserve">: </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Relevant Australian and state/territory regulations and codes pertaining to the identification and labelling of explosives and dangerous goods including the current ADG and Australian Explosives Codes </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OH&amp;S procedures and guidelines concerning the lifting</w:t>
            </w:r>
            <w:r w:rsidRPr="009B1007">
              <w:t xml:space="preserve"> and movement of loads </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Risks and hazards when loading, unloading and handling explosives and dangerous goods, and related precautions to control the risk </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Workplace procedures and policies for the identification and labelling of explosives and dangerous goods </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Characteristics of explosives and dangerous goods relevant to handling and transport </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Compatibility of various types of explosives and dangerous goo</w:t>
            </w:r>
            <w:r w:rsidRPr="009B1007">
              <w:t xml:space="preserve">ds </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Site layout and obstacles </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B1007" w:rsidP="009B1007">
            <w:pPr>
              <w:pStyle w:val="BodyText"/>
            </w:pPr>
            <w:r w:rsidRPr="009B1007">
              <w:t xml:space="preserve">Housekeeping standards procedures required in the workplace </w:t>
            </w:r>
          </w:p>
        </w:tc>
      </w:tr>
    </w:tbl>
    <w:p w:rsidR="00000000" w:rsidRPr="009B1007" w:rsidP="009B1007">
      <w:pPr>
        <w:pStyle w:val="BodyText"/>
      </w:pPr>
    </w:p>
    <w:tbl>
      <w:tblPr>
        <w:tblW w:w="0" w:type="auto"/>
        <w:tblLayout w:type="fixed"/>
        <w:tblCellMar>
          <w:left w:w="62" w:type="dxa"/>
          <w:right w:w="62" w:type="dxa"/>
        </w:tblCellMar>
        <w:tblLook w:val="0000"/>
      </w:tblPr>
      <w:tblGrid>
        <w:gridCol w:w="9000"/>
      </w:tblGrid>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rPr>
                <w:rStyle w:val="SpecialBold"/>
              </w:rPr>
              <w:t>Required skills</w:t>
            </w:r>
            <w:r w:rsidRPr="009B1007">
              <w:t>:</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Communicate effectively with others when loading, unloading and handling explosives and dangerous goods </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Read and interpret instructions, pro</w:t>
            </w:r>
            <w:r w:rsidRPr="009B1007">
              <w:t xml:space="preserve">cedures, information and signs relevant to the loading, unloading and handling of explosives and dangerous goods </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Interpret material safety data sheets, containers and goods coding, markings and other information describing explosives and dangerous goods </w:t>
            </w:r>
            <w:r w:rsidRPr="009B1007">
              <w:t xml:space="preserve">including, where applicable, emergency information panels for the mode of transport/storage selected </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Interpret and follow operational instructions and prioritise work </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Complete documentation related to the loading, unloading and handling of explosives and dangerous goods </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Correctly mark/label explosives and dangerous goods </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Operate electronic communication equipment to required protocol </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Work collaboratively with othe</w:t>
            </w:r>
            <w:r w:rsidRPr="009B1007">
              <w:t xml:space="preserve">rs when loading, unloading and handling explosives and dangerous goods </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Adapt appropriately to cultural differences in the workplace, including modes of behaviour and interactions with others </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Promptly report and/or rectify any identified problems that m</w:t>
            </w:r>
            <w:r w:rsidRPr="009B1007">
              <w:t xml:space="preserve">ay occur when loading, unloading and handling explosives and dangerous goods in accordance with regulatory requirements and workplace procedures </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Implement contingency plans for unexpected events that may arise when loading, unloading and handling explosi</w:t>
            </w:r>
            <w:r w:rsidRPr="009B1007">
              <w:t xml:space="preserve">ves and dangerous goods </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Apply precautions and required action to minimise, control or eliminate hazards that may exist during the loading, unloading and handling of explosives and dangerous goods </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Monitor work activities in terms of planned schedule </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M</w:t>
            </w:r>
            <w:r w:rsidRPr="009B1007">
              <w:t xml:space="preserve">odify activities depending on differing operational contingencies, risk situations and environments </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Apply fatigue management knowledge and techniques </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Work systematically with required attention to detail without injury to self or others, or damage to g</w:t>
            </w:r>
            <w:r w:rsidRPr="009B1007">
              <w:t xml:space="preserve">oods or equipment </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Operate and adapt to differences in equipment in accordance with standard operating procedures </w:t>
            </w:r>
          </w:p>
        </w:tc>
      </w:tr>
      <w:tr w:rsidTr="0028103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B1007" w:rsidP="009B1007">
            <w:pPr>
              <w:pStyle w:val="BodyText"/>
            </w:pPr>
            <w:r w:rsidRPr="009B1007">
              <w:t xml:space="preserve">Select and use required personal protective equipment conforming to industry and OH&amp;S standards </w:t>
            </w:r>
          </w:p>
        </w:tc>
      </w:tr>
    </w:tbl>
    <w:p w:rsidR="00000000" w:rsidRPr="009B1007" w:rsidP="009B1007">
      <w:pPr>
        <w:pStyle w:val="BodyText"/>
      </w:pPr>
    </w:p>
    <w:p w:rsidR="00000000" w:rsidRPr="009B1007" w:rsidP="009B1007">
      <w:pPr>
        <w:pStyle w:val="AllowPageBreak"/>
      </w:pPr>
    </w:p>
    <w:p w:rsidR="00000000" w:rsidRPr="009B1007" w:rsidP="009B1007">
      <w:pPr>
        <w:pStyle w:val="Heading1"/>
      </w:pPr>
      <w:bookmarkStart w:id="10" w:name="O_315288"/>
      <w:bookmarkEnd w:id="10"/>
      <w:r w:rsidRPr="009B1007">
        <w:t>Evidence Guide</w:t>
      </w:r>
    </w:p>
    <w:tbl>
      <w:tblPr>
        <w:tblW w:w="0" w:type="auto"/>
        <w:tblLayout w:type="fixed"/>
        <w:tblCellMar>
          <w:left w:w="62" w:type="dxa"/>
          <w:right w:w="62" w:type="dxa"/>
        </w:tblCellMar>
        <w:tblLook w:val="0000"/>
      </w:tblPr>
      <w:tblGrid>
        <w:gridCol w:w="4500"/>
        <w:gridCol w:w="4500"/>
      </w:tblGrid>
      <w:tr w:rsidTr="0028103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8103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The evidence guide provides advice on assessment and must be read in conjunction with the performance criteria, required knowledge and skills, the range statement and the assessment guidelines for this Training Package. </w:t>
            </w:r>
          </w:p>
        </w:tc>
      </w:tr>
      <w:tr w:rsidTr="002810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rPr>
                <w:rStyle w:val="SpecialBold"/>
              </w:rPr>
              <w:t>Critical aspects for assessment a</w:t>
            </w:r>
            <w:r w:rsidRPr="009B1007">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9B1007" w:rsidP="009B1007">
            <w:pPr>
              <w:pStyle w:val="BodyText"/>
            </w:pPr>
            <w:r w:rsidRPr="009B1007">
              <w:t>The evidence required to demonstrate competency in this unit must be relevant to and satisfy all of the requirements of the elements and performance criteria of this unit and include demonstration</w:t>
            </w:r>
            <w:r w:rsidRPr="009B1007">
              <w:t xml:space="preserve"> of:   </w:t>
            </w:r>
          </w:p>
          <w:p w:rsidR="00000000" w:rsidRPr="009B1007" w:rsidP="009B1007">
            <w:pPr>
              <w:pStyle w:val="BodyText"/>
            </w:pPr>
            <w:r w:rsidRPr="009B1007">
              <w:t>identifying explosives and dangerous goods from labels in accordance with regulatory requirements and practices</w:t>
            </w:r>
          </w:p>
          <w:p w:rsidR="00000000" w:rsidRPr="009B1007" w:rsidP="009B1007">
            <w:pPr>
              <w:pStyle w:val="BodyText"/>
            </w:pPr>
            <w:r w:rsidRPr="009B1007">
              <w:t>handling explosives and dangerous goods according to regulatory requirements, codes, National Load Restraint Guide and employer policy as appropriate</w:t>
            </w:r>
          </w:p>
          <w:p w:rsidR="00000000" w:rsidRPr="009B1007" w:rsidP="009B1007">
            <w:pPr>
              <w:pStyle w:val="BodyText"/>
            </w:pPr>
            <w:r w:rsidRPr="009B1007">
              <w:t>locating, interpreting and applying relevant codes and regulations</w:t>
            </w:r>
          </w:p>
          <w:p w:rsidR="00000000" w:rsidRPr="009B1007" w:rsidP="009B1007">
            <w:pPr>
              <w:pStyle w:val="BodyText"/>
            </w:pPr>
            <w:r w:rsidRPr="009B1007">
              <w:t>indentifying the hazards from labels of</w:t>
            </w:r>
            <w:r w:rsidRPr="009B1007">
              <w:t xml:space="preserve"> explosives and dangerous goods</w:t>
            </w:r>
          </w:p>
          <w:p w:rsidR="00000000" w:rsidRPr="009B1007" w:rsidP="009B1007">
            <w:pPr>
              <w:pStyle w:val="BodyText"/>
            </w:pPr>
            <w:r w:rsidRPr="009B1007">
              <w:t>identifying the personal protective equipment required when handling explosives and dangerous goods</w:t>
            </w:r>
          </w:p>
          <w:p w:rsidR="00000000" w:rsidP="009B1007">
            <w:pPr>
              <w:pStyle w:val="BodyText"/>
              <w:rPr>
                <w:lang w:val="en-NZ"/>
              </w:rPr>
            </w:pPr>
            <w:r w:rsidRPr="009B1007">
              <w:t xml:space="preserve">maintaining workplace records for the explosives and dangerous goods </w:t>
            </w:r>
          </w:p>
        </w:tc>
      </w:tr>
      <w:tr w:rsidTr="002810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9B1007" w:rsidP="009B1007">
            <w:pPr>
              <w:pStyle w:val="BodyText"/>
            </w:pPr>
            <w:r w:rsidRPr="009B1007">
              <w:t>Perf</w:t>
            </w:r>
            <w:r w:rsidRPr="009B1007">
              <w:t>ormance is demonstrated consistently over a period of time and in a suitable range of contexts</w:t>
            </w:r>
          </w:p>
          <w:p w:rsidR="00000000" w:rsidRPr="009B1007" w:rsidP="009B1007">
            <w:pPr>
              <w:pStyle w:val="BodyText"/>
            </w:pPr>
            <w:r w:rsidRPr="009B1007">
              <w:t xml:space="preserve">Resources for assessment include:   </w:t>
            </w:r>
          </w:p>
          <w:p w:rsidR="00000000" w:rsidRPr="009B1007" w:rsidP="009B1007">
            <w:pPr>
              <w:pStyle w:val="BodyText"/>
            </w:pPr>
            <w:r w:rsidRPr="009B1007">
              <w:t>a range of relevant exercises, case studies and other simulated practical and knowledge assessment, and/or</w:t>
            </w:r>
          </w:p>
          <w:p w:rsidR="00000000" w:rsidRPr="009B1007" w:rsidP="009B1007">
            <w:pPr>
              <w:pStyle w:val="BodyText"/>
            </w:pPr>
            <w:r w:rsidRPr="009B1007">
              <w:t>access to an appr</w:t>
            </w:r>
            <w:r w:rsidRPr="009B1007">
              <w:t>opriate range of relevant operational situations in the workplace</w:t>
            </w:r>
          </w:p>
          <w:p w:rsidR="00000000" w:rsidRPr="009B1007" w:rsidP="009B1007">
            <w:pPr>
              <w:pStyle w:val="BodyText"/>
            </w:pPr>
          </w:p>
          <w:p w:rsidR="00000000" w:rsidRPr="009B1007" w:rsidP="009B1007">
            <w:pPr>
              <w:pStyle w:val="BodyText"/>
            </w:pPr>
            <w:r w:rsidRPr="009B1007">
              <w:t xml:space="preserve">In both real and simulated environments, access is required to:     </w:t>
            </w:r>
          </w:p>
          <w:p w:rsidR="00000000" w:rsidRPr="009B1007" w:rsidP="009B1007">
            <w:pPr>
              <w:pStyle w:val="BodyText"/>
            </w:pPr>
            <w:r w:rsidRPr="009B1007">
              <w:t>relevant and appropriate materials and/or equipment, and/or</w:t>
            </w:r>
          </w:p>
          <w:p w:rsidR="00000000" w:rsidP="009B1007">
            <w:pPr>
              <w:pStyle w:val="BodyText"/>
              <w:rPr>
                <w:lang w:val="en-NZ"/>
              </w:rPr>
            </w:pPr>
            <w:r w:rsidRPr="009B1007">
              <w:t>applicable documentation including workplace procedures, reg</w:t>
            </w:r>
            <w:r w:rsidRPr="009B1007">
              <w:t xml:space="preserve">ulations, codes of practice and operation manuals </w:t>
            </w:r>
          </w:p>
        </w:tc>
      </w:tr>
      <w:tr w:rsidTr="002810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9B1007" w:rsidP="009B1007">
            <w:pPr>
              <w:pStyle w:val="BodyText"/>
            </w:pPr>
            <w:r w:rsidRPr="009B1007">
              <w:t>Assessment of this unit must be undertaken by a registered training organisation</w:t>
            </w:r>
          </w:p>
          <w:p w:rsidR="00000000" w:rsidRPr="009B1007" w:rsidP="009B1007">
            <w:pPr>
              <w:pStyle w:val="BodyText"/>
            </w:pPr>
            <w:r w:rsidRPr="009B1007">
              <w:t>As a minimum, assessment of knowledge must be conducted through appropriate written/oral tests</w:t>
            </w:r>
          </w:p>
          <w:p w:rsidR="00000000" w:rsidRPr="009B1007" w:rsidP="009B1007">
            <w:pPr>
              <w:pStyle w:val="BodyText"/>
            </w:pPr>
            <w:r w:rsidRPr="009B1007">
              <w:t>Practic</w:t>
            </w:r>
            <w:r w:rsidRPr="009B1007">
              <w:t xml:space="preserve">al assessment must occur:   </w:t>
            </w:r>
          </w:p>
          <w:p w:rsidR="00000000" w:rsidRPr="009B1007" w:rsidP="009B1007">
            <w:pPr>
              <w:pStyle w:val="BodyText"/>
            </w:pPr>
            <w:r w:rsidRPr="009B1007">
              <w:t>through appropriately simulated activities at the registered training organisation, and/or</w:t>
            </w:r>
          </w:p>
          <w:p w:rsidR="00000000" w:rsidRPr="009B1007" w:rsidP="009B1007">
            <w:pPr>
              <w:pStyle w:val="BodyText"/>
            </w:pPr>
            <w:r w:rsidRPr="009B1007">
              <w:t xml:space="preserve">in an appropriate range of situations in the workplace </w:t>
            </w:r>
          </w:p>
        </w:tc>
      </w:tr>
    </w:tbl>
    <w:p w:rsidR="00000000" w:rsidRPr="009B1007" w:rsidP="009B1007">
      <w:pPr>
        <w:pStyle w:val="BodyText"/>
      </w:pPr>
    </w:p>
    <w:p w:rsidR="00000000" w:rsidRPr="009B1007" w:rsidP="009B1007">
      <w:pPr>
        <w:pStyle w:val="AllowPageBreak"/>
      </w:pPr>
    </w:p>
    <w:p w:rsidR="00000000" w:rsidRPr="009B1007" w:rsidP="009B1007">
      <w:pPr>
        <w:pStyle w:val="Heading1"/>
      </w:pPr>
      <w:bookmarkStart w:id="11" w:name="O_315287"/>
      <w:bookmarkEnd w:id="11"/>
      <w:r w:rsidRPr="009B1007">
        <w:t>Range Statement</w:t>
      </w:r>
    </w:p>
    <w:tbl>
      <w:tblPr>
        <w:tblW w:w="0" w:type="auto"/>
        <w:tblLayout w:type="fixed"/>
        <w:tblCellMar>
          <w:left w:w="62" w:type="dxa"/>
          <w:right w:w="62" w:type="dxa"/>
        </w:tblCellMar>
        <w:tblLook w:val="0000"/>
      </w:tblPr>
      <w:tblGrid>
        <w:gridCol w:w="4500"/>
        <w:gridCol w:w="4500"/>
      </w:tblGrid>
      <w:tr w:rsidTr="0028103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rPr>
                <w:rStyle w:val="SpecialBold"/>
              </w:rPr>
              <w:t>RANGE STATEMENT</w:t>
            </w:r>
          </w:p>
        </w:tc>
      </w:tr>
      <w:tr w:rsidTr="0028103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The range statement relates to the unit of competency as a whole. It allows for different work environments and situations that may affect performance. </w:t>
            </w:r>
          </w:p>
        </w:tc>
      </w:tr>
      <w:tr w:rsidTr="002810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9B1007" w:rsidP="009B1007">
            <w:pPr>
              <w:pStyle w:val="BodyText"/>
            </w:pPr>
            <w:r w:rsidRPr="009B1007">
              <w:t>in a range of work environments and weather conditions</w:t>
            </w:r>
          </w:p>
          <w:p w:rsidR="00000000" w:rsidP="009B1007">
            <w:pPr>
              <w:pStyle w:val="BodyText"/>
              <w:rPr>
                <w:lang w:val="en-NZ"/>
              </w:rPr>
            </w:pPr>
            <w:r w:rsidRPr="009B1007">
              <w:t xml:space="preserve">by day or night </w:t>
            </w:r>
          </w:p>
        </w:tc>
      </w:tr>
      <w:tr w:rsidTr="002810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internal or external </w:t>
            </w:r>
          </w:p>
        </w:tc>
      </w:tr>
      <w:tr w:rsidTr="002810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large, medium or small worksites </w:t>
            </w:r>
          </w:p>
        </w:tc>
      </w:tr>
      <w:tr w:rsidTr="002810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9B1007" w:rsidP="009B1007">
            <w:pPr>
              <w:pStyle w:val="BodyText"/>
            </w:pPr>
            <w:r w:rsidRPr="009B1007">
              <w:t>restricted spaces</w:t>
            </w:r>
          </w:p>
          <w:p w:rsidR="00000000" w:rsidRPr="009B1007" w:rsidP="009B1007">
            <w:pPr>
              <w:pStyle w:val="BodyText"/>
            </w:pPr>
            <w:r w:rsidRPr="009B1007">
              <w:t>exposed conditions</w:t>
            </w:r>
          </w:p>
          <w:p w:rsidR="00000000" w:rsidRPr="009B1007" w:rsidP="009B1007">
            <w:pPr>
              <w:pStyle w:val="BodyText"/>
            </w:pPr>
            <w:r w:rsidRPr="009B1007">
              <w:t>controlled or open environments</w:t>
            </w:r>
          </w:p>
          <w:p w:rsidR="00000000" w:rsidRPr="009B1007" w:rsidP="009B1007">
            <w:pPr>
              <w:pStyle w:val="BodyText"/>
            </w:pPr>
            <w:r w:rsidRPr="009B1007">
              <w:t>a workplace, warehouse or depot</w:t>
            </w:r>
          </w:p>
          <w:p w:rsidR="00000000" w:rsidRPr="009B1007" w:rsidP="009B1007">
            <w:pPr>
              <w:pStyle w:val="BodyText"/>
            </w:pPr>
            <w:r w:rsidRPr="009B1007">
              <w:t>in a vehicle on the road</w:t>
            </w:r>
          </w:p>
          <w:p w:rsidR="00000000" w:rsidP="009B1007">
            <w:pPr>
              <w:pStyle w:val="BodyText"/>
              <w:rPr>
                <w:lang w:val="en-NZ"/>
              </w:rPr>
            </w:pPr>
            <w:r w:rsidRPr="009B1007">
              <w:t xml:space="preserve">at a client's workplace </w:t>
            </w:r>
          </w:p>
        </w:tc>
      </w:tr>
      <w:tr w:rsidTr="002810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Goods/cargo to be identified and classified may: </w:t>
            </w:r>
          </w:p>
        </w:tc>
        <w:tc>
          <w:tcPr>
            <w:tcW w:w="4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require special precautions for handling and storage </w:t>
            </w:r>
          </w:p>
        </w:tc>
      </w:tr>
      <w:tr w:rsidTr="002810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Classes of dangerous goods and explosives are: </w:t>
            </w:r>
          </w:p>
        </w:tc>
        <w:tc>
          <w:tcPr>
            <w:tcW w:w="4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as defined in the respective Australian codes </w:t>
            </w:r>
          </w:p>
        </w:tc>
      </w:tr>
      <w:tr w:rsidTr="002810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Stan</w:t>
            </w:r>
            <w:r w:rsidRPr="009B1007">
              <w:t xml:space="preserve">dard marking and signage for identified explosives and dangerous goods is: </w:t>
            </w:r>
          </w:p>
        </w:tc>
        <w:tc>
          <w:tcPr>
            <w:tcW w:w="4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as required in the respective Australian codes </w:t>
            </w:r>
          </w:p>
        </w:tc>
      </w:tr>
      <w:tr w:rsidTr="002810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Personnel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9B1007" w:rsidP="009B1007">
            <w:pPr>
              <w:pStyle w:val="BodyText"/>
            </w:pPr>
            <w:r w:rsidRPr="009B1007">
              <w:t>workplace personnel</w:t>
            </w:r>
          </w:p>
          <w:p w:rsidR="00000000" w:rsidRPr="009B1007" w:rsidP="009B1007">
            <w:pPr>
              <w:pStyle w:val="BodyText"/>
            </w:pPr>
            <w:r w:rsidRPr="009B1007">
              <w:t>site visitors</w:t>
            </w:r>
          </w:p>
          <w:p w:rsidR="00000000" w:rsidRPr="009B1007" w:rsidP="009B1007">
            <w:pPr>
              <w:pStyle w:val="BodyText"/>
            </w:pPr>
            <w:r w:rsidRPr="009B1007">
              <w:t>contractors</w:t>
            </w:r>
          </w:p>
          <w:p w:rsidR="00000000" w:rsidP="009B1007">
            <w:pPr>
              <w:pStyle w:val="BodyText"/>
              <w:rPr>
                <w:lang w:val="en-NZ"/>
              </w:rPr>
            </w:pPr>
            <w:r w:rsidRPr="009B1007">
              <w:t xml:space="preserve">official representatives </w:t>
            </w:r>
          </w:p>
        </w:tc>
      </w:tr>
      <w:tr w:rsidTr="002810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9B1007" w:rsidP="009B1007">
            <w:pPr>
              <w:pStyle w:val="BodyText"/>
            </w:pPr>
            <w:r w:rsidRPr="009B1007">
              <w:t>phone</w:t>
            </w:r>
          </w:p>
          <w:p w:rsidR="00000000" w:rsidRPr="009B1007" w:rsidP="009B1007">
            <w:pPr>
              <w:pStyle w:val="BodyText"/>
            </w:pPr>
            <w:r w:rsidRPr="009B1007">
              <w:t>electronic data interchange</w:t>
            </w:r>
          </w:p>
          <w:p w:rsidR="00000000" w:rsidRPr="009B1007" w:rsidP="009B1007">
            <w:pPr>
              <w:pStyle w:val="BodyText"/>
            </w:pPr>
            <w:r w:rsidRPr="009B1007">
              <w:t>fax</w:t>
            </w:r>
          </w:p>
          <w:p w:rsidR="00000000" w:rsidRPr="009B1007" w:rsidP="009B1007">
            <w:pPr>
              <w:pStyle w:val="BodyText"/>
            </w:pPr>
            <w:r w:rsidRPr="009B1007">
              <w:t>email</w:t>
            </w:r>
          </w:p>
          <w:p w:rsidR="00000000" w:rsidRPr="009B1007" w:rsidP="009B1007">
            <w:pPr>
              <w:pStyle w:val="BodyText"/>
            </w:pPr>
            <w:r w:rsidRPr="009B1007">
              <w:t>internet</w:t>
            </w:r>
          </w:p>
          <w:p w:rsidR="00000000" w:rsidRPr="009B1007" w:rsidP="009B1007">
            <w:pPr>
              <w:pStyle w:val="BodyText"/>
            </w:pPr>
            <w:r w:rsidRPr="009B1007">
              <w:t>radio</w:t>
            </w:r>
          </w:p>
          <w:p w:rsidR="00000000" w:rsidP="009B1007">
            <w:pPr>
              <w:pStyle w:val="BodyText"/>
              <w:rPr>
                <w:lang w:val="en-NZ"/>
              </w:rPr>
            </w:pPr>
            <w:r w:rsidRPr="009B1007">
              <w:t xml:space="preserve">oral, aural or signed communications </w:t>
            </w:r>
          </w:p>
        </w:tc>
      </w:tr>
      <w:tr w:rsidTr="002810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Depending on the type of organisation concerned and the local terminology used, workplace procedures may include:</w:t>
            </w:r>
            <w:r w:rsidRPr="009B1007">
              <w:t xml:space="preserve"> </w:t>
            </w:r>
          </w:p>
        </w:tc>
        <w:tc>
          <w:tcPr>
            <w:tcW w:w="4500" w:type="dxa"/>
            <w:tcBorders>
              <w:top w:val="nil"/>
              <w:left w:val="nil"/>
              <w:bottom w:val="nil"/>
              <w:right w:val="nil"/>
            </w:tcBorders>
            <w:tcMar>
              <w:top w:w="0" w:type="dxa"/>
              <w:left w:w="62" w:type="dxa"/>
              <w:bottom w:w="0" w:type="dxa"/>
              <w:right w:w="62" w:type="dxa"/>
            </w:tcMar>
          </w:tcPr>
          <w:p w:rsidR="00000000" w:rsidRPr="009B1007" w:rsidP="009B1007">
            <w:pPr>
              <w:pStyle w:val="BodyText"/>
            </w:pPr>
            <w:r w:rsidRPr="009B1007">
              <w:t>company procedures</w:t>
            </w:r>
          </w:p>
          <w:p w:rsidR="00000000" w:rsidRPr="009B1007" w:rsidP="009B1007">
            <w:pPr>
              <w:pStyle w:val="BodyText"/>
            </w:pPr>
            <w:r w:rsidRPr="009B1007">
              <w:t>enterprise procedures</w:t>
            </w:r>
          </w:p>
          <w:p w:rsidR="00000000" w:rsidRPr="009B1007" w:rsidP="009B1007">
            <w:pPr>
              <w:pStyle w:val="BodyText"/>
            </w:pPr>
            <w:r w:rsidRPr="009B1007">
              <w:t>organisational procedures</w:t>
            </w:r>
          </w:p>
          <w:p w:rsidR="00000000" w:rsidP="009B1007">
            <w:pPr>
              <w:pStyle w:val="BodyText"/>
              <w:rPr>
                <w:lang w:val="en-NZ"/>
              </w:rPr>
            </w:pPr>
            <w:r w:rsidRPr="009B1007">
              <w:t xml:space="preserve">established procedures </w:t>
            </w:r>
          </w:p>
        </w:tc>
      </w:tr>
      <w:tr w:rsidTr="002810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9B1007" w:rsidP="009B1007">
            <w:pPr>
              <w:pStyle w:val="BodyText"/>
            </w:pPr>
            <w:r w:rsidRPr="009B1007">
              <w:t>gloves</w:t>
            </w:r>
          </w:p>
          <w:p w:rsidR="00000000" w:rsidRPr="009B1007" w:rsidP="009B1007">
            <w:pPr>
              <w:pStyle w:val="BodyText"/>
            </w:pPr>
            <w:r w:rsidRPr="009B1007">
              <w:t>safety headwear and footwear</w:t>
            </w:r>
          </w:p>
          <w:p w:rsidR="00000000" w:rsidRPr="009B1007" w:rsidP="009B1007">
            <w:pPr>
              <w:pStyle w:val="BodyText"/>
            </w:pPr>
            <w:r w:rsidRPr="009B1007">
              <w:t>safety glasses</w:t>
            </w:r>
          </w:p>
          <w:p w:rsidR="00000000" w:rsidRPr="009B1007" w:rsidP="009B1007">
            <w:pPr>
              <w:pStyle w:val="BodyText"/>
            </w:pPr>
            <w:r w:rsidRPr="009B1007">
              <w:t>two-way radios</w:t>
            </w:r>
          </w:p>
          <w:p w:rsidR="00000000" w:rsidP="009B1007">
            <w:pPr>
              <w:pStyle w:val="BodyText"/>
              <w:rPr>
                <w:lang w:val="en-NZ"/>
              </w:rPr>
            </w:pPr>
            <w:r w:rsidRPr="009B1007">
              <w:t xml:space="preserve">high visibility clothing </w:t>
            </w:r>
          </w:p>
        </w:tc>
      </w:tr>
      <w:tr w:rsidTr="002810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9B1007" w:rsidP="009B1007">
            <w:pPr>
              <w:pStyle w:val="BodyText"/>
            </w:pPr>
            <w:r w:rsidRPr="009B1007">
              <w:t>goods identification numbers, codes, markings and signs</w:t>
            </w:r>
          </w:p>
          <w:p w:rsidR="00000000" w:rsidRPr="009B1007" w:rsidP="009B1007">
            <w:pPr>
              <w:pStyle w:val="BodyText"/>
            </w:pPr>
            <w:r w:rsidRPr="009B1007">
              <w:t>codes of practice including the Australian/International Dangerous Goods Codes and the Australian/International Explosives Codes</w:t>
            </w:r>
          </w:p>
          <w:p w:rsidR="00000000" w:rsidRPr="009B1007" w:rsidP="009B1007">
            <w:pPr>
              <w:pStyle w:val="BodyText"/>
            </w:pPr>
            <w:r w:rsidRPr="009B1007">
              <w:t>manifests, bar codes, goods and con</w:t>
            </w:r>
            <w:r w:rsidRPr="009B1007">
              <w:t>tainer identification</w:t>
            </w:r>
          </w:p>
          <w:p w:rsidR="00000000" w:rsidRPr="009B1007" w:rsidP="009B1007">
            <w:pPr>
              <w:pStyle w:val="BodyText"/>
            </w:pPr>
            <w:r w:rsidRPr="009B1007">
              <w:t>manufacturers specifications for equipment/tools</w:t>
            </w:r>
          </w:p>
          <w:p w:rsidR="00000000" w:rsidRPr="009B1007" w:rsidP="009B1007">
            <w:pPr>
              <w:pStyle w:val="BodyText"/>
            </w:pPr>
            <w:r w:rsidRPr="009B1007">
              <w:t>workplace procedures and policies for the loading and unloading of vehicles</w:t>
            </w:r>
          </w:p>
          <w:p w:rsidR="00000000" w:rsidRPr="009B1007" w:rsidP="009B1007">
            <w:pPr>
              <w:pStyle w:val="BodyText"/>
            </w:pPr>
            <w:r w:rsidRPr="009B1007">
              <w:t>supplier and/or client instructions</w:t>
            </w:r>
          </w:p>
          <w:p w:rsidR="00000000" w:rsidRPr="009B1007" w:rsidP="009B1007">
            <w:pPr>
              <w:pStyle w:val="BodyText"/>
            </w:pPr>
            <w:r w:rsidRPr="009B1007">
              <w:t>material safety data sheets</w:t>
            </w:r>
          </w:p>
          <w:p w:rsidR="00000000" w:rsidRPr="009B1007" w:rsidP="009B1007">
            <w:pPr>
              <w:pStyle w:val="BodyText"/>
            </w:pPr>
            <w:r w:rsidRPr="009B1007">
              <w:t>award, enterprise bargaining agreement, other</w:t>
            </w:r>
            <w:r w:rsidRPr="009B1007">
              <w:t xml:space="preserve"> industrial arrangements</w:t>
            </w:r>
          </w:p>
          <w:p w:rsidR="00000000" w:rsidRPr="009B1007" w:rsidP="009B1007">
            <w:pPr>
              <w:pStyle w:val="BodyText"/>
            </w:pPr>
            <w:r w:rsidRPr="009B1007">
              <w:t>standards and certification requirements</w:t>
            </w:r>
          </w:p>
          <w:p w:rsidR="00000000" w:rsidRPr="009B1007" w:rsidP="009B1007">
            <w:pPr>
              <w:pStyle w:val="BodyText"/>
            </w:pPr>
            <w:r w:rsidRPr="009B1007">
              <w:t>quality assurance procedures</w:t>
            </w:r>
          </w:p>
          <w:p w:rsidR="00000000" w:rsidP="009B1007">
            <w:pPr>
              <w:pStyle w:val="BodyText"/>
              <w:rPr>
                <w:lang w:val="en-NZ"/>
              </w:rPr>
            </w:pPr>
            <w:r w:rsidRPr="009B1007">
              <w:t xml:space="preserve">emergency procedures </w:t>
            </w:r>
          </w:p>
        </w:tc>
      </w:tr>
      <w:tr w:rsidTr="0028103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1007">
            <w:pPr>
              <w:pStyle w:val="BodyText"/>
              <w:rPr>
                <w:lang w:val="en-NZ"/>
              </w:rPr>
            </w:pPr>
            <w:r w:rsidRPr="009B1007">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9B1007" w:rsidP="009B1007">
            <w:pPr>
              <w:pStyle w:val="BodyText"/>
            </w:pPr>
            <w:r w:rsidRPr="009B1007">
              <w:t>current Australian and international regulations and codes of practice for the handli</w:t>
            </w:r>
            <w:r w:rsidRPr="009B1007">
              <w:t xml:space="preserve">ng and transport of dangerous goods and hazardous substances, including:   </w:t>
            </w:r>
          </w:p>
          <w:p w:rsidR="00000000" w:rsidRPr="009B1007" w:rsidP="009B1007">
            <w:pPr>
              <w:pStyle w:val="BodyText"/>
            </w:pPr>
            <w:r w:rsidRPr="009B1007">
              <w:t>Australian and International Dangerous Goods Codes</w:t>
            </w:r>
          </w:p>
          <w:p w:rsidR="00000000" w:rsidRPr="009B1007" w:rsidP="009B1007">
            <w:pPr>
              <w:pStyle w:val="BodyText"/>
            </w:pPr>
            <w:r w:rsidRPr="009B1007">
              <w:t>Australian Marine Orders and the International Maritime Dangerous Goods Code</w:t>
            </w:r>
          </w:p>
          <w:p w:rsidR="00000000" w:rsidRPr="009B1007" w:rsidP="009B1007">
            <w:pPr>
              <w:pStyle w:val="BodyText"/>
            </w:pPr>
            <w:r w:rsidRPr="009B1007">
              <w:t>International Air Transport Association (IATA) Dange</w:t>
            </w:r>
            <w:r w:rsidRPr="009B1007">
              <w:t>rous Goods by Air regulations</w:t>
            </w:r>
          </w:p>
          <w:p w:rsidR="00000000" w:rsidRPr="009B1007" w:rsidP="009B1007">
            <w:pPr>
              <w:pStyle w:val="BodyText"/>
            </w:pPr>
            <w:r w:rsidRPr="009B1007">
              <w:t>Australian and International Explosives Codes</w:t>
            </w:r>
          </w:p>
          <w:p w:rsidR="00000000" w:rsidRPr="009B1007" w:rsidP="009B1007">
            <w:pPr>
              <w:pStyle w:val="BodyText"/>
            </w:pPr>
          </w:p>
          <w:p w:rsidR="00000000" w:rsidRPr="009B1007" w:rsidP="009B1007">
            <w:pPr>
              <w:pStyle w:val="BodyText"/>
            </w:pPr>
            <w:r w:rsidRPr="009B1007">
              <w:t xml:space="preserve">relevant state/territory environmental protection legislation  </w:t>
            </w:r>
          </w:p>
          <w:p w:rsidR="00000000" w:rsidRPr="009B1007" w:rsidP="009B1007">
            <w:pPr>
              <w:pStyle w:val="BodyText"/>
            </w:pPr>
            <w:r w:rsidRPr="009B1007">
              <w:t>equal opportunity legislation</w:t>
            </w:r>
          </w:p>
          <w:p w:rsidR="00000000" w:rsidRPr="009B1007" w:rsidP="009B1007">
            <w:pPr>
              <w:pStyle w:val="BodyText"/>
            </w:pPr>
            <w:r w:rsidRPr="009B1007">
              <w:t>workplace relations regulations</w:t>
            </w:r>
          </w:p>
          <w:p w:rsidR="00000000" w:rsidRPr="009B1007" w:rsidP="009B1007">
            <w:pPr>
              <w:pStyle w:val="BodyText"/>
            </w:pPr>
            <w:r w:rsidRPr="009B1007">
              <w:t>equal employment and affirmative action legislation</w:t>
            </w:r>
          </w:p>
          <w:p w:rsidR="00000000" w:rsidRPr="009B1007" w:rsidP="009B1007">
            <w:pPr>
              <w:pStyle w:val="BodyText"/>
            </w:pPr>
            <w:r w:rsidRPr="009B1007">
              <w:t xml:space="preserve">relevant state/territory OH&amp;S legislation </w:t>
            </w:r>
          </w:p>
        </w:tc>
      </w:tr>
    </w:tbl>
    <w:p w:rsidR="00000000" w:rsidRPr="009B1007" w:rsidP="009B1007">
      <w:pPr>
        <w:pStyle w:val="BodyText"/>
      </w:pPr>
    </w:p>
    <w:p w:rsidR="00000000" w:rsidRPr="009B1007" w:rsidP="009B1007">
      <w:pPr>
        <w:pStyle w:val="AllowPageBreak"/>
      </w:pPr>
    </w:p>
    <w:p w:rsidR="00000000" w:rsidRPr="009B1007" w:rsidP="009B1007">
      <w:pPr>
        <w:pStyle w:val="Heading1"/>
      </w:pPr>
      <w:bookmarkStart w:id="12" w:name="O_315286"/>
      <w:bookmarkEnd w:id="12"/>
      <w:r w:rsidRPr="009B1007">
        <w:t>Unit Sector(s)</w:t>
      </w:r>
    </w:p>
    <w:p w:rsidR="00000000" w:rsidRPr="009B1007" w:rsidP="009B1007">
      <w:pPr>
        <w:pStyle w:val="BodyText"/>
      </w:pPr>
      <w:r w:rsidRPr="009B1007">
        <w:t>Not applicable.</w:t>
      </w:r>
    </w:p>
    <w:p w:rsidR="00000000" w:rsidRPr="009B1007" w:rsidP="009B1007">
      <w:pPr>
        <w:pStyle w:val="AllowPageBreak"/>
      </w:pPr>
    </w:p>
    <w:p w:rsidR="00000000" w:rsidRPr="009B1007" w:rsidP="009B1007">
      <w:pPr>
        <w:pStyle w:val="Heading1"/>
      </w:pPr>
      <w:bookmarkStart w:id="13" w:name="O_315285"/>
      <w:bookmarkEnd w:id="13"/>
      <w:r w:rsidRPr="009B1007">
        <w:t xml:space="preserve">Competency Field </w:t>
      </w:r>
    </w:p>
    <w:p w:rsidR="00000000" w:rsidRPr="009B1007" w:rsidP="009B1007">
      <w:pPr>
        <w:pStyle w:val="BodyText"/>
      </w:pPr>
      <w:r w:rsidRPr="009B1007">
        <w:t>D - Load Handling</w:t>
      </w:r>
    </w:p>
    <w:p w:rsidR="00000000" w:rsidRPr="009B1007" w:rsidP="009B1007"/>
    <w:sectPr w:rsidSect="009B10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0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03B" w:rsidP="002810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0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03B" w:rsidP="009B10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8103B" w:rsidP="009B10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8103B" w:rsidP="009B10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0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03B" w:rsidP="0028103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0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03B" w:rsidP="009B1007">
    <w:pPr>
      <w:pStyle w:val="Header"/>
      <w:framePr w:wrap="around"/>
    </w:pPr>
    <w:r>
      <w:fldChar w:fldCharType="begin"/>
    </w:r>
    <w:r>
      <w:instrText xml:space="preserve"> TITLE   \* MERGEFORMAT </w:instrText>
    </w:r>
    <w:r>
      <w:fldChar w:fldCharType="separate"/>
    </w:r>
    <w:r>
      <w:t>TLID1507D Identify and label explosives and dangerous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103B" w:rsidP="009B10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0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1007"/>
    <w:pPr>
      <w:spacing w:before="360" w:after="60"/>
      <w:outlineLvl w:val="0"/>
    </w:pPr>
    <w:rPr>
      <w:sz w:val="32"/>
    </w:rPr>
  </w:style>
  <w:style w:type="paragraph" w:styleId="Heading2">
    <w:name w:val="heading 2"/>
    <w:basedOn w:val="HeadingBase"/>
    <w:next w:val="BodyText"/>
    <w:link w:val="Heading2Char"/>
    <w:qFormat/>
    <w:rsid w:val="009B1007"/>
    <w:pPr>
      <w:keepLines/>
      <w:spacing w:before="240" w:after="120"/>
      <w:outlineLvl w:val="1"/>
    </w:pPr>
    <w:rPr>
      <w:sz w:val="28"/>
      <w:szCs w:val="40"/>
    </w:rPr>
  </w:style>
  <w:style w:type="paragraph" w:styleId="Heading3">
    <w:name w:val="heading 3"/>
    <w:basedOn w:val="HeadingBase"/>
    <w:next w:val="BodyText"/>
    <w:link w:val="Heading3Char"/>
    <w:qFormat/>
    <w:rsid w:val="009B1007"/>
    <w:pPr>
      <w:spacing w:before="180" w:after="120"/>
      <w:outlineLvl w:val="2"/>
    </w:pPr>
    <w:rPr>
      <w:spacing w:val="-10"/>
      <w:kern w:val="32"/>
    </w:rPr>
  </w:style>
  <w:style w:type="paragraph" w:styleId="Heading4">
    <w:name w:val="heading 4"/>
    <w:basedOn w:val="HeadingBase"/>
    <w:next w:val="BodyText"/>
    <w:link w:val="Heading4Char"/>
    <w:qFormat/>
    <w:rsid w:val="009B1007"/>
    <w:pPr>
      <w:spacing w:before="160" w:after="120"/>
      <w:outlineLvl w:val="3"/>
    </w:pPr>
    <w:rPr>
      <w:sz w:val="22"/>
    </w:rPr>
  </w:style>
  <w:style w:type="paragraph" w:styleId="Heading5">
    <w:name w:val="heading 5"/>
    <w:basedOn w:val="HeadingBase"/>
    <w:next w:val="Normal"/>
    <w:link w:val="Heading5Char"/>
    <w:qFormat/>
    <w:rsid w:val="009B1007"/>
    <w:pPr>
      <w:spacing w:before="80"/>
      <w:outlineLvl w:val="4"/>
    </w:pPr>
    <w:rPr>
      <w:color w:val="918585"/>
      <w:sz w:val="20"/>
    </w:rPr>
  </w:style>
  <w:style w:type="paragraph" w:styleId="Heading6">
    <w:name w:val="heading 6"/>
    <w:basedOn w:val="HeadingBase"/>
    <w:next w:val="Normal"/>
    <w:link w:val="Heading6Char"/>
    <w:qFormat/>
    <w:rsid w:val="009B1007"/>
    <w:pPr>
      <w:spacing w:before="60"/>
      <w:outlineLvl w:val="5"/>
    </w:pPr>
    <w:rPr>
      <w:color w:val="918585"/>
      <w:sz w:val="20"/>
    </w:rPr>
  </w:style>
  <w:style w:type="paragraph" w:styleId="Heading7">
    <w:name w:val="heading 7"/>
    <w:basedOn w:val="Normal"/>
    <w:next w:val="Normal"/>
    <w:link w:val="Heading7Char"/>
    <w:qFormat/>
    <w:rsid w:val="009B1007"/>
    <w:pPr>
      <w:ind w:left="720"/>
      <w:outlineLvl w:val="6"/>
    </w:pPr>
    <w:rPr>
      <w:i/>
    </w:rPr>
  </w:style>
  <w:style w:type="paragraph" w:styleId="Heading8">
    <w:name w:val="heading 8"/>
    <w:basedOn w:val="Normal"/>
    <w:next w:val="Normal"/>
    <w:link w:val="Heading8Char"/>
    <w:qFormat/>
    <w:rsid w:val="009B1007"/>
    <w:pPr>
      <w:ind w:left="720"/>
      <w:outlineLvl w:val="7"/>
    </w:pPr>
    <w:rPr>
      <w:i/>
    </w:rPr>
  </w:style>
  <w:style w:type="paragraph" w:styleId="Heading9">
    <w:name w:val="heading 9"/>
    <w:basedOn w:val="Normal"/>
    <w:next w:val="Normal"/>
    <w:link w:val="Heading9Char"/>
    <w:qFormat/>
    <w:rsid w:val="009B1007"/>
    <w:pPr>
      <w:ind w:left="720"/>
      <w:outlineLvl w:val="8"/>
    </w:pPr>
    <w:rPr>
      <w:i/>
    </w:rPr>
  </w:style>
  <w:style w:type="character" w:default="1" w:styleId="DefaultParagraphFont">
    <w:name w:val="Default Paragraph Font"/>
    <w:uiPriority w:val="1"/>
    <w:unhideWhenUsed/>
    <w:rsid w:val="009B10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007"/>
  </w:style>
  <w:style w:type="character" w:customStyle="1" w:styleId="Heading1Char">
    <w:name w:val="Heading 1 Char"/>
    <w:link w:val="Heading1"/>
    <w:rsid w:val="009B1007"/>
    <w:rPr>
      <w:rFonts w:ascii="Times New Roman" w:eastAsia="Times New Roman" w:hAnsi="Times New Roman" w:cs="Times New Roman"/>
      <w:b/>
      <w:sz w:val="32"/>
      <w:szCs w:val="20"/>
      <w:lang w:eastAsia="en-US"/>
    </w:rPr>
  </w:style>
  <w:style w:type="paragraph" w:styleId="BodyText">
    <w:name w:val="Body Text"/>
    <w:basedOn w:val="Normal"/>
    <w:link w:val="BodyTextChar"/>
    <w:rsid w:val="009B1007"/>
    <w:pPr>
      <w:spacing w:before="120" w:after="120"/>
      <w:contextualSpacing/>
    </w:pPr>
    <w:rPr>
      <w:rFonts w:ascii="Times New Roman" w:hAnsi="Times New Roman"/>
      <w:sz w:val="24"/>
      <w:szCs w:val="22"/>
    </w:rPr>
  </w:style>
  <w:style w:type="character" w:customStyle="1" w:styleId="BodyTextChar">
    <w:name w:val="Body Text Char"/>
    <w:link w:val="BodyText"/>
    <w:rsid w:val="009B1007"/>
    <w:rPr>
      <w:rFonts w:ascii="Times New Roman" w:eastAsia="Times New Roman" w:hAnsi="Times New Roman" w:cs="Times New Roman"/>
      <w:sz w:val="24"/>
      <w:lang w:val="en-US" w:eastAsia="en-US"/>
    </w:rPr>
  </w:style>
  <w:style w:type="paragraph" w:styleId="Footer">
    <w:name w:val="footer"/>
    <w:basedOn w:val="Normal"/>
    <w:link w:val="FooterChar"/>
    <w:rsid w:val="009B10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B1007"/>
    <w:rPr>
      <w:rFonts w:ascii="Times New Roman" w:eastAsia="Times New Roman" w:hAnsi="Times New Roman" w:cs="Times New Roman"/>
      <w:sz w:val="16"/>
      <w:lang w:val="en-US" w:eastAsia="en-US"/>
    </w:rPr>
  </w:style>
  <w:style w:type="character" w:customStyle="1" w:styleId="SpecialBold">
    <w:name w:val="Special Bold"/>
    <w:rsid w:val="009B1007"/>
    <w:rPr>
      <w:b/>
      <w:spacing w:val="0"/>
    </w:rPr>
  </w:style>
  <w:style w:type="paragraph" w:styleId="Header">
    <w:name w:val="header"/>
    <w:basedOn w:val="Normal"/>
    <w:link w:val="HeaderChar"/>
    <w:rsid w:val="009B10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B10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1007"/>
    <w:pPr>
      <w:spacing w:before="240" w:after="120"/>
      <w:outlineLvl w:val="0"/>
    </w:pPr>
    <w:rPr>
      <w:rFonts w:ascii="Times New Roman" w:hAnsi="Times New Roman"/>
      <w:b/>
      <w:sz w:val="28"/>
    </w:rPr>
  </w:style>
  <w:style w:type="paragraph" w:customStyle="1" w:styleId="AllowPageBreak">
    <w:name w:val="AllowPageBreak"/>
    <w:rsid w:val="009B10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B1007"/>
    <w:rPr>
      <w:rFonts w:ascii="Times New Roman" w:eastAsia="Times New Roman" w:hAnsi="Times New Roman" w:cs="Times New Roman"/>
      <w:b/>
      <w:sz w:val="28"/>
      <w:szCs w:val="40"/>
      <w:lang w:eastAsia="en-US"/>
    </w:rPr>
  </w:style>
  <w:style w:type="character" w:customStyle="1" w:styleId="Heading3Char">
    <w:name w:val="Heading 3 Char"/>
    <w:link w:val="Heading3"/>
    <w:rsid w:val="009B100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B1007"/>
    <w:rPr>
      <w:rFonts w:ascii="Times New Roman" w:eastAsia="Times New Roman" w:hAnsi="Times New Roman" w:cs="Times New Roman"/>
      <w:b/>
      <w:szCs w:val="20"/>
      <w:lang w:eastAsia="en-US"/>
    </w:rPr>
  </w:style>
  <w:style w:type="character" w:customStyle="1" w:styleId="Heading5Char">
    <w:name w:val="Heading 5 Char"/>
    <w:link w:val="Heading5"/>
    <w:rsid w:val="009B100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B10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0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10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1007"/>
    <w:rPr>
      <w:rFonts w:ascii="Courier New" w:eastAsia="Times New Roman" w:hAnsi="Courier New" w:cs="Times New Roman"/>
      <w:i/>
      <w:szCs w:val="20"/>
      <w:lang w:val="en-US" w:eastAsia="en-US"/>
    </w:rPr>
  </w:style>
  <w:style w:type="paragraph" w:customStyle="1" w:styleId="HeadingBase">
    <w:name w:val="Heading Base"/>
    <w:rsid w:val="009B10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007"/>
    <w:pPr>
      <w:tabs>
        <w:tab w:val="right" w:leader="dot" w:pos="9072"/>
      </w:tabs>
      <w:ind w:left="567"/>
    </w:pPr>
    <w:rPr>
      <w:szCs w:val="22"/>
    </w:rPr>
  </w:style>
  <w:style w:type="paragraph" w:customStyle="1" w:styleId="TOCBase">
    <w:name w:val="TOC Base"/>
    <w:rsid w:val="009B10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007"/>
    <w:pPr>
      <w:tabs>
        <w:tab w:val="right" w:leader="dot" w:pos="9072"/>
      </w:tabs>
      <w:spacing w:before="40" w:after="40"/>
      <w:ind w:left="284"/>
    </w:pPr>
    <w:rPr>
      <w:rFonts w:ascii="Times New Roman" w:hAnsi="Times New Roman"/>
    </w:rPr>
  </w:style>
  <w:style w:type="paragraph" w:styleId="TOC1">
    <w:name w:val="toc 1"/>
    <w:basedOn w:val="TOCBase"/>
    <w:next w:val="Normal"/>
    <w:rsid w:val="009B10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1007"/>
    <w:pPr>
      <w:spacing w:before="5040"/>
      <w:jc w:val="center"/>
    </w:pPr>
    <w:rPr>
      <w:sz w:val="48"/>
      <w:szCs w:val="72"/>
      <w:lang w:val="en-US"/>
    </w:rPr>
  </w:style>
  <w:style w:type="character" w:customStyle="1" w:styleId="TitleChar">
    <w:name w:val="Title Char"/>
    <w:link w:val="Title"/>
    <w:rsid w:val="009B10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007"/>
    <w:pPr>
      <w:tabs>
        <w:tab w:val="left" w:pos="3600"/>
        <w:tab w:val="left" w:pos="3958"/>
      </w:tabs>
    </w:pPr>
  </w:style>
  <w:style w:type="paragraph" w:styleId="List">
    <w:name w:val="List"/>
    <w:basedOn w:val="BodyText"/>
    <w:next w:val="BodyText"/>
    <w:rsid w:val="009B1007"/>
    <w:pPr>
      <w:tabs>
        <w:tab w:val="left" w:pos="340"/>
      </w:tabs>
      <w:spacing w:before="60" w:after="60"/>
      <w:ind w:left="340" w:hanging="340"/>
    </w:pPr>
  </w:style>
  <w:style w:type="paragraph" w:styleId="ListBullet">
    <w:name w:val="List Bullet"/>
    <w:basedOn w:val="List"/>
    <w:rsid w:val="009B1007"/>
    <w:pPr>
      <w:numPr>
        <w:numId w:val="11"/>
      </w:numPr>
      <w:tabs>
        <w:tab w:val="clear" w:pos="340"/>
      </w:tabs>
      <w:spacing w:before="40" w:after="40"/>
    </w:pPr>
  </w:style>
  <w:style w:type="paragraph" w:customStyle="1" w:styleId="Note">
    <w:name w:val="Note"/>
    <w:basedOn w:val="BodyText"/>
    <w:rsid w:val="009B10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1007"/>
    <w:pPr>
      <w:framePr w:wrap="auto" w:hAnchor="text" w:y="6049"/>
    </w:pPr>
    <w:rPr>
      <w:color w:val="000000"/>
      <w:sz w:val="40"/>
    </w:rPr>
  </w:style>
  <w:style w:type="paragraph" w:customStyle="1" w:styleId="TOCTitle">
    <w:name w:val="TOCTitle"/>
    <w:basedOn w:val="Heading1"/>
    <w:rsid w:val="009B1007"/>
    <w:pPr>
      <w:spacing w:after="240"/>
      <w:jc w:val="center"/>
      <w:outlineLvl w:val="9"/>
    </w:pPr>
    <w:rPr>
      <w:caps/>
    </w:rPr>
  </w:style>
  <w:style w:type="paragraph" w:customStyle="1" w:styleId="Version">
    <w:name w:val="Version"/>
    <w:rsid w:val="009B10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1007"/>
    <w:pPr>
      <w:numPr>
        <w:numId w:val="12"/>
      </w:numPr>
      <w:tabs>
        <w:tab w:val="clear" w:pos="680"/>
      </w:tabs>
    </w:pPr>
  </w:style>
  <w:style w:type="paragraph" w:styleId="Index1">
    <w:name w:val="index 1"/>
    <w:basedOn w:val="Normal"/>
    <w:next w:val="Normal"/>
    <w:semiHidden/>
    <w:rsid w:val="009B1007"/>
    <w:pPr>
      <w:keepNext w:val="0"/>
      <w:tabs>
        <w:tab w:val="right" w:pos="4176"/>
      </w:tabs>
      <w:ind w:left="198" w:hanging="198"/>
    </w:pPr>
    <w:rPr>
      <w:rFonts w:ascii="Garamond" w:hAnsi="Garamond"/>
    </w:rPr>
  </w:style>
  <w:style w:type="paragraph" w:styleId="IndexHeading">
    <w:name w:val="index heading"/>
    <w:basedOn w:val="Normal"/>
    <w:next w:val="Index1"/>
    <w:semiHidden/>
    <w:rsid w:val="009B1007"/>
    <w:pPr>
      <w:spacing w:before="120" w:after="120"/>
    </w:pPr>
    <w:rPr>
      <w:rFonts w:ascii="Arial" w:hAnsi="Arial"/>
      <w:b/>
      <w:color w:val="918585"/>
      <w:sz w:val="24"/>
    </w:rPr>
  </w:style>
  <w:style w:type="paragraph" w:customStyle="1" w:styleId="Chapter">
    <w:name w:val="Chapter"/>
    <w:basedOn w:val="Normal"/>
    <w:rsid w:val="009B1007"/>
    <w:pPr>
      <w:spacing w:before="240"/>
    </w:pPr>
    <w:rPr>
      <w:rFonts w:ascii="Times New Roman" w:hAnsi="Times New Roman"/>
      <w:smallCaps/>
      <w:spacing w:val="80"/>
      <w:sz w:val="28"/>
    </w:rPr>
  </w:style>
  <w:style w:type="paragraph" w:customStyle="1" w:styleId="InChapter">
    <w:name w:val="InChapter"/>
    <w:basedOn w:val="Heading3"/>
    <w:rsid w:val="009B1007"/>
    <w:pPr>
      <w:spacing w:after="240"/>
      <w:outlineLvl w:val="9"/>
    </w:pPr>
    <w:rPr>
      <w:noProof/>
    </w:rPr>
  </w:style>
  <w:style w:type="paragraph" w:styleId="Index2">
    <w:name w:val="index 2"/>
    <w:basedOn w:val="Normal"/>
    <w:next w:val="Normal"/>
    <w:semiHidden/>
    <w:rsid w:val="009B1007"/>
    <w:pPr>
      <w:tabs>
        <w:tab w:val="right" w:pos="4176"/>
      </w:tabs>
      <w:ind w:left="568" w:hanging="284"/>
    </w:pPr>
    <w:rPr>
      <w:rFonts w:ascii="Garamond" w:hAnsi="Garamond"/>
    </w:rPr>
  </w:style>
  <w:style w:type="paragraph" w:customStyle="1" w:styleId="Byline">
    <w:name w:val="Byline"/>
    <w:rsid w:val="009B10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007"/>
    <w:pPr>
      <w:tabs>
        <w:tab w:val="clear" w:pos="3600"/>
        <w:tab w:val="clear" w:pos="3958"/>
      </w:tabs>
      <w:jc w:val="right"/>
    </w:pPr>
  </w:style>
  <w:style w:type="character" w:styleId="Emphasis">
    <w:name w:val="Emphasis"/>
    <w:qFormat/>
    <w:rsid w:val="009B1007"/>
    <w:rPr>
      <w:i/>
    </w:rPr>
  </w:style>
  <w:style w:type="paragraph" w:styleId="Caption">
    <w:name w:val="caption"/>
    <w:basedOn w:val="BodyText"/>
    <w:next w:val="Normal"/>
    <w:qFormat/>
    <w:rsid w:val="009B1007"/>
    <w:pPr>
      <w:framePr w:w="2268" w:hSpace="181" w:vSpace="181" w:wrap="around" w:vAnchor="text" w:hAnchor="page" w:x="1135" w:y="285" w:anchorLock="1"/>
    </w:pPr>
    <w:rPr>
      <w:i/>
    </w:rPr>
  </w:style>
  <w:style w:type="paragraph" w:customStyle="1" w:styleId="MiniTOCTitle">
    <w:name w:val="MiniTOCTitle"/>
    <w:basedOn w:val="Heading4"/>
    <w:rsid w:val="009B1007"/>
    <w:pPr>
      <w:spacing w:before="240"/>
      <w:outlineLvl w:val="9"/>
    </w:pPr>
    <w:rPr>
      <w:noProof/>
      <w:sz w:val="24"/>
    </w:rPr>
  </w:style>
  <w:style w:type="paragraph" w:customStyle="1" w:styleId="MiniTOCItem">
    <w:name w:val="MiniTOCItem"/>
    <w:basedOn w:val="ListBullet"/>
    <w:rsid w:val="009B1007"/>
    <w:pPr>
      <w:numPr>
        <w:numId w:val="0"/>
      </w:numPr>
      <w:tabs>
        <w:tab w:val="right" w:leader="dot" w:pos="6521"/>
      </w:tabs>
      <w:spacing w:before="0" w:after="0"/>
    </w:pPr>
  </w:style>
  <w:style w:type="paragraph" w:customStyle="1" w:styleId="TOFTitle">
    <w:name w:val="TOFTitle"/>
    <w:basedOn w:val="TOCTitle"/>
    <w:rsid w:val="009B1007"/>
  </w:style>
  <w:style w:type="paragraph" w:styleId="TableofFigures">
    <w:name w:val="table of figures"/>
    <w:basedOn w:val="Normal"/>
    <w:next w:val="Normal"/>
    <w:semiHidden/>
    <w:rsid w:val="009B1007"/>
    <w:pPr>
      <w:tabs>
        <w:tab w:val="right" w:leader="dot" w:pos="9072"/>
      </w:tabs>
      <w:ind w:left="970" w:hanging="403"/>
    </w:pPr>
    <w:rPr>
      <w:rFonts w:ascii="Times New Roman" w:hAnsi="Times New Roman"/>
      <w:b/>
    </w:rPr>
  </w:style>
  <w:style w:type="paragraph" w:styleId="ListNumber">
    <w:name w:val="List Number"/>
    <w:basedOn w:val="List"/>
    <w:rsid w:val="009B1007"/>
    <w:pPr>
      <w:numPr>
        <w:numId w:val="9"/>
      </w:numPr>
    </w:pPr>
  </w:style>
  <w:style w:type="character" w:customStyle="1" w:styleId="WingdingSymbols">
    <w:name w:val="Wingding Symbols"/>
    <w:rsid w:val="009B1007"/>
    <w:rPr>
      <w:rFonts w:ascii="Wingdings" w:hAnsi="Wingdings"/>
    </w:rPr>
  </w:style>
  <w:style w:type="paragraph" w:customStyle="1" w:styleId="TableHeading">
    <w:name w:val="Table Heading"/>
    <w:basedOn w:val="HeadingBase"/>
    <w:rsid w:val="009B1007"/>
    <w:pPr>
      <w:keepLines/>
      <w:pBdr>
        <w:bottom w:val="single" w:sz="6" w:space="1" w:color="918585"/>
      </w:pBdr>
      <w:spacing w:before="240"/>
    </w:pPr>
  </w:style>
  <w:style w:type="character" w:customStyle="1" w:styleId="HotSpot">
    <w:name w:val="HotSpot"/>
    <w:rsid w:val="009B1007"/>
    <w:rPr>
      <w:color w:val="0033CC"/>
      <w:u w:val="none"/>
    </w:rPr>
  </w:style>
  <w:style w:type="paragraph" w:customStyle="1" w:styleId="BodyTextRight">
    <w:name w:val="Body Text Right"/>
    <w:basedOn w:val="BodyText"/>
    <w:rsid w:val="009B1007"/>
    <w:pPr>
      <w:spacing w:before="0" w:after="0"/>
      <w:jc w:val="right"/>
    </w:pPr>
  </w:style>
  <w:style w:type="paragraph" w:styleId="Index3">
    <w:name w:val="index 3"/>
    <w:basedOn w:val="ListNumber2"/>
    <w:next w:val="Normal"/>
    <w:semiHidden/>
    <w:rsid w:val="009B1007"/>
    <w:pPr>
      <w:numPr>
        <w:numId w:val="0"/>
      </w:numPr>
      <w:tabs>
        <w:tab w:val="right" w:leader="dot" w:pos="4176"/>
      </w:tabs>
    </w:pPr>
  </w:style>
  <w:style w:type="paragraph" w:styleId="ListNumber2">
    <w:name w:val="List Number 2"/>
    <w:basedOn w:val="List2"/>
    <w:rsid w:val="009B1007"/>
    <w:pPr>
      <w:numPr>
        <w:numId w:val="8"/>
      </w:numPr>
      <w:tabs>
        <w:tab w:val="clear" w:pos="1060"/>
      </w:tabs>
    </w:pPr>
  </w:style>
  <w:style w:type="paragraph" w:customStyle="1" w:styleId="MarginNote">
    <w:name w:val="Margin Note"/>
    <w:basedOn w:val="BodyText"/>
    <w:rsid w:val="009B10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0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B10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1007"/>
    <w:rPr>
      <w:sz w:val="32"/>
    </w:rPr>
  </w:style>
  <w:style w:type="paragraph" w:customStyle="1" w:styleId="HeadingProcedure">
    <w:name w:val="Heading Procedure"/>
    <w:basedOn w:val="HeadingBase"/>
    <w:next w:val="Normal"/>
    <w:rsid w:val="009B1007"/>
    <w:pPr>
      <w:tabs>
        <w:tab w:val="left" w:pos="0"/>
      </w:tabs>
      <w:spacing w:before="120" w:after="60"/>
    </w:pPr>
    <w:rPr>
      <w:i/>
      <w:color w:val="918585"/>
      <w:sz w:val="22"/>
    </w:rPr>
  </w:style>
  <w:style w:type="paragraph" w:customStyle="1" w:styleId="TableBodyText">
    <w:name w:val="Table Body Text"/>
    <w:basedOn w:val="BodyText"/>
    <w:rsid w:val="009B1007"/>
    <w:pPr>
      <w:spacing w:before="60" w:after="60"/>
    </w:pPr>
  </w:style>
  <w:style w:type="paragraph" w:styleId="ListContinue">
    <w:name w:val="List Continue"/>
    <w:basedOn w:val="List"/>
    <w:rsid w:val="009B1007"/>
    <w:pPr>
      <w:ind w:firstLine="0"/>
    </w:pPr>
  </w:style>
  <w:style w:type="paragraph" w:customStyle="1" w:styleId="ListNote">
    <w:name w:val="List Note"/>
    <w:basedOn w:val="List"/>
    <w:rsid w:val="009B1007"/>
    <w:pPr>
      <w:pBdr>
        <w:top w:val="single" w:sz="6" w:space="2" w:color="918585"/>
        <w:bottom w:val="single" w:sz="6" w:space="2" w:color="918585"/>
      </w:pBdr>
      <w:tabs>
        <w:tab w:val="left" w:pos="1021"/>
      </w:tabs>
      <w:ind w:firstLine="0"/>
    </w:pPr>
  </w:style>
  <w:style w:type="paragraph" w:customStyle="1" w:styleId="Warning">
    <w:name w:val="Warning"/>
    <w:basedOn w:val="BodyText"/>
    <w:rsid w:val="009B1007"/>
    <w:pPr>
      <w:shd w:val="clear" w:color="auto" w:fill="D9D9D9"/>
      <w:tabs>
        <w:tab w:val="left" w:pos="992"/>
      </w:tabs>
      <w:ind w:left="119" w:right="119"/>
    </w:pPr>
    <w:rPr>
      <w:sz w:val="20"/>
    </w:rPr>
  </w:style>
  <w:style w:type="paragraph" w:customStyle="1" w:styleId="MarginIcons">
    <w:name w:val="Margin Icons"/>
    <w:basedOn w:val="BodyText"/>
    <w:rsid w:val="009B100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B1007"/>
    <w:rPr>
      <w:rFonts w:ascii="Courier New" w:hAnsi="Courier New"/>
    </w:rPr>
  </w:style>
  <w:style w:type="paragraph" w:customStyle="1" w:styleId="NoteBullet">
    <w:name w:val="Note Bullet"/>
    <w:basedOn w:val="Note"/>
    <w:rsid w:val="009B1007"/>
    <w:pPr>
      <w:tabs>
        <w:tab w:val="clear" w:pos="680"/>
      </w:tabs>
      <w:spacing w:before="60" w:after="60"/>
    </w:pPr>
  </w:style>
  <w:style w:type="paragraph" w:customStyle="1" w:styleId="SubHeading2">
    <w:name w:val="SubHeading2"/>
    <w:basedOn w:val="HeadingBase"/>
    <w:rsid w:val="009B1007"/>
    <w:pPr>
      <w:spacing w:before="240" w:after="60"/>
    </w:pPr>
    <w:rPr>
      <w:sz w:val="20"/>
    </w:rPr>
  </w:style>
  <w:style w:type="paragraph" w:customStyle="1" w:styleId="SubHeading1">
    <w:name w:val="SubHeading1"/>
    <w:basedOn w:val="HeadingBase"/>
    <w:rsid w:val="009B1007"/>
    <w:pPr>
      <w:spacing w:before="240" w:after="60"/>
    </w:pPr>
    <w:rPr>
      <w:color w:val="918585"/>
      <w:sz w:val="22"/>
    </w:rPr>
  </w:style>
  <w:style w:type="paragraph" w:customStyle="1" w:styleId="SideHeading">
    <w:name w:val="Side Heading"/>
    <w:basedOn w:val="HeadingBase"/>
    <w:rsid w:val="009B10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007"/>
    <w:pPr>
      <w:numPr>
        <w:numId w:val="10"/>
      </w:numPr>
    </w:pPr>
  </w:style>
  <w:style w:type="paragraph" w:styleId="PlainText">
    <w:name w:val="Plain Text"/>
    <w:basedOn w:val="Normal"/>
    <w:link w:val="PlainTextChar"/>
    <w:rsid w:val="009B1007"/>
    <w:rPr>
      <w:sz w:val="20"/>
    </w:rPr>
  </w:style>
  <w:style w:type="character" w:customStyle="1" w:styleId="PlainTextChar">
    <w:name w:val="Plain Text Char"/>
    <w:basedOn w:val="DefaultParagraphFont"/>
    <w:link w:val="PlainText"/>
    <w:rsid w:val="009B1007"/>
    <w:rPr>
      <w:rFonts w:ascii="Courier New" w:eastAsia="Times New Roman" w:hAnsi="Courier New" w:cs="Times New Roman"/>
      <w:sz w:val="20"/>
      <w:szCs w:val="20"/>
      <w:lang w:val="en-US" w:eastAsia="en-US"/>
    </w:rPr>
  </w:style>
  <w:style w:type="character" w:customStyle="1" w:styleId="MenuOption">
    <w:name w:val="Menu Option"/>
    <w:rsid w:val="009B1007"/>
    <w:rPr>
      <w:b/>
      <w:smallCaps/>
    </w:rPr>
  </w:style>
  <w:style w:type="paragraph" w:customStyle="1" w:styleId="TableListNumber">
    <w:name w:val="Table List Number"/>
    <w:basedOn w:val="ListNumber"/>
    <w:rsid w:val="009B1007"/>
    <w:pPr>
      <w:numPr>
        <w:numId w:val="0"/>
      </w:numPr>
    </w:pPr>
  </w:style>
  <w:style w:type="paragraph" w:styleId="TOC4">
    <w:name w:val="toc 4"/>
    <w:basedOn w:val="TOCBase"/>
    <w:next w:val="Normal"/>
    <w:semiHidden/>
    <w:rsid w:val="009B1007"/>
    <w:pPr>
      <w:tabs>
        <w:tab w:val="right" w:leader="dot" w:pos="9071"/>
      </w:tabs>
      <w:ind w:left="1701"/>
    </w:pPr>
  </w:style>
  <w:style w:type="paragraph" w:customStyle="1" w:styleId="ListAlpha">
    <w:name w:val="List Alpha"/>
    <w:basedOn w:val="List"/>
    <w:rsid w:val="009B1007"/>
    <w:pPr>
      <w:numPr>
        <w:numId w:val="7"/>
      </w:numPr>
    </w:pPr>
  </w:style>
  <w:style w:type="paragraph" w:customStyle="1" w:styleId="ListAlpha2">
    <w:name w:val="List Alpha 2"/>
    <w:basedOn w:val="List2"/>
    <w:rsid w:val="009B1007"/>
    <w:pPr>
      <w:numPr>
        <w:numId w:val="6"/>
      </w:numPr>
    </w:pPr>
  </w:style>
  <w:style w:type="paragraph" w:styleId="List2">
    <w:name w:val="List 2"/>
    <w:basedOn w:val="BodyText"/>
    <w:rsid w:val="009B1007"/>
    <w:pPr>
      <w:tabs>
        <w:tab w:val="left" w:pos="680"/>
      </w:tabs>
      <w:spacing w:before="60" w:after="60"/>
      <w:ind w:left="680" w:hanging="340"/>
    </w:pPr>
  </w:style>
  <w:style w:type="paragraph" w:styleId="List3">
    <w:name w:val="List 3"/>
    <w:basedOn w:val="BodyText"/>
    <w:rsid w:val="009B1007"/>
    <w:pPr>
      <w:tabs>
        <w:tab w:val="left" w:pos="1021"/>
      </w:tabs>
      <w:spacing w:before="60" w:after="60"/>
      <w:ind w:left="1020" w:hanging="340"/>
    </w:pPr>
  </w:style>
  <w:style w:type="paragraph" w:styleId="List4">
    <w:name w:val="List 4"/>
    <w:basedOn w:val="BodyText"/>
    <w:rsid w:val="009B1007"/>
    <w:pPr>
      <w:tabs>
        <w:tab w:val="left" w:pos="1361"/>
      </w:tabs>
      <w:spacing w:before="60" w:after="60"/>
      <w:ind w:left="1361" w:hanging="340"/>
    </w:pPr>
  </w:style>
  <w:style w:type="paragraph" w:styleId="List5">
    <w:name w:val="List 5"/>
    <w:basedOn w:val="BodyText"/>
    <w:rsid w:val="009B1007"/>
    <w:pPr>
      <w:tabs>
        <w:tab w:val="left" w:pos="1701"/>
      </w:tabs>
      <w:spacing w:before="60" w:after="60"/>
      <w:ind w:left="1701" w:hanging="340"/>
    </w:pPr>
  </w:style>
  <w:style w:type="paragraph" w:styleId="ListBullet3">
    <w:name w:val="List Bullet 3"/>
    <w:basedOn w:val="List3"/>
    <w:rsid w:val="009B1007"/>
    <w:pPr>
      <w:numPr>
        <w:numId w:val="13"/>
      </w:numPr>
      <w:tabs>
        <w:tab w:val="clear" w:pos="1021"/>
      </w:tabs>
      <w:ind w:left="1037" w:hanging="357"/>
    </w:pPr>
  </w:style>
  <w:style w:type="paragraph" w:styleId="ListBullet4">
    <w:name w:val="List Bullet 4"/>
    <w:basedOn w:val="List4"/>
    <w:rsid w:val="009B1007"/>
    <w:pPr>
      <w:numPr>
        <w:numId w:val="1"/>
      </w:numPr>
    </w:pPr>
  </w:style>
  <w:style w:type="paragraph" w:styleId="ListBullet5">
    <w:name w:val="List Bullet 5"/>
    <w:basedOn w:val="List5"/>
    <w:rsid w:val="009B1007"/>
    <w:pPr>
      <w:numPr>
        <w:numId w:val="2"/>
      </w:numPr>
    </w:pPr>
  </w:style>
  <w:style w:type="paragraph" w:styleId="ListContinue2">
    <w:name w:val="List Continue 2"/>
    <w:basedOn w:val="List2"/>
    <w:rsid w:val="009B1007"/>
    <w:pPr>
      <w:ind w:firstLine="0"/>
    </w:pPr>
  </w:style>
  <w:style w:type="paragraph" w:styleId="ListContinue3">
    <w:name w:val="List Continue 3"/>
    <w:basedOn w:val="List3"/>
    <w:rsid w:val="009B1007"/>
    <w:pPr>
      <w:ind w:left="1021" w:firstLine="0"/>
    </w:pPr>
  </w:style>
  <w:style w:type="paragraph" w:styleId="ListContinue4">
    <w:name w:val="List Continue 4"/>
    <w:basedOn w:val="List4"/>
    <w:rsid w:val="009B1007"/>
    <w:pPr>
      <w:ind w:firstLine="0"/>
    </w:pPr>
  </w:style>
  <w:style w:type="paragraph" w:styleId="ListContinue5">
    <w:name w:val="List Continue 5"/>
    <w:basedOn w:val="List5"/>
    <w:rsid w:val="009B1007"/>
    <w:pPr>
      <w:ind w:firstLine="0"/>
    </w:pPr>
  </w:style>
  <w:style w:type="paragraph" w:styleId="ListNumber3">
    <w:name w:val="List Number 3"/>
    <w:basedOn w:val="List3"/>
    <w:rsid w:val="009B1007"/>
    <w:pPr>
      <w:numPr>
        <w:numId w:val="3"/>
      </w:numPr>
    </w:pPr>
  </w:style>
  <w:style w:type="paragraph" w:styleId="ListNumber4">
    <w:name w:val="List Number 4"/>
    <w:basedOn w:val="List4"/>
    <w:rsid w:val="009B1007"/>
    <w:pPr>
      <w:numPr>
        <w:numId w:val="4"/>
      </w:numPr>
    </w:pPr>
  </w:style>
  <w:style w:type="paragraph" w:styleId="ListNumber5">
    <w:name w:val="List Number 5"/>
    <w:basedOn w:val="List5"/>
    <w:rsid w:val="009B1007"/>
    <w:pPr>
      <w:numPr>
        <w:numId w:val="5"/>
      </w:numPr>
    </w:pPr>
  </w:style>
  <w:style w:type="paragraph" w:styleId="BlockText">
    <w:name w:val="Block Text"/>
    <w:basedOn w:val="Normal"/>
    <w:rsid w:val="009B1007"/>
    <w:pPr>
      <w:spacing w:after="120"/>
      <w:ind w:left="1440" w:right="1440"/>
    </w:pPr>
  </w:style>
  <w:style w:type="character" w:customStyle="1" w:styleId="Subscript">
    <w:name w:val="Subscript"/>
    <w:rsid w:val="009B1007"/>
    <w:rPr>
      <w:sz w:val="16"/>
      <w:vertAlign w:val="subscript"/>
    </w:rPr>
  </w:style>
  <w:style w:type="character" w:customStyle="1" w:styleId="Superscript">
    <w:name w:val="Superscript"/>
    <w:rsid w:val="009B1007"/>
    <w:rPr>
      <w:sz w:val="16"/>
      <w:vertAlign w:val="superscript"/>
    </w:rPr>
  </w:style>
  <w:style w:type="character" w:customStyle="1" w:styleId="Symbols">
    <w:name w:val="Symbols"/>
    <w:rsid w:val="009B1007"/>
    <w:rPr>
      <w:rFonts w:ascii="Symbol" w:hAnsi="Symbol"/>
    </w:rPr>
  </w:style>
  <w:style w:type="character" w:customStyle="1" w:styleId="MenuOptions">
    <w:name w:val="Menu Options"/>
    <w:rsid w:val="009B1007"/>
    <w:rPr>
      <w:rFonts w:ascii="Arial Narrow" w:hAnsi="Arial Narrow"/>
      <w:smallCaps/>
    </w:rPr>
  </w:style>
  <w:style w:type="character" w:customStyle="1" w:styleId="Buttons">
    <w:name w:val="Buttons"/>
    <w:rsid w:val="009B1007"/>
    <w:rPr>
      <w:b/>
    </w:rPr>
  </w:style>
  <w:style w:type="character" w:customStyle="1" w:styleId="Underlined">
    <w:name w:val="Underlined"/>
    <w:rsid w:val="009B1007"/>
    <w:rPr>
      <w:u w:val="single"/>
    </w:rPr>
  </w:style>
  <w:style w:type="paragraph" w:customStyle="1" w:styleId="TableBodyTextRight">
    <w:name w:val="Table Body Text Right"/>
    <w:basedOn w:val="TableBodyText"/>
    <w:rsid w:val="009B1007"/>
    <w:pPr>
      <w:widowControl w:val="0"/>
      <w:autoSpaceDE w:val="0"/>
      <w:autoSpaceDN w:val="0"/>
      <w:adjustRightInd w:val="0"/>
      <w:jc w:val="right"/>
    </w:pPr>
    <w:rPr>
      <w:rFonts w:cs="Arial"/>
      <w:szCs w:val="18"/>
    </w:rPr>
  </w:style>
  <w:style w:type="paragraph" w:customStyle="1" w:styleId="CopyrightText">
    <w:name w:val="Copyright Text"/>
    <w:basedOn w:val="BodyText"/>
    <w:rsid w:val="009B1007"/>
    <w:rPr>
      <w:sz w:val="18"/>
    </w:rPr>
  </w:style>
  <w:style w:type="paragraph" w:customStyle="1" w:styleId="BodySmallRight">
    <w:name w:val="Body Small Right"/>
    <w:basedOn w:val="BodyTextRight"/>
    <w:rsid w:val="009B1007"/>
    <w:rPr>
      <w:sz w:val="18"/>
      <w:szCs w:val="18"/>
    </w:rPr>
  </w:style>
  <w:style w:type="paragraph" w:customStyle="1" w:styleId="MarginEdition">
    <w:name w:val="Margin Edition"/>
    <w:basedOn w:val="MarginNote"/>
    <w:rsid w:val="009B1007"/>
    <w:pPr>
      <w:spacing w:before="0" w:after="0"/>
    </w:pPr>
    <w:rPr>
      <w:rFonts w:ascii="Times New Roman" w:hAnsi="Times New Roman"/>
      <w:color w:val="999999"/>
    </w:rPr>
  </w:style>
  <w:style w:type="paragraph" w:customStyle="1" w:styleId="Spacer">
    <w:name w:val="Spacer"/>
    <w:basedOn w:val="Normal"/>
    <w:rsid w:val="009B1007"/>
    <w:rPr>
      <w:sz w:val="2"/>
      <w:szCs w:val="2"/>
    </w:rPr>
  </w:style>
  <w:style w:type="character" w:customStyle="1" w:styleId="Small">
    <w:name w:val="Small"/>
    <w:rsid w:val="009B1007"/>
    <w:rPr>
      <w:sz w:val="16"/>
    </w:rPr>
  </w:style>
  <w:style w:type="paragraph" w:customStyle="1" w:styleId="WideTable">
    <w:name w:val="Wide Table"/>
    <w:basedOn w:val="Normal"/>
    <w:rsid w:val="009B1007"/>
    <w:pPr>
      <w:ind w:left="-1418"/>
    </w:pPr>
    <w:rPr>
      <w:sz w:val="2"/>
      <w:szCs w:val="2"/>
    </w:rPr>
  </w:style>
  <w:style w:type="character" w:styleId="PageNumber">
    <w:name w:val="page number"/>
    <w:rsid w:val="009B1007"/>
  </w:style>
  <w:style w:type="paragraph" w:styleId="Quote">
    <w:name w:val="Quote"/>
    <w:basedOn w:val="Heading1"/>
    <w:link w:val="QuoteChar"/>
    <w:qFormat/>
    <w:rsid w:val="009B1007"/>
    <w:rPr>
      <w:b w:val="0"/>
      <w:sz w:val="72"/>
      <w:szCs w:val="72"/>
      <w:lang w:val="en-NZ"/>
    </w:rPr>
  </w:style>
  <w:style w:type="character" w:customStyle="1" w:styleId="QuoteChar">
    <w:name w:val="Quote Char"/>
    <w:link w:val="Quote"/>
    <w:rsid w:val="009B10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007"/>
    <w:pPr>
      <w:pageBreakBefore/>
    </w:pPr>
  </w:style>
  <w:style w:type="paragraph" w:customStyle="1" w:styleId="Border">
    <w:name w:val="Border"/>
    <w:basedOn w:val="Normal"/>
    <w:qFormat/>
    <w:rsid w:val="009B1007"/>
    <w:pPr>
      <w:pBdr>
        <w:top w:val="single" w:sz="18" w:space="1" w:color="auto"/>
      </w:pBdr>
    </w:pPr>
    <w:rPr>
      <w:rFonts w:ascii="Times New Roman" w:hAnsi="Times New Roman"/>
      <w:color w:val="FFFFFF"/>
      <w:sz w:val="2"/>
    </w:rPr>
  </w:style>
  <w:style w:type="character" w:styleId="IntenseEmphasis">
    <w:name w:val="Intense Emphasis"/>
    <w:uiPriority w:val="21"/>
    <w:qFormat/>
    <w:rsid w:val="009B1007"/>
    <w:rPr>
      <w:b/>
      <w:bCs/>
      <w:i/>
      <w:iCs/>
      <w:color w:val="auto"/>
    </w:rPr>
  </w:style>
  <w:style w:type="paragraph" w:styleId="IntenseQuote">
    <w:name w:val="Intense Quote"/>
    <w:basedOn w:val="Normal"/>
    <w:next w:val="Normal"/>
    <w:link w:val="IntenseQuoteChar"/>
    <w:uiPriority w:val="30"/>
    <w:qFormat/>
    <w:rsid w:val="009B100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B1007"/>
    <w:rPr>
      <w:rFonts w:ascii="Courier New" w:eastAsia="Times New Roman" w:hAnsi="Courier New" w:cs="Times New Roman"/>
      <w:b/>
      <w:bCs/>
      <w:i/>
      <w:iCs/>
      <w:szCs w:val="20"/>
      <w:lang w:val="en-US" w:eastAsia="en-US"/>
    </w:rPr>
  </w:style>
  <w:style w:type="character" w:styleId="SubtleReference">
    <w:name w:val="Subtle Reference"/>
    <w:uiPriority w:val="31"/>
    <w:qFormat/>
    <w:rsid w:val="009B1007"/>
    <w:rPr>
      <w:smallCaps/>
      <w:color w:val="auto"/>
      <w:u w:val="single"/>
    </w:rPr>
  </w:style>
  <w:style w:type="character" w:styleId="IntenseReference">
    <w:name w:val="Intense Reference"/>
    <w:uiPriority w:val="32"/>
    <w:qFormat/>
    <w:rsid w:val="009B1007"/>
    <w:rPr>
      <w:b/>
      <w:bCs/>
      <w:smallCaps/>
      <w:color w:val="auto"/>
      <w:spacing w:val="5"/>
      <w:u w:val="single"/>
    </w:rPr>
  </w:style>
  <w:style w:type="paragraph" w:customStyle="1" w:styleId="2ColumnHeading">
    <w:name w:val="2Column Heading"/>
    <w:basedOn w:val="BodyText"/>
    <w:qFormat/>
    <w:rsid w:val="009B1007"/>
    <w:pPr>
      <w:spacing w:after="60"/>
      <w:ind w:left="-2268"/>
    </w:pPr>
    <w:rPr>
      <w:b/>
    </w:rPr>
  </w:style>
  <w:style w:type="paragraph" w:customStyle="1" w:styleId="Heading1TOC">
    <w:name w:val="Heading1 TOC"/>
    <w:basedOn w:val="Normal"/>
    <w:qFormat/>
    <w:rsid w:val="009B1007"/>
    <w:pPr>
      <w:spacing w:before="240" w:after="120"/>
    </w:pPr>
    <w:rPr>
      <w:rFonts w:ascii="Times New Roman" w:hAnsi="Times New Roman"/>
      <w:b/>
      <w:sz w:val="32"/>
    </w:rPr>
  </w:style>
  <w:style w:type="paragraph" w:customStyle="1" w:styleId="Heading2TOC">
    <w:name w:val="Heading2 TOC"/>
    <w:basedOn w:val="Normal"/>
    <w:qFormat/>
    <w:rsid w:val="009B1007"/>
    <w:pPr>
      <w:spacing w:before="240" w:after="60"/>
    </w:pPr>
    <w:rPr>
      <w:rFonts w:ascii="Times New Roman" w:hAnsi="Times New Roman"/>
      <w:b/>
      <w:sz w:val="28"/>
    </w:rPr>
  </w:style>
  <w:style w:type="character" w:customStyle="1" w:styleId="Underline">
    <w:name w:val="Underline"/>
    <w:qFormat/>
    <w:rsid w:val="009B1007"/>
    <w:rPr>
      <w:u w:val="single"/>
    </w:rPr>
  </w:style>
  <w:style w:type="character" w:customStyle="1" w:styleId="BoldandItalics">
    <w:name w:val="Bold and Italics"/>
    <w:qFormat/>
    <w:rsid w:val="009B1007"/>
    <w:rPr>
      <w:b/>
      <w:i/>
      <w:u w:val="none"/>
    </w:rPr>
  </w:style>
  <w:style w:type="paragraph" w:styleId="BalloonText">
    <w:name w:val="Balloon Text"/>
    <w:basedOn w:val="Normal"/>
    <w:link w:val="BalloonTextChar"/>
    <w:rsid w:val="009B1007"/>
    <w:rPr>
      <w:rFonts w:ascii="Tahoma" w:hAnsi="Tahoma" w:cs="Tahoma"/>
      <w:sz w:val="16"/>
      <w:szCs w:val="16"/>
    </w:rPr>
  </w:style>
  <w:style w:type="character" w:customStyle="1" w:styleId="BalloonTextChar">
    <w:name w:val="Balloon Text Char"/>
    <w:link w:val="BalloonText"/>
    <w:rsid w:val="009B10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100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B100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1DAE23F2.dotm</Template>
  <TotalTime>0</TotalTime>
  <Pages>8</Pages>
  <Words>1490</Words>
  <Characters>9872</Characters>
  <Application>Microsoft Office Word</Application>
  <DocSecurity>0</DocSecurity>
  <Lines>337</Lines>
  <Paragraphs>182</Paragraphs>
  <ScaleCrop>false</ScaleCrop>
  <Company>Author-it Software Corporation Ltd.</Company>
  <LinksUpToDate>false</LinksUpToDate>
  <CharactersWithSpaces>11258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TLID1507D Identify and label explosives and dangerous goods</dc:title>
  <dc:subject>Approved</dc:subject>
  <dc:creator>Transport &amp; Logistics Industry Skills Council</dc:creator>
  <cp:keywords>Release: 1</cp:keywords>
  <dc:description>Copyright © 1996-2007 Author-it Software Corporation Ltd., all rights reserved.</dc:description>
  <cp:lastModifiedBy>Narendra Tomar</cp:lastModifiedBy>
  <cp:revision>3</cp:revision>
  <dcterms:created xsi:type="dcterms:W3CDTF">2012-05-27T03:39:00Z</dcterms:created>
  <dcterms:modified xsi:type="dcterms:W3CDTF">2012-05-27T03:39:00Z</dcterms:modified>
</cp:coreProperties>
</file>