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313AA" w:rsidP="006313AA">
      <w:pPr>
        <w:pStyle w:val="Title"/>
      </w:pPr>
      <w:r>
        <w:fldChar w:fldCharType="begin"/>
      </w:r>
      <w:r>
        <w:instrText xml:space="preserve"> TITLE   \* MERGEFORMAT </w:instrText>
      </w:r>
      <w:r>
        <w:fldChar w:fldCharType="separate"/>
      </w:r>
      <w:r>
        <w:t>TLIA807C Transfer cargo</w:t>
      </w:r>
      <w:r>
        <w:fldChar w:fldCharType="end"/>
      </w:r>
    </w:p>
    <w:p w:rsidR="006313AA" w:rsidP="006313AA">
      <w:pPr>
        <w:pStyle w:val="Version"/>
        <w:sectPr w:rsidSect="00FC423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C4234" w:rsidP="00FC4234">
      <w:pPr>
        <w:pStyle w:val="SuperHeading"/>
      </w:pPr>
      <w:r w:rsidRPr="00FC4234">
        <w:t>TLIA807C Transfer cargo</w:t>
      </w:r>
    </w:p>
    <w:p w:rsidR="00000000" w:rsidRPr="00FC4234" w:rsidP="00FC4234">
      <w:pPr>
        <w:pStyle w:val="Heading1"/>
      </w:pPr>
      <w:bookmarkStart w:id="1" w:name="O_315912"/>
      <w:bookmarkEnd w:id="1"/>
      <w:r w:rsidRPr="00FC4234">
        <w:t>Modification History</w:t>
      </w:r>
    </w:p>
    <w:p w:rsidR="00000000" w:rsidRPr="00FC4234" w:rsidP="00FC4234">
      <w:pPr>
        <w:pStyle w:val="BodyText"/>
      </w:pPr>
      <w:r w:rsidRPr="00FC4234">
        <w:t>Not applicable.</w:t>
      </w:r>
    </w:p>
    <w:p w:rsidR="00000000" w:rsidRPr="00FC4234" w:rsidP="00FC4234">
      <w:pPr>
        <w:pStyle w:val="AllowPageBreak"/>
      </w:pPr>
    </w:p>
    <w:p w:rsidR="00000000" w:rsidRPr="00FC4234" w:rsidP="00FC4234">
      <w:pPr>
        <w:pStyle w:val="Heading1"/>
      </w:pPr>
      <w:bookmarkStart w:id="2" w:name="O_315911"/>
      <w:bookmarkEnd w:id="2"/>
      <w:r w:rsidRPr="00FC4234">
        <w:t>Unit Descriptor</w:t>
      </w:r>
    </w:p>
    <w:p w:rsidR="00000000" w:rsidRPr="00FC4234" w:rsidP="00FC4234">
      <w:pPr>
        <w:pStyle w:val="BodyText"/>
      </w:pPr>
      <w:r w:rsidRPr="00FC4234">
        <w:t>This unit involves the skills and knowledge required to transfer cargo in accordance with workplace requirements including preparing for the tra</w:t>
      </w:r>
      <w:r w:rsidRPr="00FC4234">
        <w:t>nsfer of the load, safely transferring the cargo using appropriate lifting equipment, finalising the transfer, and completing all required documentation.</w:t>
      </w:r>
    </w:p>
    <w:p w:rsidR="00000000" w:rsidRPr="00FC4234" w:rsidP="00FC4234">
      <w:pPr>
        <w:pStyle w:val="AllowPageBreak"/>
      </w:pPr>
    </w:p>
    <w:p w:rsidR="00000000" w:rsidRPr="00FC4234" w:rsidP="00FC4234">
      <w:pPr>
        <w:pStyle w:val="Heading1"/>
      </w:pPr>
      <w:bookmarkStart w:id="3" w:name="O_315910"/>
      <w:bookmarkEnd w:id="3"/>
      <w:r w:rsidRPr="00FC4234">
        <w:t>Application of the Unit</w:t>
      </w:r>
    </w:p>
    <w:p w:rsidR="00000000" w:rsidRPr="00FC4234" w:rsidP="00FC4234">
      <w:pPr>
        <w:pStyle w:val="BodyText"/>
      </w:pPr>
      <w:r w:rsidRPr="00FC4234">
        <w:t>Work must be carried out in compliance with the relevant regu</w:t>
      </w:r>
      <w:r w:rsidRPr="00FC4234">
        <w:t>lations and workplace requirements concerning the transfer of cargo/freight.</w:t>
      </w:r>
    </w:p>
    <w:p w:rsidR="00000000" w:rsidRPr="00FC4234" w:rsidP="00FC4234">
      <w:pPr>
        <w:pStyle w:val="BodyText"/>
      </w:pPr>
      <w:r w:rsidRPr="00FC4234">
        <w:t>Work is performed under some supervision generally within a team environment. It involves the application of workplace procedures and regulatory requirements when transferring car</w:t>
      </w:r>
      <w:r w:rsidRPr="00FC4234">
        <w:t>go as part of work activities in the stevedoring, transport, distribution and allied industries.</w:t>
      </w:r>
    </w:p>
    <w:p w:rsidR="00000000" w:rsidRPr="00FC4234" w:rsidP="00FC4234">
      <w:pPr>
        <w:pStyle w:val="AllowPageBreak"/>
      </w:pPr>
    </w:p>
    <w:p w:rsidR="00000000" w:rsidRPr="00FC4234" w:rsidP="00FC4234">
      <w:pPr>
        <w:pStyle w:val="Heading1"/>
      </w:pPr>
      <w:bookmarkStart w:id="4" w:name="O_315909"/>
      <w:bookmarkEnd w:id="4"/>
      <w:r w:rsidRPr="00FC4234">
        <w:t>Licensing/Regulatory Information</w:t>
      </w:r>
    </w:p>
    <w:p w:rsidR="00000000" w:rsidRPr="00FC4234" w:rsidP="00FC4234">
      <w:pPr>
        <w:pStyle w:val="BodyText"/>
      </w:pPr>
      <w:r w:rsidRPr="00FC4234">
        <w:t>Not applicable.</w:t>
      </w:r>
    </w:p>
    <w:p w:rsidR="00000000" w:rsidRPr="00FC4234" w:rsidP="00FC4234">
      <w:pPr>
        <w:pStyle w:val="AllowPageBreak"/>
      </w:pPr>
    </w:p>
    <w:p w:rsidR="00000000" w:rsidRPr="00FC4234" w:rsidP="00FC4234">
      <w:pPr>
        <w:pStyle w:val="Heading1"/>
      </w:pPr>
      <w:bookmarkStart w:id="5" w:name="O_315908"/>
      <w:bookmarkEnd w:id="5"/>
      <w:r w:rsidRPr="00FC4234">
        <w:t>Pre-Requisites</w:t>
      </w:r>
    </w:p>
    <w:p w:rsidR="00000000" w:rsidRPr="00FC4234" w:rsidP="00FC4234">
      <w:pPr>
        <w:pStyle w:val="BodyText"/>
      </w:pPr>
      <w:r w:rsidRPr="00FC4234">
        <w:t>Not applicable.</w:t>
      </w:r>
    </w:p>
    <w:p w:rsidR="00000000" w:rsidRPr="00FC4234" w:rsidP="00FC4234">
      <w:pPr>
        <w:pStyle w:val="AllowPageBreak"/>
      </w:pPr>
    </w:p>
    <w:p w:rsidR="00000000" w:rsidRPr="00FC4234" w:rsidP="00FC4234">
      <w:pPr>
        <w:pStyle w:val="Heading1"/>
      </w:pPr>
      <w:bookmarkStart w:id="6" w:name="O_315907"/>
      <w:bookmarkEnd w:id="6"/>
      <w:r w:rsidRPr="00FC4234">
        <w:t>Employability Skills Inform</w:t>
      </w:r>
      <w:r w:rsidRPr="00FC4234">
        <w:t>ation</w:t>
      </w:r>
    </w:p>
    <w:p w:rsidR="00000000" w:rsidRPr="00FC4234" w:rsidP="00FC4234">
      <w:pPr>
        <w:pStyle w:val="BodyText"/>
      </w:pPr>
      <w:r w:rsidRPr="00FC4234">
        <w:t>The required outcomes described in this unit of competency contain applicable facets of Employability Skills. The Employability Skills Summary of the qualification in which this competency is packaged will assist in identifying employability skill re</w:t>
      </w:r>
      <w:r w:rsidRPr="00FC4234">
        <w:t>quirements.</w:t>
      </w:r>
    </w:p>
    <w:p w:rsidR="00000000" w:rsidRPr="00FC4234" w:rsidP="00FC4234">
      <w:pPr>
        <w:pStyle w:val="AllowPageBreak"/>
      </w:pPr>
    </w:p>
    <w:p w:rsidR="00000000" w:rsidRPr="00FC4234" w:rsidP="00FC4234">
      <w:pPr>
        <w:pStyle w:val="Heading1"/>
      </w:pPr>
      <w:bookmarkStart w:id="7" w:name="O_315913"/>
      <w:bookmarkEnd w:id="7"/>
      <w:r w:rsidRPr="00FC4234">
        <w:t>Elements and Performance Criteria Pre-Content</w:t>
      </w:r>
    </w:p>
    <w:p w:rsidR="00000000" w:rsidRPr="00FC4234" w:rsidP="00FC4234">
      <w:pPr>
        <w:pStyle w:val="BodyText"/>
      </w:pPr>
      <w:r w:rsidRPr="00FC4234">
        <w:t>Elements describe the essential outcomes of a unit of competency.</w:t>
      </w:r>
    </w:p>
    <w:p w:rsidR="00000000" w:rsidRPr="00FC4234" w:rsidP="00FC4234">
      <w:pPr>
        <w:pStyle w:val="BodyText"/>
      </w:pPr>
      <w:r w:rsidRPr="00FC4234">
        <w:t>Performance criteria describe</w:t>
      </w:r>
      <w:r w:rsidRPr="00FC4234">
        <w:t xml:space="preserve"> the required performance needed to demonstrate achievement of the element. Assessment of performance is to be consistent with the evidence guide.</w:t>
      </w:r>
    </w:p>
    <w:p w:rsidR="00000000" w:rsidRPr="00FC4234" w:rsidP="00FC4234">
      <w:pPr>
        <w:pStyle w:val="AllowPageBreak"/>
      </w:pPr>
    </w:p>
    <w:p w:rsidR="00000000" w:rsidRPr="00FC4234" w:rsidP="00FC4234">
      <w:pPr>
        <w:pStyle w:val="Heading1"/>
      </w:pPr>
      <w:bookmarkStart w:id="8" w:name="O_315901"/>
      <w:bookmarkEnd w:id="8"/>
      <w:r w:rsidRPr="00FC4234">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6313AA">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FC4234">
            <w:pPr>
              <w:pStyle w:val="BodyText"/>
              <w:rPr>
                <w:lang w:val="en-NZ"/>
              </w:rPr>
            </w:pPr>
            <w:r w:rsidRPr="00FC4234">
              <w:rPr>
                <w:rStyle w:val="SpecialBold"/>
              </w:rPr>
              <w:t>Elements and Performance Criteria</w:t>
            </w:r>
          </w:p>
        </w:tc>
      </w:tr>
      <w:tr w:rsidTr="006313AA">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FC4234" w:rsidP="00FC4234">
            <w:pPr>
              <w:pStyle w:val="BodyText"/>
            </w:pPr>
            <w:r w:rsidRPr="00FC4234">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FC4234">
            <w:pPr>
              <w:pStyle w:val="BodyText"/>
              <w:rPr>
                <w:lang w:val="en-NZ"/>
              </w:rPr>
            </w:pPr>
            <w:r w:rsidRPr="00FC4234">
              <w:rPr>
                <w:rStyle w:val="SpecialBold"/>
              </w:rPr>
              <w:t>Performance</w:t>
            </w:r>
            <w:r w:rsidRPr="00FC4234">
              <w:rPr>
                <w:rStyle w:val="SpecialBold"/>
              </w:rPr>
              <w:t xml:space="preserve"> Criteria</w:t>
            </w:r>
          </w:p>
        </w:tc>
      </w:tr>
      <w:tr w:rsidTr="006313AA">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FC4234" w:rsidP="00FC4234">
            <w:pPr>
              <w:pStyle w:val="BodyText"/>
            </w:pPr>
            <w:r w:rsidRPr="00FC4234">
              <w:t>1</w:t>
            </w:r>
          </w:p>
        </w:tc>
        <w:tc>
          <w:tcPr>
            <w:tcW w:w="3000" w:type="dxa"/>
            <w:vMerge w:val="restart"/>
            <w:tcBorders>
              <w:top w:val="nil"/>
              <w:left w:val="nil"/>
              <w:bottom w:val="nil"/>
              <w:right w:val="nil"/>
            </w:tcBorders>
            <w:tcMar>
              <w:top w:w="0" w:type="dxa"/>
              <w:left w:w="62" w:type="dxa"/>
              <w:bottom w:w="0" w:type="dxa"/>
              <w:right w:w="62" w:type="dxa"/>
            </w:tcMar>
          </w:tcPr>
          <w:p w:rsidR="00000000" w:rsidP="00FC4234">
            <w:pPr>
              <w:pStyle w:val="BodyText"/>
              <w:rPr>
                <w:lang w:val="en-NZ"/>
              </w:rPr>
            </w:pPr>
            <w:r w:rsidRPr="00FC4234">
              <w:rPr>
                <w:rStyle w:val="SpecialBold"/>
              </w:rPr>
              <w:t>Prepare for load transfer</w:t>
            </w:r>
          </w:p>
        </w:tc>
        <w:tc>
          <w:tcPr>
            <w:tcW w:w="500" w:type="dxa"/>
            <w:tcBorders>
              <w:top w:val="nil"/>
              <w:left w:val="nil"/>
              <w:bottom w:val="nil"/>
              <w:right w:val="nil"/>
            </w:tcBorders>
            <w:tcMar>
              <w:top w:w="0" w:type="dxa"/>
              <w:left w:w="62" w:type="dxa"/>
              <w:bottom w:w="0" w:type="dxa"/>
              <w:right w:w="62" w:type="dxa"/>
            </w:tcMar>
          </w:tcPr>
          <w:p w:rsidR="00000000" w:rsidP="00FC4234">
            <w:pPr>
              <w:pStyle w:val="BodyText"/>
              <w:rPr>
                <w:lang w:val="en-NZ"/>
              </w:rPr>
            </w:pPr>
            <w:r w:rsidRPr="00FC4234">
              <w:t>1.1</w:t>
            </w:r>
          </w:p>
        </w:tc>
        <w:tc>
          <w:tcPr>
            <w:tcW w:w="5100" w:type="dxa"/>
            <w:tcBorders>
              <w:top w:val="nil"/>
              <w:left w:val="nil"/>
              <w:bottom w:val="nil"/>
              <w:right w:val="nil"/>
            </w:tcBorders>
            <w:tcMar>
              <w:top w:w="0" w:type="dxa"/>
              <w:left w:w="62" w:type="dxa"/>
              <w:bottom w:w="0" w:type="dxa"/>
              <w:right w:w="62" w:type="dxa"/>
            </w:tcMar>
          </w:tcPr>
          <w:p w:rsidR="00000000" w:rsidP="00FC4234">
            <w:pPr>
              <w:pStyle w:val="BodyText"/>
              <w:rPr>
                <w:lang w:val="en-NZ"/>
              </w:rPr>
            </w:pPr>
            <w:r w:rsidRPr="00FC4234">
              <w:t>Load characteristics are identified to determine any special handling or equipment requirements</w:t>
            </w:r>
          </w:p>
        </w:tc>
      </w:tr>
      <w:tr w:rsidTr="006313A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C4234">
            <w:pPr>
              <w:pStyle w:val="BodyText"/>
              <w:rPr>
                <w:lang w:val="en-NZ"/>
              </w:rPr>
            </w:pPr>
            <w:r w:rsidRPr="00FC4234">
              <w:t>1.2</w:t>
            </w:r>
          </w:p>
        </w:tc>
        <w:tc>
          <w:tcPr>
            <w:tcW w:w="5100" w:type="dxa"/>
            <w:tcBorders>
              <w:top w:val="nil"/>
              <w:left w:val="nil"/>
              <w:bottom w:val="nil"/>
              <w:right w:val="nil"/>
            </w:tcBorders>
            <w:tcMar>
              <w:top w:w="0" w:type="dxa"/>
              <w:left w:w="62" w:type="dxa"/>
              <w:bottom w:w="0" w:type="dxa"/>
              <w:right w:w="62" w:type="dxa"/>
            </w:tcMar>
          </w:tcPr>
          <w:p w:rsidR="00000000" w:rsidP="00FC4234">
            <w:pPr>
              <w:pStyle w:val="BodyText"/>
              <w:rPr>
                <w:lang w:val="en-NZ"/>
              </w:rPr>
            </w:pPr>
            <w:r w:rsidRPr="00FC4234">
              <w:t>Location of load in yard and following transfer method is determined</w:t>
            </w:r>
          </w:p>
        </w:tc>
      </w:tr>
      <w:tr w:rsidTr="006313A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C4234">
            <w:pPr>
              <w:pStyle w:val="BodyText"/>
              <w:rPr>
                <w:lang w:val="en-NZ"/>
              </w:rPr>
            </w:pPr>
            <w:r w:rsidRPr="00FC4234">
              <w:t>1.3</w:t>
            </w:r>
          </w:p>
        </w:tc>
        <w:tc>
          <w:tcPr>
            <w:tcW w:w="5100" w:type="dxa"/>
            <w:tcBorders>
              <w:top w:val="nil"/>
              <w:left w:val="nil"/>
              <w:bottom w:val="nil"/>
              <w:right w:val="nil"/>
            </w:tcBorders>
            <w:tcMar>
              <w:top w:w="0" w:type="dxa"/>
              <w:left w:w="62" w:type="dxa"/>
              <w:bottom w:w="0" w:type="dxa"/>
              <w:right w:w="62" w:type="dxa"/>
            </w:tcMar>
          </w:tcPr>
          <w:p w:rsidR="00000000" w:rsidP="00FC4234">
            <w:pPr>
              <w:pStyle w:val="BodyText"/>
              <w:rPr>
                <w:lang w:val="en-NZ"/>
              </w:rPr>
            </w:pPr>
            <w:r w:rsidRPr="00FC4234">
              <w:t>Pathway for load transfer is established consistent with workplace procedures noting obstacles and any particular safety precautions</w:t>
            </w:r>
          </w:p>
        </w:tc>
      </w:tr>
      <w:tr w:rsidTr="006313A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C4234">
            <w:pPr>
              <w:pStyle w:val="BodyText"/>
              <w:rPr>
                <w:lang w:val="en-NZ"/>
              </w:rPr>
            </w:pPr>
            <w:r w:rsidRPr="00FC4234">
              <w:t>1.4</w:t>
            </w:r>
          </w:p>
        </w:tc>
        <w:tc>
          <w:tcPr>
            <w:tcW w:w="5100" w:type="dxa"/>
            <w:tcBorders>
              <w:top w:val="nil"/>
              <w:left w:val="nil"/>
              <w:bottom w:val="nil"/>
              <w:right w:val="nil"/>
            </w:tcBorders>
            <w:tcMar>
              <w:top w:w="0" w:type="dxa"/>
              <w:left w:w="62" w:type="dxa"/>
              <w:bottom w:w="0" w:type="dxa"/>
              <w:right w:w="62" w:type="dxa"/>
            </w:tcMar>
          </w:tcPr>
          <w:p w:rsidR="00000000" w:rsidP="00FC4234">
            <w:pPr>
              <w:pStyle w:val="BodyText"/>
              <w:rPr>
                <w:lang w:val="en-NZ"/>
              </w:rPr>
            </w:pPr>
            <w:r w:rsidRPr="00FC4234">
              <w:t>Working area is prepared in accordance with the national standards, safety codes, and site operating procedures</w:t>
            </w:r>
          </w:p>
        </w:tc>
      </w:tr>
      <w:tr w:rsidTr="006313A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C4234">
            <w:pPr>
              <w:pStyle w:val="BodyText"/>
              <w:rPr>
                <w:lang w:val="en-NZ"/>
              </w:rPr>
            </w:pPr>
            <w:r w:rsidRPr="00FC4234">
              <w:t>1</w:t>
            </w:r>
            <w:r w:rsidRPr="00FC4234">
              <w:t>.5</w:t>
            </w:r>
          </w:p>
        </w:tc>
        <w:tc>
          <w:tcPr>
            <w:tcW w:w="5100" w:type="dxa"/>
            <w:tcBorders>
              <w:top w:val="nil"/>
              <w:left w:val="nil"/>
              <w:bottom w:val="nil"/>
              <w:right w:val="nil"/>
            </w:tcBorders>
            <w:tcMar>
              <w:top w:w="0" w:type="dxa"/>
              <w:left w:w="62" w:type="dxa"/>
              <w:bottom w:w="0" w:type="dxa"/>
              <w:right w:w="62" w:type="dxa"/>
            </w:tcMar>
          </w:tcPr>
          <w:p w:rsidR="00000000" w:rsidP="00FC4234">
            <w:pPr>
              <w:pStyle w:val="BodyText"/>
              <w:rPr>
                <w:lang w:val="en-NZ"/>
              </w:rPr>
            </w:pPr>
            <w:r w:rsidRPr="00FC4234">
              <w:t>Personal protective equipment and other safety equipment is assembled</w:t>
            </w:r>
          </w:p>
        </w:tc>
      </w:tr>
      <w:tr w:rsidTr="006313A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C4234">
            <w:pPr>
              <w:pStyle w:val="BodyText"/>
              <w:rPr>
                <w:lang w:val="en-NZ"/>
              </w:rPr>
            </w:pPr>
            <w:r w:rsidRPr="00FC4234">
              <w:t>1.6</w:t>
            </w:r>
          </w:p>
        </w:tc>
        <w:tc>
          <w:tcPr>
            <w:tcW w:w="5100" w:type="dxa"/>
            <w:tcBorders>
              <w:top w:val="nil"/>
              <w:left w:val="nil"/>
              <w:bottom w:val="nil"/>
              <w:right w:val="nil"/>
            </w:tcBorders>
            <w:tcMar>
              <w:top w:w="0" w:type="dxa"/>
              <w:left w:w="62" w:type="dxa"/>
              <w:bottom w:w="0" w:type="dxa"/>
              <w:right w:w="62" w:type="dxa"/>
            </w:tcMar>
          </w:tcPr>
          <w:p w:rsidR="00000000" w:rsidP="00FC4234">
            <w:pPr>
              <w:pStyle w:val="BodyText"/>
              <w:rPr>
                <w:lang w:val="en-NZ"/>
              </w:rPr>
            </w:pPr>
            <w:r w:rsidRPr="00FC4234">
              <w:t>The Safe Working Load (SWL) or Working Load Limit (WLL) is calculated using formulae for the particular type of lifting equipment</w:t>
            </w:r>
          </w:p>
        </w:tc>
      </w:tr>
      <w:tr w:rsidTr="006313A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C4234">
            <w:pPr>
              <w:pStyle w:val="BodyText"/>
              <w:rPr>
                <w:lang w:val="en-NZ"/>
              </w:rPr>
            </w:pPr>
            <w:r w:rsidRPr="00FC4234">
              <w:t>1.7</w:t>
            </w:r>
          </w:p>
        </w:tc>
        <w:tc>
          <w:tcPr>
            <w:tcW w:w="5100" w:type="dxa"/>
            <w:tcBorders>
              <w:top w:val="nil"/>
              <w:left w:val="nil"/>
              <w:bottom w:val="nil"/>
              <w:right w:val="nil"/>
            </w:tcBorders>
            <w:tcMar>
              <w:top w:w="0" w:type="dxa"/>
              <w:left w:w="62" w:type="dxa"/>
              <w:bottom w:w="0" w:type="dxa"/>
              <w:right w:w="62" w:type="dxa"/>
            </w:tcMar>
          </w:tcPr>
          <w:p w:rsidR="00000000" w:rsidP="00FC4234">
            <w:pPr>
              <w:pStyle w:val="BodyText"/>
              <w:rPr>
                <w:lang w:val="en-NZ"/>
              </w:rPr>
            </w:pPr>
            <w:r w:rsidRPr="00FC4234">
              <w:t>Lifting equipment is checked to determine safe working order for the transfer</w:t>
            </w:r>
          </w:p>
        </w:tc>
      </w:tr>
      <w:tr w:rsidTr="006313A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C4234">
            <w:pPr>
              <w:pStyle w:val="BodyText"/>
              <w:rPr>
                <w:lang w:val="en-NZ"/>
              </w:rPr>
            </w:pPr>
            <w:r w:rsidRPr="00FC4234">
              <w:t>1.8</w:t>
            </w:r>
          </w:p>
        </w:tc>
        <w:tc>
          <w:tcPr>
            <w:tcW w:w="5100" w:type="dxa"/>
            <w:tcBorders>
              <w:top w:val="nil"/>
              <w:left w:val="nil"/>
              <w:bottom w:val="nil"/>
              <w:right w:val="nil"/>
            </w:tcBorders>
            <w:tcMar>
              <w:top w:w="0" w:type="dxa"/>
              <w:left w:w="62" w:type="dxa"/>
              <w:bottom w:w="0" w:type="dxa"/>
              <w:right w:w="62" w:type="dxa"/>
            </w:tcMar>
          </w:tcPr>
          <w:p w:rsidR="00000000" w:rsidP="00FC4234">
            <w:pPr>
              <w:pStyle w:val="BodyText"/>
              <w:rPr>
                <w:lang w:val="en-NZ"/>
              </w:rPr>
            </w:pPr>
            <w:r w:rsidRPr="00FC4234">
              <w:t>Unsafe equipment is reported to appropriate personnel</w:t>
            </w:r>
          </w:p>
        </w:tc>
      </w:tr>
      <w:tr w:rsidTr="006313AA">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FC4234" w:rsidP="00FC4234">
            <w:pPr>
              <w:pStyle w:val="BodyText"/>
            </w:pPr>
            <w:r w:rsidRPr="00FC4234">
              <w:t>2</w:t>
            </w:r>
          </w:p>
        </w:tc>
        <w:tc>
          <w:tcPr>
            <w:tcW w:w="3000" w:type="dxa"/>
            <w:vMerge w:val="restart"/>
            <w:tcBorders>
              <w:top w:val="nil"/>
              <w:left w:val="nil"/>
              <w:bottom w:val="nil"/>
              <w:right w:val="nil"/>
            </w:tcBorders>
            <w:tcMar>
              <w:top w:w="0" w:type="dxa"/>
              <w:left w:w="62" w:type="dxa"/>
              <w:bottom w:w="0" w:type="dxa"/>
              <w:right w:w="62" w:type="dxa"/>
            </w:tcMar>
          </w:tcPr>
          <w:p w:rsidR="00000000" w:rsidP="00FC4234">
            <w:pPr>
              <w:pStyle w:val="BodyText"/>
              <w:rPr>
                <w:lang w:val="en-NZ"/>
              </w:rPr>
            </w:pPr>
            <w:r w:rsidRPr="00FC4234">
              <w:rPr>
                <w:rStyle w:val="SpecialBold"/>
              </w:rPr>
              <w:t>Transfer cargo</w:t>
            </w:r>
          </w:p>
        </w:tc>
        <w:tc>
          <w:tcPr>
            <w:tcW w:w="500" w:type="dxa"/>
            <w:tcBorders>
              <w:top w:val="nil"/>
              <w:left w:val="nil"/>
              <w:bottom w:val="nil"/>
              <w:right w:val="nil"/>
            </w:tcBorders>
            <w:tcMar>
              <w:top w:w="0" w:type="dxa"/>
              <w:left w:w="62" w:type="dxa"/>
              <w:bottom w:w="0" w:type="dxa"/>
              <w:right w:w="62" w:type="dxa"/>
            </w:tcMar>
          </w:tcPr>
          <w:p w:rsidR="00000000" w:rsidP="00FC4234">
            <w:pPr>
              <w:pStyle w:val="BodyText"/>
              <w:rPr>
                <w:lang w:val="en-NZ"/>
              </w:rPr>
            </w:pPr>
            <w:r w:rsidRPr="00FC4234">
              <w:t>2.1</w:t>
            </w:r>
          </w:p>
        </w:tc>
        <w:tc>
          <w:tcPr>
            <w:tcW w:w="5100" w:type="dxa"/>
            <w:tcBorders>
              <w:top w:val="nil"/>
              <w:left w:val="nil"/>
              <w:bottom w:val="nil"/>
              <w:right w:val="nil"/>
            </w:tcBorders>
            <w:tcMar>
              <w:top w:w="0" w:type="dxa"/>
              <w:left w:w="62" w:type="dxa"/>
              <w:bottom w:w="0" w:type="dxa"/>
              <w:right w:w="62" w:type="dxa"/>
            </w:tcMar>
          </w:tcPr>
          <w:p w:rsidR="00000000" w:rsidP="00FC4234">
            <w:pPr>
              <w:pStyle w:val="BodyText"/>
              <w:rPr>
                <w:lang w:val="en-NZ"/>
              </w:rPr>
            </w:pPr>
            <w:r w:rsidRPr="00FC4234">
              <w:t>Cargo is steadied and secured using appropriate devices</w:t>
            </w:r>
          </w:p>
        </w:tc>
      </w:tr>
      <w:tr w:rsidTr="006313A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C4234">
            <w:pPr>
              <w:pStyle w:val="BodyText"/>
              <w:rPr>
                <w:lang w:val="en-NZ"/>
              </w:rPr>
            </w:pPr>
            <w:r w:rsidRPr="00FC4234">
              <w:t>2.2</w:t>
            </w:r>
          </w:p>
        </w:tc>
        <w:tc>
          <w:tcPr>
            <w:tcW w:w="5100" w:type="dxa"/>
            <w:tcBorders>
              <w:top w:val="nil"/>
              <w:left w:val="nil"/>
              <w:bottom w:val="nil"/>
              <w:right w:val="nil"/>
            </w:tcBorders>
            <w:tcMar>
              <w:top w:w="0" w:type="dxa"/>
              <w:left w:w="62" w:type="dxa"/>
              <w:bottom w:w="0" w:type="dxa"/>
              <w:right w:w="62" w:type="dxa"/>
            </w:tcMar>
          </w:tcPr>
          <w:p w:rsidR="00000000" w:rsidP="00FC4234">
            <w:pPr>
              <w:pStyle w:val="BodyText"/>
              <w:rPr>
                <w:lang w:val="en-NZ"/>
              </w:rPr>
            </w:pPr>
            <w:r w:rsidRPr="00FC4234">
              <w:t>Load is lifted and shifted safely following national standards, safety codes and site operating procedures</w:t>
            </w:r>
          </w:p>
        </w:tc>
      </w:tr>
      <w:tr w:rsidTr="006313A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C4234">
            <w:pPr>
              <w:pStyle w:val="BodyText"/>
              <w:rPr>
                <w:lang w:val="en-NZ"/>
              </w:rPr>
            </w:pPr>
            <w:r w:rsidRPr="00FC4234">
              <w:t>2.3</w:t>
            </w:r>
          </w:p>
        </w:tc>
        <w:tc>
          <w:tcPr>
            <w:tcW w:w="5100" w:type="dxa"/>
            <w:tcBorders>
              <w:top w:val="nil"/>
              <w:left w:val="nil"/>
              <w:bottom w:val="nil"/>
              <w:right w:val="nil"/>
            </w:tcBorders>
            <w:tcMar>
              <w:top w:w="0" w:type="dxa"/>
              <w:left w:w="62" w:type="dxa"/>
              <w:bottom w:w="0" w:type="dxa"/>
              <w:right w:w="62" w:type="dxa"/>
            </w:tcMar>
          </w:tcPr>
          <w:p w:rsidR="00000000" w:rsidP="00FC4234">
            <w:pPr>
              <w:pStyle w:val="BodyText"/>
              <w:rPr>
                <w:lang w:val="en-NZ"/>
              </w:rPr>
            </w:pPr>
            <w:r w:rsidRPr="00FC4234">
              <w:t>Load is transferred and set down ensuring no injury to personnel or damage to machinery or cargo</w:t>
            </w:r>
          </w:p>
        </w:tc>
      </w:tr>
      <w:tr w:rsidTr="006313AA">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FC4234" w:rsidP="00FC4234">
            <w:pPr>
              <w:pStyle w:val="BodyText"/>
            </w:pPr>
            <w:r w:rsidRPr="00FC4234">
              <w:t>3</w:t>
            </w:r>
          </w:p>
        </w:tc>
        <w:tc>
          <w:tcPr>
            <w:tcW w:w="3000" w:type="dxa"/>
            <w:vMerge w:val="restart"/>
            <w:tcBorders>
              <w:top w:val="nil"/>
              <w:left w:val="nil"/>
              <w:bottom w:val="nil"/>
              <w:right w:val="nil"/>
            </w:tcBorders>
            <w:tcMar>
              <w:top w:w="0" w:type="dxa"/>
              <w:left w:w="62" w:type="dxa"/>
              <w:bottom w:w="0" w:type="dxa"/>
              <w:right w:w="62" w:type="dxa"/>
            </w:tcMar>
          </w:tcPr>
          <w:p w:rsidR="00000000" w:rsidP="00FC4234">
            <w:pPr>
              <w:pStyle w:val="BodyText"/>
              <w:rPr>
                <w:lang w:val="en-NZ"/>
              </w:rPr>
            </w:pPr>
            <w:r w:rsidRPr="00FC4234">
              <w:rPr>
                <w:rStyle w:val="SpecialBold"/>
              </w:rPr>
              <w:t>Complete transfer</w:t>
            </w:r>
          </w:p>
        </w:tc>
        <w:tc>
          <w:tcPr>
            <w:tcW w:w="500" w:type="dxa"/>
            <w:tcBorders>
              <w:top w:val="nil"/>
              <w:left w:val="nil"/>
              <w:bottom w:val="nil"/>
              <w:right w:val="nil"/>
            </w:tcBorders>
            <w:tcMar>
              <w:top w:w="0" w:type="dxa"/>
              <w:left w:w="62" w:type="dxa"/>
              <w:bottom w:w="0" w:type="dxa"/>
              <w:right w:w="62" w:type="dxa"/>
            </w:tcMar>
          </w:tcPr>
          <w:p w:rsidR="00000000" w:rsidP="00FC4234">
            <w:pPr>
              <w:pStyle w:val="BodyText"/>
              <w:rPr>
                <w:lang w:val="en-NZ"/>
              </w:rPr>
            </w:pPr>
            <w:r w:rsidRPr="00FC4234">
              <w:t>3.1</w:t>
            </w:r>
          </w:p>
        </w:tc>
        <w:tc>
          <w:tcPr>
            <w:tcW w:w="5100" w:type="dxa"/>
            <w:tcBorders>
              <w:top w:val="nil"/>
              <w:left w:val="nil"/>
              <w:bottom w:val="nil"/>
              <w:right w:val="nil"/>
            </w:tcBorders>
            <w:tcMar>
              <w:top w:w="0" w:type="dxa"/>
              <w:left w:w="62" w:type="dxa"/>
              <w:bottom w:w="0" w:type="dxa"/>
              <w:right w:w="62" w:type="dxa"/>
            </w:tcMar>
          </w:tcPr>
          <w:p w:rsidR="00000000" w:rsidP="00FC4234">
            <w:pPr>
              <w:pStyle w:val="BodyText"/>
              <w:rPr>
                <w:lang w:val="en-NZ"/>
              </w:rPr>
            </w:pPr>
            <w:r w:rsidRPr="00FC4234">
              <w:t>Securing arrangement</w:t>
            </w:r>
            <w:r w:rsidRPr="00FC4234">
              <w:t>s are released from load ensuring no injury to personnel or damage to machinery or cargo</w:t>
            </w:r>
          </w:p>
        </w:tc>
      </w:tr>
      <w:tr w:rsidTr="006313A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C4234">
            <w:pPr>
              <w:pStyle w:val="BodyText"/>
              <w:rPr>
                <w:lang w:val="en-NZ"/>
              </w:rPr>
            </w:pPr>
            <w:r w:rsidRPr="00FC4234">
              <w:t>3.2</w:t>
            </w:r>
          </w:p>
        </w:tc>
        <w:tc>
          <w:tcPr>
            <w:tcW w:w="5100" w:type="dxa"/>
            <w:tcBorders>
              <w:top w:val="nil"/>
              <w:left w:val="nil"/>
              <w:bottom w:val="nil"/>
              <w:right w:val="nil"/>
            </w:tcBorders>
            <w:tcMar>
              <w:top w:w="0" w:type="dxa"/>
              <w:left w:w="62" w:type="dxa"/>
              <w:bottom w:w="0" w:type="dxa"/>
              <w:right w:w="62" w:type="dxa"/>
            </w:tcMar>
          </w:tcPr>
          <w:p w:rsidR="00000000" w:rsidP="00FC4234">
            <w:pPr>
              <w:pStyle w:val="BodyText"/>
              <w:rPr>
                <w:lang w:val="en-NZ"/>
              </w:rPr>
            </w:pPr>
            <w:r w:rsidRPr="00FC4234">
              <w:t>Relevant documentation is completed including reporting of damaged cargo in accordance with workplace reporting requirements</w:t>
            </w:r>
          </w:p>
        </w:tc>
      </w:tr>
      <w:tr w:rsidTr="006313A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C4234">
            <w:pPr>
              <w:pStyle w:val="BodyText"/>
              <w:rPr>
                <w:lang w:val="en-NZ"/>
              </w:rPr>
            </w:pPr>
            <w:r w:rsidRPr="00FC4234">
              <w:t>3.3</w:t>
            </w:r>
          </w:p>
        </w:tc>
        <w:tc>
          <w:tcPr>
            <w:tcW w:w="5100" w:type="dxa"/>
            <w:tcBorders>
              <w:top w:val="nil"/>
              <w:left w:val="nil"/>
              <w:bottom w:val="nil"/>
              <w:right w:val="nil"/>
            </w:tcBorders>
            <w:tcMar>
              <w:top w:w="0" w:type="dxa"/>
              <w:left w:w="62" w:type="dxa"/>
              <w:bottom w:w="0" w:type="dxa"/>
              <w:right w:w="62" w:type="dxa"/>
            </w:tcMar>
          </w:tcPr>
          <w:p w:rsidR="00000000" w:rsidRPr="00FC4234" w:rsidP="00FC4234">
            <w:pPr>
              <w:pStyle w:val="BodyText"/>
            </w:pPr>
            <w:r w:rsidRPr="00FC4234">
              <w:t>Equipment is returned to store and work area returned to normal working condition</w:t>
            </w:r>
          </w:p>
        </w:tc>
      </w:tr>
    </w:tbl>
    <w:p w:rsidR="00000000" w:rsidRPr="00FC4234" w:rsidP="00FC4234">
      <w:pPr>
        <w:pStyle w:val="BodyText"/>
      </w:pPr>
    </w:p>
    <w:p w:rsidR="00000000" w:rsidRPr="00FC4234" w:rsidP="00FC4234">
      <w:pPr>
        <w:pStyle w:val="AllowPageBreak"/>
      </w:pPr>
    </w:p>
    <w:p w:rsidR="00000000" w:rsidRPr="00FC4234" w:rsidP="00FC4234">
      <w:pPr>
        <w:pStyle w:val="Heading1"/>
      </w:pPr>
      <w:bookmarkStart w:id="9" w:name="O_315906"/>
      <w:bookmarkEnd w:id="9"/>
      <w:r w:rsidRPr="00FC4234">
        <w:t>Required Skills and Knowledge</w:t>
      </w:r>
    </w:p>
    <w:tbl>
      <w:tblPr>
        <w:tblW w:w="0" w:type="auto"/>
        <w:tblLayout w:type="fixed"/>
        <w:tblCellMar>
          <w:left w:w="62" w:type="dxa"/>
          <w:right w:w="62" w:type="dxa"/>
        </w:tblCellMar>
        <w:tblLook w:val="0000"/>
      </w:tblPr>
      <w:tblGrid>
        <w:gridCol w:w="9000"/>
      </w:tblGrid>
      <w:tr w:rsidTr="006313A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C4234">
            <w:pPr>
              <w:pStyle w:val="BodyText"/>
              <w:rPr>
                <w:lang w:val="en-NZ"/>
              </w:rPr>
            </w:pPr>
            <w:r w:rsidRPr="00FC4234">
              <w:rPr>
                <w:rStyle w:val="SpecialBold"/>
              </w:rPr>
              <w:t>REQUIRED KNOWLEDGE AND SKILLS</w:t>
            </w:r>
          </w:p>
        </w:tc>
      </w:tr>
      <w:tr w:rsidTr="006313A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C4234">
            <w:pPr>
              <w:pStyle w:val="BodyText"/>
              <w:rPr>
                <w:lang w:val="en-NZ"/>
              </w:rPr>
            </w:pPr>
            <w:r w:rsidRPr="00FC4234">
              <w:t xml:space="preserve">This describes the essential knowledge and skills and their level required for this unit. </w:t>
            </w:r>
          </w:p>
        </w:tc>
      </w:tr>
      <w:tr w:rsidTr="006313A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C4234">
            <w:pPr>
              <w:pStyle w:val="BodyText"/>
              <w:rPr>
                <w:lang w:val="en-NZ"/>
              </w:rPr>
            </w:pPr>
            <w:r w:rsidRPr="00FC4234">
              <w:rPr>
                <w:rStyle w:val="SpecialBold"/>
              </w:rPr>
              <w:t>Required knowledge</w:t>
            </w:r>
            <w:r w:rsidRPr="00FC4234">
              <w:t xml:space="preserve">: </w:t>
            </w:r>
          </w:p>
        </w:tc>
      </w:tr>
      <w:tr w:rsidTr="006313A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C4234">
            <w:pPr>
              <w:pStyle w:val="BodyText"/>
              <w:rPr>
                <w:lang w:val="en-NZ"/>
              </w:rPr>
            </w:pPr>
            <w:r w:rsidRPr="00FC4234">
              <w:t xml:space="preserve">Australian and international codes and regulations relevant to the transfer of cargo/freight including the Australian and International Dangerous Goods Codes </w:t>
            </w:r>
          </w:p>
        </w:tc>
      </w:tr>
      <w:tr w:rsidTr="006313A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C4234">
            <w:pPr>
              <w:pStyle w:val="BodyText"/>
              <w:rPr>
                <w:lang w:val="en-NZ"/>
              </w:rPr>
            </w:pPr>
            <w:r w:rsidRPr="00FC4234">
              <w:t xml:space="preserve">Relevant OH&amp;S and environmental protection procedures and guidelines </w:t>
            </w:r>
          </w:p>
        </w:tc>
      </w:tr>
      <w:tr w:rsidTr="006313A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C4234">
            <w:pPr>
              <w:pStyle w:val="BodyText"/>
              <w:rPr>
                <w:lang w:val="en-NZ"/>
              </w:rPr>
            </w:pPr>
            <w:r w:rsidRPr="00FC4234">
              <w:t>Wor</w:t>
            </w:r>
            <w:r w:rsidRPr="00FC4234">
              <w:t xml:space="preserve">kplace procedures and policies for the transfer of cargo and freight </w:t>
            </w:r>
          </w:p>
        </w:tc>
      </w:tr>
      <w:tr w:rsidTr="006313A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C4234">
            <w:pPr>
              <w:pStyle w:val="BodyText"/>
              <w:rPr>
                <w:lang w:val="en-NZ"/>
              </w:rPr>
            </w:pPr>
            <w:r w:rsidRPr="00FC4234">
              <w:t xml:space="preserve">Focus of operation of work systems, equipment, management and site operating systems for the transfer of cargo and freight </w:t>
            </w:r>
          </w:p>
        </w:tc>
      </w:tr>
      <w:tr w:rsidTr="006313A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C4234">
            <w:pPr>
              <w:pStyle w:val="BodyText"/>
              <w:rPr>
                <w:lang w:val="en-NZ"/>
              </w:rPr>
            </w:pPr>
            <w:r w:rsidRPr="00FC4234">
              <w:t xml:space="preserve">Problems that may occur when transferring cargo/freight and </w:t>
            </w:r>
            <w:r w:rsidRPr="00FC4234">
              <w:t xml:space="preserve">appropriate action that can be taken to resolve the problems </w:t>
            </w:r>
          </w:p>
        </w:tc>
      </w:tr>
      <w:tr w:rsidTr="006313A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C4234">
            <w:pPr>
              <w:pStyle w:val="BodyText"/>
              <w:rPr>
                <w:lang w:val="en-NZ"/>
              </w:rPr>
            </w:pPr>
            <w:r w:rsidRPr="00FC4234">
              <w:t xml:space="preserve">Relevant handling and safety codes </w:t>
            </w:r>
          </w:p>
        </w:tc>
      </w:tr>
      <w:tr w:rsidTr="006313A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C4234">
            <w:pPr>
              <w:pStyle w:val="BodyText"/>
              <w:rPr>
                <w:lang w:val="en-NZ"/>
              </w:rPr>
            </w:pPr>
            <w:r w:rsidRPr="00FC4234">
              <w:t xml:space="preserve">Types of equipment used to transfer loads in terminals/wharves, their applications and procedures and precautions for their use </w:t>
            </w:r>
          </w:p>
        </w:tc>
      </w:tr>
      <w:tr w:rsidTr="006313A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C4234">
            <w:pPr>
              <w:pStyle w:val="BodyText"/>
              <w:rPr>
                <w:lang w:val="en-NZ"/>
              </w:rPr>
            </w:pPr>
            <w:r w:rsidRPr="00FC4234">
              <w:t>Requirements for Safe Work</w:t>
            </w:r>
            <w:r w:rsidRPr="00FC4234">
              <w:t xml:space="preserve">ing Load (SWL) and Working Load Limit (WLL) of load shifting equipment </w:t>
            </w:r>
          </w:p>
        </w:tc>
      </w:tr>
      <w:tr w:rsidTr="006313A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C4234">
            <w:pPr>
              <w:pStyle w:val="BodyText"/>
              <w:rPr>
                <w:lang w:val="en-NZ"/>
              </w:rPr>
            </w:pPr>
            <w:r w:rsidRPr="00FC4234">
              <w:t xml:space="preserve">The marking and numbering systems for cargo </w:t>
            </w:r>
          </w:p>
        </w:tc>
      </w:tr>
      <w:tr w:rsidTr="006313A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FC4234" w:rsidP="00FC4234">
            <w:pPr>
              <w:pStyle w:val="BodyText"/>
            </w:pPr>
            <w:r w:rsidRPr="00FC4234">
              <w:t xml:space="preserve">Relevant bond, quarantine or other legislative requirements </w:t>
            </w:r>
          </w:p>
        </w:tc>
      </w:tr>
    </w:tbl>
    <w:p w:rsidR="00000000" w:rsidRPr="00FC4234" w:rsidP="00FC4234">
      <w:pPr>
        <w:pStyle w:val="BodyText"/>
      </w:pPr>
    </w:p>
    <w:tbl>
      <w:tblPr>
        <w:tblW w:w="0" w:type="auto"/>
        <w:tblLayout w:type="fixed"/>
        <w:tblCellMar>
          <w:left w:w="62" w:type="dxa"/>
          <w:right w:w="62" w:type="dxa"/>
        </w:tblCellMar>
        <w:tblLook w:val="0000"/>
      </w:tblPr>
      <w:tblGrid>
        <w:gridCol w:w="9000"/>
      </w:tblGrid>
      <w:tr w:rsidTr="006313A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C4234">
            <w:pPr>
              <w:pStyle w:val="BodyText"/>
              <w:rPr>
                <w:lang w:val="en-NZ"/>
              </w:rPr>
            </w:pPr>
            <w:r w:rsidRPr="00FC4234">
              <w:rPr>
                <w:rStyle w:val="SpecialBold"/>
              </w:rPr>
              <w:t>Required skills</w:t>
            </w:r>
            <w:r w:rsidRPr="00FC4234">
              <w:t>:</w:t>
            </w:r>
          </w:p>
        </w:tc>
      </w:tr>
      <w:tr w:rsidTr="006313A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C4234">
            <w:pPr>
              <w:pStyle w:val="BodyText"/>
              <w:rPr>
                <w:lang w:val="en-NZ"/>
              </w:rPr>
            </w:pPr>
            <w:r w:rsidRPr="00FC4234">
              <w:t xml:space="preserve">Communicate effectively with others when transferring cargo and freight </w:t>
            </w:r>
          </w:p>
        </w:tc>
      </w:tr>
      <w:tr w:rsidTr="006313A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C4234">
            <w:pPr>
              <w:pStyle w:val="BodyText"/>
              <w:rPr>
                <w:lang w:val="en-NZ"/>
              </w:rPr>
            </w:pPr>
            <w:r w:rsidRPr="00FC4234">
              <w:t xml:space="preserve">Read and interpret instructions, procedures, information and signs relevant to the transfer of cargo and freight </w:t>
            </w:r>
          </w:p>
        </w:tc>
      </w:tr>
      <w:tr w:rsidTr="006313A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C4234">
            <w:pPr>
              <w:pStyle w:val="BodyText"/>
              <w:rPr>
                <w:lang w:val="en-NZ"/>
              </w:rPr>
            </w:pPr>
            <w:r w:rsidRPr="00FC4234">
              <w:t>Interpret and follow operational instructions and prioritise work w</w:t>
            </w:r>
            <w:r w:rsidRPr="00FC4234">
              <w:t xml:space="preserve">hen transferring cargo and freight </w:t>
            </w:r>
          </w:p>
        </w:tc>
      </w:tr>
      <w:tr w:rsidTr="006313A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C4234">
            <w:pPr>
              <w:pStyle w:val="BodyText"/>
              <w:rPr>
                <w:lang w:val="en-NZ"/>
              </w:rPr>
            </w:pPr>
            <w:r w:rsidRPr="00FC4234">
              <w:t xml:space="preserve">Complete documentation related to work activities when transferring cargo and freight </w:t>
            </w:r>
          </w:p>
        </w:tc>
      </w:tr>
      <w:tr w:rsidTr="006313A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C4234">
            <w:pPr>
              <w:pStyle w:val="BodyText"/>
              <w:rPr>
                <w:lang w:val="en-NZ"/>
              </w:rPr>
            </w:pPr>
            <w:r w:rsidRPr="00FC4234">
              <w:t xml:space="preserve">Receive, acknowledge and send messages with communications equipment whilst operating load transfer equipment </w:t>
            </w:r>
          </w:p>
        </w:tc>
      </w:tr>
      <w:tr w:rsidTr="006313A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C4234">
            <w:pPr>
              <w:pStyle w:val="BodyText"/>
              <w:rPr>
                <w:lang w:val="en-NZ"/>
              </w:rPr>
            </w:pPr>
            <w:r w:rsidRPr="00FC4234">
              <w:t>Work collaborativel</w:t>
            </w:r>
            <w:r w:rsidRPr="00FC4234">
              <w:t xml:space="preserve">y with otherswhen transferring cargo and freight </w:t>
            </w:r>
          </w:p>
        </w:tc>
      </w:tr>
      <w:tr w:rsidTr="006313A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C4234">
            <w:pPr>
              <w:pStyle w:val="BodyText"/>
              <w:rPr>
                <w:lang w:val="en-NZ"/>
              </w:rPr>
            </w:pPr>
            <w:r w:rsidRPr="00FC4234">
              <w:t xml:space="preserve">Adapt appropriately to cultural differences in the workplace, including modes of behaviour and interactions with others </w:t>
            </w:r>
          </w:p>
        </w:tc>
      </w:tr>
      <w:tr w:rsidTr="006313A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C4234">
            <w:pPr>
              <w:pStyle w:val="BodyText"/>
              <w:rPr>
                <w:lang w:val="en-NZ"/>
              </w:rPr>
            </w:pPr>
            <w:r w:rsidRPr="00FC4234">
              <w:t>Promptly rep</w:t>
            </w:r>
            <w:r w:rsidRPr="00FC4234">
              <w:t xml:space="preserve">ort and/or rectify any identified problems, faults or malfunctions when transferring cargo and freight in accordance with regulatory requirements and workplace procedures </w:t>
            </w:r>
          </w:p>
        </w:tc>
      </w:tr>
      <w:tr w:rsidTr="006313A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C4234">
            <w:pPr>
              <w:pStyle w:val="BodyText"/>
              <w:rPr>
                <w:lang w:val="en-NZ"/>
              </w:rPr>
            </w:pPr>
            <w:r w:rsidRPr="00FC4234">
              <w:t>Implement contingency plans for unplanned events that may occur when transferring c</w:t>
            </w:r>
            <w:r w:rsidRPr="00FC4234">
              <w:t xml:space="preserve">argo and freight </w:t>
            </w:r>
          </w:p>
        </w:tc>
      </w:tr>
      <w:tr w:rsidTr="006313A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C4234">
            <w:pPr>
              <w:pStyle w:val="BodyText"/>
              <w:rPr>
                <w:lang w:val="en-NZ"/>
              </w:rPr>
            </w:pPr>
            <w:r w:rsidRPr="00FC4234">
              <w:t xml:space="preserve">Apply precautions and required action to minimise, control or eliminate hazards that may exist during work activities </w:t>
            </w:r>
          </w:p>
        </w:tc>
      </w:tr>
      <w:tr w:rsidTr="006313A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C4234">
            <w:pPr>
              <w:pStyle w:val="BodyText"/>
              <w:rPr>
                <w:lang w:val="en-NZ"/>
              </w:rPr>
            </w:pPr>
            <w:r w:rsidRPr="00FC4234">
              <w:t xml:space="preserve">Monitor work activities in terms of planned schedule </w:t>
            </w:r>
          </w:p>
        </w:tc>
      </w:tr>
      <w:tr w:rsidTr="006313A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C4234">
            <w:pPr>
              <w:pStyle w:val="BodyText"/>
              <w:rPr>
                <w:lang w:val="en-NZ"/>
              </w:rPr>
            </w:pPr>
            <w:r w:rsidRPr="00FC4234">
              <w:t>Modify activities depending on differing operational contingen</w:t>
            </w:r>
            <w:r w:rsidRPr="00FC4234">
              <w:t xml:space="preserve">cies, risk situations and environments </w:t>
            </w:r>
          </w:p>
        </w:tc>
      </w:tr>
      <w:tr w:rsidTr="006313A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C4234">
            <w:pPr>
              <w:pStyle w:val="BodyText"/>
              <w:rPr>
                <w:lang w:val="en-NZ"/>
              </w:rPr>
            </w:pPr>
            <w:r w:rsidRPr="00FC4234">
              <w:t xml:space="preserve">Apply fatigue management knowledge and techniques </w:t>
            </w:r>
          </w:p>
        </w:tc>
      </w:tr>
      <w:tr w:rsidTr="006313A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C4234">
            <w:pPr>
              <w:pStyle w:val="BodyText"/>
              <w:rPr>
                <w:lang w:val="en-NZ"/>
              </w:rPr>
            </w:pPr>
            <w:r w:rsidRPr="00FC4234">
              <w:t xml:space="preserve">Work systematically with required attention to detail without injury to self or others, or damage to goods or equipment </w:t>
            </w:r>
          </w:p>
        </w:tc>
      </w:tr>
      <w:tr w:rsidTr="006313A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C4234">
            <w:pPr>
              <w:pStyle w:val="BodyText"/>
              <w:rPr>
                <w:lang w:val="en-NZ"/>
              </w:rPr>
            </w:pPr>
            <w:r w:rsidRPr="00FC4234">
              <w:t>Operate and adapt to differences in equip</w:t>
            </w:r>
            <w:r w:rsidRPr="00FC4234">
              <w:t xml:space="preserve">ment in accordance with standard operating procedures </w:t>
            </w:r>
          </w:p>
        </w:tc>
      </w:tr>
      <w:tr w:rsidTr="006313A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C4234">
            <w:pPr>
              <w:pStyle w:val="BodyText"/>
              <w:rPr>
                <w:lang w:val="en-NZ"/>
              </w:rPr>
            </w:pPr>
            <w:r w:rsidRPr="00FC4234">
              <w:t xml:space="preserve">Select and use required personal protective equipment conforming to industry and OH&amp;S standards </w:t>
            </w:r>
          </w:p>
        </w:tc>
      </w:tr>
      <w:tr w:rsidTr="006313A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C4234">
            <w:pPr>
              <w:pStyle w:val="BodyText"/>
              <w:rPr>
                <w:lang w:val="en-NZ"/>
              </w:rPr>
            </w:pPr>
            <w:r w:rsidRPr="00FC4234">
              <w:t xml:space="preserve">Monitor performance of load transfer equipment </w:t>
            </w:r>
          </w:p>
        </w:tc>
      </w:tr>
      <w:tr w:rsidTr="006313A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C4234">
            <w:pPr>
              <w:pStyle w:val="BodyText"/>
              <w:rPr>
                <w:lang w:val="en-NZ"/>
              </w:rPr>
            </w:pPr>
            <w:r w:rsidRPr="00FC4234">
              <w:t>Conduct checks on equipment used when transferring ca</w:t>
            </w:r>
            <w:r w:rsidRPr="00FC4234">
              <w:t xml:space="preserve">rgo and freight in terms of service schedule and standard operating procedures </w:t>
            </w:r>
          </w:p>
        </w:tc>
      </w:tr>
      <w:tr w:rsidTr="006313A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C4234">
            <w:pPr>
              <w:pStyle w:val="BodyText"/>
              <w:rPr>
                <w:lang w:val="en-NZ"/>
              </w:rPr>
            </w:pPr>
            <w:r w:rsidRPr="00FC4234">
              <w:t xml:space="preserve">Identify, select and use relevant equipment, processes and procedures when transferring cargo and freight </w:t>
            </w:r>
          </w:p>
        </w:tc>
      </w:tr>
      <w:tr w:rsidTr="006313A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FC4234" w:rsidP="00FC4234">
            <w:pPr>
              <w:pStyle w:val="BodyText"/>
            </w:pPr>
            <w:r w:rsidRPr="00FC4234">
              <w:t xml:space="preserve">Estimate the size, shape and special requirements of loads </w:t>
            </w:r>
          </w:p>
        </w:tc>
      </w:tr>
    </w:tbl>
    <w:p w:rsidR="00000000" w:rsidRPr="00FC4234" w:rsidP="00FC4234">
      <w:pPr>
        <w:pStyle w:val="BodyText"/>
      </w:pPr>
    </w:p>
    <w:p w:rsidR="00000000" w:rsidRPr="00FC4234" w:rsidP="00FC4234">
      <w:pPr>
        <w:pStyle w:val="AllowPageBreak"/>
      </w:pPr>
    </w:p>
    <w:p w:rsidR="00000000" w:rsidRPr="00FC4234" w:rsidP="00FC4234">
      <w:pPr>
        <w:pStyle w:val="Heading1"/>
      </w:pPr>
      <w:bookmarkStart w:id="10" w:name="O_315905"/>
      <w:bookmarkEnd w:id="10"/>
      <w:r w:rsidRPr="00FC4234">
        <w:t>Evidence Guide</w:t>
      </w:r>
    </w:p>
    <w:tbl>
      <w:tblPr>
        <w:tblW w:w="0" w:type="auto"/>
        <w:tblLayout w:type="fixed"/>
        <w:tblCellMar>
          <w:left w:w="62" w:type="dxa"/>
          <w:right w:w="62" w:type="dxa"/>
        </w:tblCellMar>
        <w:tblLook w:val="0000"/>
      </w:tblPr>
      <w:tblGrid>
        <w:gridCol w:w="4500"/>
        <w:gridCol w:w="4500"/>
      </w:tblGrid>
      <w:tr w:rsidTr="006313AA">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FC4234">
            <w:pPr>
              <w:pStyle w:val="BodyText"/>
              <w:rPr>
                <w:lang w:val="en-NZ"/>
              </w:rPr>
            </w:pPr>
          </w:p>
        </w:tc>
      </w:tr>
      <w:tr w:rsidTr="006313AA">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FC4234">
            <w:pPr>
              <w:pStyle w:val="BodyText"/>
              <w:rPr>
                <w:lang w:val="en-NZ"/>
              </w:rPr>
            </w:pPr>
            <w:r w:rsidRPr="00FC4234">
              <w:t xml:space="preserve">The evidence guide provides advice on assessment and must be read in conjunction with the performance criteria, required knowledge and skills, the range statement and the assessment guidelines for this Training Package. </w:t>
            </w:r>
          </w:p>
        </w:tc>
      </w:tr>
      <w:tr w:rsidTr="006313A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C4234">
            <w:pPr>
              <w:pStyle w:val="BodyText"/>
              <w:rPr>
                <w:lang w:val="en-NZ"/>
              </w:rPr>
            </w:pPr>
            <w:r w:rsidRPr="00FC4234">
              <w:rPr>
                <w:rStyle w:val="SpecialBold"/>
              </w:rPr>
              <w:t>Critical aspects for assessment and evidence required to demonstrate competency in this unit</w:t>
            </w:r>
          </w:p>
        </w:tc>
        <w:tc>
          <w:tcPr>
            <w:tcW w:w="4500" w:type="dxa"/>
            <w:tcBorders>
              <w:top w:val="nil"/>
              <w:left w:val="nil"/>
              <w:bottom w:val="nil"/>
              <w:right w:val="nil"/>
            </w:tcBorders>
            <w:tcMar>
              <w:top w:w="0" w:type="dxa"/>
              <w:left w:w="62" w:type="dxa"/>
              <w:bottom w:w="0" w:type="dxa"/>
              <w:right w:w="62" w:type="dxa"/>
            </w:tcMar>
          </w:tcPr>
          <w:p w:rsidR="00000000" w:rsidRPr="00FC4234" w:rsidP="00FC4234">
            <w:pPr>
              <w:pStyle w:val="BodyText"/>
            </w:pPr>
            <w:r w:rsidRPr="00FC4234">
              <w:t>The evidence required to demonstrate competency in this unit must be relevant to and satisfy all of the requirements of the elements and performance criteria of t</w:t>
            </w:r>
            <w:r w:rsidRPr="00FC4234">
              <w:t xml:space="preserve">his unit and include demonstration of applying:   </w:t>
            </w:r>
          </w:p>
          <w:p w:rsidR="00000000" w:rsidRPr="00FC4234" w:rsidP="00FC4234">
            <w:pPr>
              <w:pStyle w:val="BodyText"/>
            </w:pPr>
            <w:r w:rsidRPr="00FC4234">
              <w:t>the underpinning knowledge and skills</w:t>
            </w:r>
          </w:p>
          <w:p w:rsidR="00000000" w:rsidRPr="00FC4234" w:rsidP="00FC4234">
            <w:pPr>
              <w:pStyle w:val="BodyText"/>
            </w:pPr>
            <w:r w:rsidRPr="00FC4234">
              <w:t>relevant legislation and workplace procedures</w:t>
            </w:r>
          </w:p>
          <w:p w:rsidR="00000000" w:rsidP="00FC4234">
            <w:pPr>
              <w:pStyle w:val="BodyText"/>
              <w:rPr>
                <w:lang w:val="en-NZ"/>
              </w:rPr>
            </w:pPr>
            <w:r w:rsidRPr="00FC4234">
              <w:t xml:space="preserve">other relevant aspects of the range statement </w:t>
            </w:r>
          </w:p>
        </w:tc>
      </w:tr>
      <w:tr w:rsidTr="006313A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C4234">
            <w:pPr>
              <w:pStyle w:val="BodyText"/>
              <w:rPr>
                <w:lang w:val="en-NZ"/>
              </w:rPr>
            </w:pPr>
            <w:r w:rsidRPr="00FC4234">
              <w:rPr>
                <w:rStyle w:val="SpecialBold"/>
              </w:rPr>
              <w:t>Context of and specific resources for assessment</w:t>
            </w:r>
          </w:p>
        </w:tc>
        <w:tc>
          <w:tcPr>
            <w:tcW w:w="4500" w:type="dxa"/>
            <w:tcBorders>
              <w:top w:val="nil"/>
              <w:left w:val="nil"/>
              <w:bottom w:val="nil"/>
              <w:right w:val="nil"/>
            </w:tcBorders>
            <w:tcMar>
              <w:top w:w="0" w:type="dxa"/>
              <w:left w:w="62" w:type="dxa"/>
              <w:bottom w:w="0" w:type="dxa"/>
              <w:right w:w="62" w:type="dxa"/>
            </w:tcMar>
          </w:tcPr>
          <w:p w:rsidR="00000000" w:rsidRPr="00FC4234" w:rsidP="00FC4234">
            <w:pPr>
              <w:pStyle w:val="BodyText"/>
            </w:pPr>
            <w:r w:rsidRPr="00FC4234">
              <w:t>Performance is de</w:t>
            </w:r>
            <w:r w:rsidRPr="00FC4234">
              <w:t>monstrated consistently over a period of time and in a suitable range of contexts</w:t>
            </w:r>
          </w:p>
          <w:p w:rsidR="00000000" w:rsidRPr="00FC4234" w:rsidP="00FC4234">
            <w:pPr>
              <w:pStyle w:val="BodyText"/>
            </w:pPr>
            <w:r w:rsidRPr="00FC4234">
              <w:t xml:space="preserve">Resources for assessment include:   </w:t>
            </w:r>
          </w:p>
          <w:p w:rsidR="00000000" w:rsidRPr="00FC4234" w:rsidP="00FC4234">
            <w:pPr>
              <w:pStyle w:val="BodyText"/>
            </w:pPr>
            <w:r w:rsidRPr="00FC4234">
              <w:t>a range of relevant exercises, case studies and other simulated practical and knowledge assessment, and/or</w:t>
            </w:r>
          </w:p>
          <w:p w:rsidR="00000000" w:rsidRPr="00FC4234" w:rsidP="00FC4234">
            <w:pPr>
              <w:pStyle w:val="BodyText"/>
            </w:pPr>
            <w:r w:rsidRPr="00FC4234">
              <w:t>access to an appropriate range</w:t>
            </w:r>
            <w:r w:rsidRPr="00FC4234">
              <w:t xml:space="preserve"> of relevant operational situations in the workplace</w:t>
            </w:r>
          </w:p>
          <w:p w:rsidR="00000000" w:rsidRPr="00FC4234" w:rsidP="00FC4234">
            <w:pPr>
              <w:pStyle w:val="BodyText"/>
            </w:pPr>
          </w:p>
          <w:p w:rsidR="00000000" w:rsidRPr="00FC4234" w:rsidP="00FC4234">
            <w:pPr>
              <w:pStyle w:val="BodyText"/>
            </w:pPr>
            <w:r w:rsidRPr="00FC4234">
              <w:t xml:space="preserve">In both real and simulated environments, access is required to:     </w:t>
            </w:r>
          </w:p>
          <w:p w:rsidR="00000000" w:rsidRPr="00FC4234" w:rsidP="00FC4234">
            <w:pPr>
              <w:pStyle w:val="BodyText"/>
            </w:pPr>
            <w:r w:rsidRPr="00FC4234">
              <w:t>relevant and appropriate materials and/or equipment, and/or</w:t>
            </w:r>
          </w:p>
          <w:p w:rsidR="00000000" w:rsidP="00FC4234">
            <w:pPr>
              <w:pStyle w:val="BodyText"/>
              <w:rPr>
                <w:lang w:val="en-NZ"/>
              </w:rPr>
            </w:pPr>
            <w:r w:rsidRPr="00FC4234">
              <w:t>applicable documentation including workplace procedures, regulations, cod</w:t>
            </w:r>
            <w:r w:rsidRPr="00FC4234">
              <w:t xml:space="preserve">es of practice and operation manuals </w:t>
            </w:r>
          </w:p>
        </w:tc>
      </w:tr>
      <w:tr w:rsidTr="006313A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C4234">
            <w:pPr>
              <w:pStyle w:val="BodyText"/>
              <w:rPr>
                <w:lang w:val="en-NZ"/>
              </w:rPr>
            </w:pPr>
            <w:r w:rsidRPr="00FC4234">
              <w:rPr>
                <w:rStyle w:val="SpecialBold"/>
              </w:rPr>
              <w:t>Method of assessment</w:t>
            </w:r>
          </w:p>
        </w:tc>
        <w:tc>
          <w:tcPr>
            <w:tcW w:w="4500" w:type="dxa"/>
            <w:tcBorders>
              <w:top w:val="nil"/>
              <w:left w:val="nil"/>
              <w:bottom w:val="nil"/>
              <w:right w:val="nil"/>
            </w:tcBorders>
            <w:tcMar>
              <w:top w:w="0" w:type="dxa"/>
              <w:left w:w="62" w:type="dxa"/>
              <w:bottom w:w="0" w:type="dxa"/>
              <w:right w:w="62" w:type="dxa"/>
            </w:tcMar>
          </w:tcPr>
          <w:p w:rsidR="00000000" w:rsidRPr="00FC4234" w:rsidP="00FC4234">
            <w:pPr>
              <w:pStyle w:val="BodyText"/>
            </w:pPr>
            <w:r w:rsidRPr="00FC4234">
              <w:t>Assessment of this unit must be undertaken by a registered training organisation</w:t>
            </w:r>
          </w:p>
          <w:p w:rsidR="00000000" w:rsidRPr="00FC4234" w:rsidP="00FC4234">
            <w:pPr>
              <w:pStyle w:val="BodyText"/>
            </w:pPr>
            <w:r w:rsidRPr="00FC4234">
              <w:t>As a minimum, assessment of knowledge must be conducted through appropriate written/oral tests</w:t>
            </w:r>
          </w:p>
          <w:p w:rsidR="00000000" w:rsidRPr="00FC4234" w:rsidP="00FC4234">
            <w:pPr>
              <w:pStyle w:val="BodyText"/>
            </w:pPr>
            <w:r w:rsidRPr="00FC4234">
              <w:t>Practical assessment</w:t>
            </w:r>
            <w:r w:rsidRPr="00FC4234">
              <w:t xml:space="preserve"> must occur:   </w:t>
            </w:r>
          </w:p>
          <w:p w:rsidR="00000000" w:rsidRPr="00FC4234" w:rsidP="00FC4234">
            <w:pPr>
              <w:pStyle w:val="BodyText"/>
            </w:pPr>
            <w:r w:rsidRPr="00FC4234">
              <w:t>through appropriately simulated activities at the registered training organisation, and/or</w:t>
            </w:r>
          </w:p>
          <w:p w:rsidR="00000000" w:rsidRPr="00FC4234" w:rsidP="00FC4234">
            <w:pPr>
              <w:pStyle w:val="BodyText"/>
            </w:pPr>
            <w:r w:rsidRPr="00FC4234">
              <w:t xml:space="preserve">in an appropriate range of situations in the workplace </w:t>
            </w:r>
          </w:p>
        </w:tc>
      </w:tr>
    </w:tbl>
    <w:p w:rsidR="00000000" w:rsidRPr="00FC4234" w:rsidP="00FC4234">
      <w:pPr>
        <w:pStyle w:val="BodyText"/>
      </w:pPr>
    </w:p>
    <w:p w:rsidR="00000000" w:rsidRPr="00FC4234" w:rsidP="00FC4234">
      <w:pPr>
        <w:pStyle w:val="AllowPageBreak"/>
      </w:pPr>
    </w:p>
    <w:p w:rsidR="00000000" w:rsidRPr="00FC4234" w:rsidP="00FC4234">
      <w:pPr>
        <w:pStyle w:val="Heading1"/>
      </w:pPr>
      <w:bookmarkStart w:id="11" w:name="O_315904"/>
      <w:bookmarkEnd w:id="11"/>
      <w:r w:rsidRPr="00FC4234">
        <w:t>Range Statement</w:t>
      </w:r>
    </w:p>
    <w:tbl>
      <w:tblPr>
        <w:tblW w:w="0" w:type="auto"/>
        <w:tblLayout w:type="fixed"/>
        <w:tblCellMar>
          <w:left w:w="62" w:type="dxa"/>
          <w:right w:w="62" w:type="dxa"/>
        </w:tblCellMar>
        <w:tblLook w:val="0000"/>
      </w:tblPr>
      <w:tblGrid>
        <w:gridCol w:w="4500"/>
        <w:gridCol w:w="4500"/>
      </w:tblGrid>
      <w:tr w:rsidTr="006313AA">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FC4234">
            <w:pPr>
              <w:pStyle w:val="BodyText"/>
              <w:rPr>
                <w:lang w:val="en-NZ"/>
              </w:rPr>
            </w:pPr>
            <w:r w:rsidRPr="00FC4234">
              <w:rPr>
                <w:rStyle w:val="SpecialBold"/>
              </w:rPr>
              <w:t>RANGE STATEMENT</w:t>
            </w:r>
          </w:p>
        </w:tc>
      </w:tr>
      <w:tr w:rsidTr="006313AA">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FC4234">
            <w:pPr>
              <w:pStyle w:val="BodyText"/>
              <w:rPr>
                <w:lang w:val="en-NZ"/>
              </w:rPr>
            </w:pPr>
            <w:r w:rsidRPr="00FC4234">
              <w:t>The range statement relates to the uni</w:t>
            </w:r>
            <w:r w:rsidRPr="00FC4234">
              <w:t xml:space="preserve">t of competency as a whole. It allows for different work environments and situations that may affect performance. </w:t>
            </w:r>
          </w:p>
        </w:tc>
      </w:tr>
      <w:tr w:rsidTr="006313A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C4234">
            <w:pPr>
              <w:pStyle w:val="BodyText"/>
              <w:rPr>
                <w:lang w:val="en-NZ"/>
              </w:rPr>
            </w:pPr>
            <w:r w:rsidRPr="00FC4234">
              <w:t xml:space="preserve">Work may be conducted in: </w:t>
            </w:r>
          </w:p>
        </w:tc>
        <w:tc>
          <w:tcPr>
            <w:tcW w:w="4500" w:type="dxa"/>
            <w:tcBorders>
              <w:top w:val="nil"/>
              <w:left w:val="nil"/>
              <w:bottom w:val="nil"/>
              <w:right w:val="nil"/>
            </w:tcBorders>
            <w:tcMar>
              <w:top w:w="0" w:type="dxa"/>
              <w:left w:w="62" w:type="dxa"/>
              <w:bottom w:w="0" w:type="dxa"/>
              <w:right w:w="62" w:type="dxa"/>
            </w:tcMar>
          </w:tcPr>
          <w:p w:rsidR="00000000" w:rsidRPr="00FC4234" w:rsidP="00FC4234">
            <w:pPr>
              <w:pStyle w:val="BodyText"/>
            </w:pPr>
            <w:r w:rsidRPr="00FC4234">
              <w:t>a range of work environments</w:t>
            </w:r>
          </w:p>
          <w:p w:rsidR="00000000" w:rsidP="00FC4234">
            <w:pPr>
              <w:pStyle w:val="BodyText"/>
              <w:rPr>
                <w:lang w:val="en-NZ"/>
              </w:rPr>
            </w:pPr>
            <w:r w:rsidRPr="00FC4234">
              <w:t xml:space="preserve">by day or night </w:t>
            </w:r>
          </w:p>
        </w:tc>
      </w:tr>
      <w:tr w:rsidTr="006313A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C4234">
            <w:pPr>
              <w:pStyle w:val="BodyText"/>
              <w:rPr>
                <w:lang w:val="en-NZ"/>
              </w:rPr>
            </w:pPr>
            <w:r w:rsidRPr="00FC4234">
              <w:t xml:space="preserve">Customers may be: </w:t>
            </w:r>
          </w:p>
        </w:tc>
        <w:tc>
          <w:tcPr>
            <w:tcW w:w="4500" w:type="dxa"/>
            <w:tcBorders>
              <w:top w:val="nil"/>
              <w:left w:val="nil"/>
              <w:bottom w:val="nil"/>
              <w:right w:val="nil"/>
            </w:tcBorders>
            <w:tcMar>
              <w:top w:w="0" w:type="dxa"/>
              <w:left w:w="62" w:type="dxa"/>
              <w:bottom w:w="0" w:type="dxa"/>
              <w:right w:w="62" w:type="dxa"/>
            </w:tcMar>
          </w:tcPr>
          <w:p w:rsidR="00000000" w:rsidP="00FC4234">
            <w:pPr>
              <w:pStyle w:val="BodyText"/>
              <w:rPr>
                <w:lang w:val="en-NZ"/>
              </w:rPr>
            </w:pPr>
            <w:r w:rsidRPr="00FC4234">
              <w:t xml:space="preserve">internal or external </w:t>
            </w:r>
          </w:p>
        </w:tc>
      </w:tr>
      <w:tr w:rsidTr="006313A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C4234">
            <w:pPr>
              <w:pStyle w:val="BodyText"/>
              <w:rPr>
                <w:lang w:val="en-NZ"/>
              </w:rPr>
            </w:pPr>
            <w:r w:rsidRPr="00FC4234">
              <w:t>Workplaces may comprise</w:t>
            </w:r>
            <w:r w:rsidRPr="00FC4234">
              <w:t xml:space="preserve">: </w:t>
            </w:r>
          </w:p>
        </w:tc>
        <w:tc>
          <w:tcPr>
            <w:tcW w:w="4500" w:type="dxa"/>
            <w:tcBorders>
              <w:top w:val="nil"/>
              <w:left w:val="nil"/>
              <w:bottom w:val="nil"/>
              <w:right w:val="nil"/>
            </w:tcBorders>
            <w:tcMar>
              <w:top w:w="0" w:type="dxa"/>
              <w:left w:w="62" w:type="dxa"/>
              <w:bottom w:w="0" w:type="dxa"/>
              <w:right w:w="62" w:type="dxa"/>
            </w:tcMar>
          </w:tcPr>
          <w:p w:rsidR="00000000" w:rsidP="00FC4234">
            <w:pPr>
              <w:pStyle w:val="BodyText"/>
              <w:rPr>
                <w:lang w:val="en-NZ"/>
              </w:rPr>
            </w:pPr>
            <w:r w:rsidRPr="00FC4234">
              <w:t xml:space="preserve">large, medium or small worksites </w:t>
            </w:r>
          </w:p>
        </w:tc>
      </w:tr>
      <w:tr w:rsidTr="006313A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C4234">
            <w:pPr>
              <w:pStyle w:val="BodyText"/>
              <w:rPr>
                <w:lang w:val="en-NZ"/>
              </w:rPr>
            </w:pPr>
            <w:r w:rsidRPr="00FC4234">
              <w:t xml:space="preserve">Work may be conducted in: </w:t>
            </w:r>
          </w:p>
        </w:tc>
        <w:tc>
          <w:tcPr>
            <w:tcW w:w="4500" w:type="dxa"/>
            <w:tcBorders>
              <w:top w:val="nil"/>
              <w:left w:val="nil"/>
              <w:bottom w:val="nil"/>
              <w:right w:val="nil"/>
            </w:tcBorders>
            <w:tcMar>
              <w:top w:w="0" w:type="dxa"/>
              <w:left w:w="62" w:type="dxa"/>
              <w:bottom w:w="0" w:type="dxa"/>
              <w:right w:w="62" w:type="dxa"/>
            </w:tcMar>
          </w:tcPr>
          <w:p w:rsidR="00000000" w:rsidRPr="00FC4234" w:rsidP="00FC4234">
            <w:pPr>
              <w:pStyle w:val="BodyText"/>
            </w:pPr>
            <w:r w:rsidRPr="00FC4234">
              <w:t>limited or restricted spaces</w:t>
            </w:r>
          </w:p>
          <w:p w:rsidR="00000000" w:rsidRPr="00FC4234" w:rsidP="00FC4234">
            <w:pPr>
              <w:pStyle w:val="BodyText"/>
            </w:pPr>
            <w:r w:rsidRPr="00FC4234">
              <w:t>exposed conditions</w:t>
            </w:r>
          </w:p>
          <w:p w:rsidR="00000000" w:rsidP="00FC4234">
            <w:pPr>
              <w:pStyle w:val="BodyText"/>
              <w:rPr>
                <w:lang w:val="en-NZ"/>
              </w:rPr>
            </w:pPr>
            <w:r w:rsidRPr="00FC4234">
              <w:t xml:space="preserve">controlled or open environments </w:t>
            </w:r>
          </w:p>
        </w:tc>
      </w:tr>
      <w:tr w:rsidTr="006313A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C4234">
            <w:pPr>
              <w:pStyle w:val="BodyText"/>
              <w:rPr>
                <w:lang w:val="en-NZ"/>
              </w:rPr>
            </w:pPr>
            <w:r w:rsidRPr="00FC4234">
              <w:t xml:space="preserve">Cargo/freight may include: </w:t>
            </w:r>
          </w:p>
        </w:tc>
        <w:tc>
          <w:tcPr>
            <w:tcW w:w="4500" w:type="dxa"/>
            <w:tcBorders>
              <w:top w:val="nil"/>
              <w:left w:val="nil"/>
              <w:bottom w:val="nil"/>
              <w:right w:val="nil"/>
            </w:tcBorders>
            <w:tcMar>
              <w:top w:w="0" w:type="dxa"/>
              <w:left w:w="62" w:type="dxa"/>
              <w:bottom w:w="0" w:type="dxa"/>
              <w:right w:w="62" w:type="dxa"/>
            </w:tcMar>
          </w:tcPr>
          <w:p w:rsidR="00000000" w:rsidP="00FC4234">
            <w:pPr>
              <w:pStyle w:val="BodyText"/>
              <w:rPr>
                <w:lang w:val="en-NZ"/>
              </w:rPr>
            </w:pPr>
            <w:r w:rsidRPr="00FC4234">
              <w:t>goods with specialist requirements, including temperature controlled</w:t>
            </w:r>
            <w:r w:rsidRPr="00FC4234">
              <w:t xml:space="preserve"> goods and dangerous goods </w:t>
            </w:r>
          </w:p>
        </w:tc>
      </w:tr>
      <w:tr w:rsidTr="006313A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C4234">
            <w:pPr>
              <w:pStyle w:val="BodyText"/>
              <w:rPr>
                <w:lang w:val="en-NZ"/>
              </w:rPr>
            </w:pPr>
            <w:r w:rsidRPr="00FC4234">
              <w:t xml:space="preserve">Equipment may include: </w:t>
            </w:r>
          </w:p>
        </w:tc>
        <w:tc>
          <w:tcPr>
            <w:tcW w:w="4500" w:type="dxa"/>
            <w:tcBorders>
              <w:top w:val="nil"/>
              <w:left w:val="nil"/>
              <w:bottom w:val="nil"/>
              <w:right w:val="nil"/>
            </w:tcBorders>
            <w:tcMar>
              <w:top w:w="0" w:type="dxa"/>
              <w:left w:w="62" w:type="dxa"/>
              <w:bottom w:w="0" w:type="dxa"/>
              <w:right w:w="62" w:type="dxa"/>
            </w:tcMar>
          </w:tcPr>
          <w:p w:rsidR="00000000" w:rsidP="00FC4234">
            <w:pPr>
              <w:pStyle w:val="BodyText"/>
              <w:rPr>
                <w:lang w:val="en-NZ"/>
              </w:rPr>
            </w:pPr>
            <w:r w:rsidRPr="00FC4234">
              <w:t>appropriate load shifting equipment normally in use at a terminal or wharf (but does not include gantry equipment, boom cranes, dozers or specialised load shifting equipment which are covered by separate</w:t>
            </w:r>
            <w:r w:rsidRPr="00FC4234">
              <w:t xml:space="preserve"> competency units) </w:t>
            </w:r>
          </w:p>
        </w:tc>
      </w:tr>
      <w:tr w:rsidTr="006313A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C4234">
            <w:pPr>
              <w:pStyle w:val="BodyText"/>
              <w:rPr>
                <w:lang w:val="en-NZ"/>
              </w:rPr>
            </w:pPr>
            <w:r w:rsidRPr="00FC4234">
              <w:t xml:space="preserve">Hazards in the work area may include exposure to: </w:t>
            </w:r>
          </w:p>
        </w:tc>
        <w:tc>
          <w:tcPr>
            <w:tcW w:w="4500" w:type="dxa"/>
            <w:tcBorders>
              <w:top w:val="nil"/>
              <w:left w:val="nil"/>
              <w:bottom w:val="nil"/>
              <w:right w:val="nil"/>
            </w:tcBorders>
            <w:tcMar>
              <w:top w:w="0" w:type="dxa"/>
              <w:left w:w="62" w:type="dxa"/>
              <w:bottom w:w="0" w:type="dxa"/>
              <w:right w:w="62" w:type="dxa"/>
            </w:tcMar>
          </w:tcPr>
          <w:p w:rsidR="00000000" w:rsidRPr="00FC4234" w:rsidP="00FC4234">
            <w:pPr>
              <w:pStyle w:val="BodyText"/>
            </w:pPr>
            <w:r w:rsidRPr="00FC4234">
              <w:t>chemicals</w:t>
            </w:r>
          </w:p>
          <w:p w:rsidR="00000000" w:rsidRPr="00FC4234" w:rsidP="00FC4234">
            <w:pPr>
              <w:pStyle w:val="BodyText"/>
            </w:pPr>
            <w:r w:rsidRPr="00FC4234">
              <w:t>dangerous or hazardous substances</w:t>
            </w:r>
          </w:p>
          <w:p w:rsidR="00000000" w:rsidP="00FC4234">
            <w:pPr>
              <w:pStyle w:val="BodyText"/>
              <w:rPr>
                <w:lang w:val="en-NZ"/>
              </w:rPr>
            </w:pPr>
            <w:r w:rsidRPr="00FC4234">
              <w:t xml:space="preserve">movements of equipment, goods, materials and vehicular traffic </w:t>
            </w:r>
          </w:p>
        </w:tc>
      </w:tr>
      <w:tr w:rsidTr="006313A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C4234">
            <w:pPr>
              <w:pStyle w:val="BodyText"/>
              <w:rPr>
                <w:lang w:val="en-NZ"/>
              </w:rPr>
            </w:pPr>
            <w:r w:rsidRPr="00FC4234">
              <w:t xml:space="preserve">Personal protective equipment may include: </w:t>
            </w:r>
          </w:p>
        </w:tc>
        <w:tc>
          <w:tcPr>
            <w:tcW w:w="4500" w:type="dxa"/>
            <w:tcBorders>
              <w:top w:val="nil"/>
              <w:left w:val="nil"/>
              <w:bottom w:val="nil"/>
              <w:right w:val="nil"/>
            </w:tcBorders>
            <w:tcMar>
              <w:top w:w="0" w:type="dxa"/>
              <w:left w:w="62" w:type="dxa"/>
              <w:bottom w:w="0" w:type="dxa"/>
              <w:right w:w="62" w:type="dxa"/>
            </w:tcMar>
          </w:tcPr>
          <w:p w:rsidR="00000000" w:rsidRPr="00FC4234" w:rsidP="00FC4234">
            <w:pPr>
              <w:pStyle w:val="BodyText"/>
            </w:pPr>
            <w:r w:rsidRPr="00FC4234">
              <w:t>gloves</w:t>
            </w:r>
          </w:p>
          <w:p w:rsidR="00000000" w:rsidRPr="00FC4234" w:rsidP="00FC4234">
            <w:pPr>
              <w:pStyle w:val="BodyText"/>
            </w:pPr>
            <w:r w:rsidRPr="00FC4234">
              <w:t>safety headwear and foot</w:t>
            </w:r>
            <w:r w:rsidRPr="00FC4234">
              <w:t>wear</w:t>
            </w:r>
          </w:p>
          <w:p w:rsidR="00000000" w:rsidRPr="00FC4234" w:rsidP="00FC4234">
            <w:pPr>
              <w:pStyle w:val="BodyText"/>
            </w:pPr>
            <w:r w:rsidRPr="00FC4234">
              <w:t>safety glasses</w:t>
            </w:r>
          </w:p>
          <w:p w:rsidR="00000000" w:rsidRPr="00FC4234" w:rsidP="00FC4234">
            <w:pPr>
              <w:pStyle w:val="BodyText"/>
            </w:pPr>
            <w:r w:rsidRPr="00FC4234">
              <w:t>two-way radios</w:t>
            </w:r>
          </w:p>
          <w:p w:rsidR="00000000" w:rsidRPr="00FC4234" w:rsidP="00FC4234">
            <w:pPr>
              <w:pStyle w:val="BodyText"/>
            </w:pPr>
            <w:r w:rsidRPr="00FC4234">
              <w:t>protective clothing</w:t>
            </w:r>
          </w:p>
          <w:p w:rsidR="00000000" w:rsidP="00FC4234">
            <w:pPr>
              <w:pStyle w:val="BodyText"/>
              <w:rPr>
                <w:lang w:val="en-NZ"/>
              </w:rPr>
            </w:pPr>
            <w:r w:rsidRPr="00FC4234">
              <w:t xml:space="preserve">high visibility clothing </w:t>
            </w:r>
          </w:p>
        </w:tc>
      </w:tr>
      <w:tr w:rsidTr="006313A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C4234">
            <w:pPr>
              <w:pStyle w:val="BodyText"/>
              <w:rPr>
                <w:lang w:val="en-NZ"/>
              </w:rPr>
            </w:pPr>
            <w:r w:rsidRPr="00FC4234">
              <w:t xml:space="preserve">Communication in the work area may include: </w:t>
            </w:r>
          </w:p>
        </w:tc>
        <w:tc>
          <w:tcPr>
            <w:tcW w:w="4500" w:type="dxa"/>
            <w:tcBorders>
              <w:top w:val="nil"/>
              <w:left w:val="nil"/>
              <w:bottom w:val="nil"/>
              <w:right w:val="nil"/>
            </w:tcBorders>
            <w:tcMar>
              <w:top w:w="0" w:type="dxa"/>
              <w:left w:w="62" w:type="dxa"/>
              <w:bottom w:w="0" w:type="dxa"/>
              <w:right w:w="62" w:type="dxa"/>
            </w:tcMar>
          </w:tcPr>
          <w:p w:rsidR="00000000" w:rsidRPr="00FC4234" w:rsidP="00FC4234">
            <w:pPr>
              <w:pStyle w:val="BodyText"/>
            </w:pPr>
            <w:r w:rsidRPr="00FC4234">
              <w:t>phone</w:t>
            </w:r>
          </w:p>
          <w:p w:rsidR="00000000" w:rsidRPr="00FC4234" w:rsidP="00FC4234">
            <w:pPr>
              <w:pStyle w:val="BodyText"/>
            </w:pPr>
            <w:r w:rsidRPr="00FC4234">
              <w:t>fax</w:t>
            </w:r>
          </w:p>
          <w:p w:rsidR="00000000" w:rsidRPr="00FC4234" w:rsidP="00FC4234">
            <w:pPr>
              <w:pStyle w:val="BodyText"/>
            </w:pPr>
            <w:r w:rsidRPr="00FC4234">
              <w:t>email</w:t>
            </w:r>
          </w:p>
          <w:p w:rsidR="00000000" w:rsidRPr="00FC4234" w:rsidP="00FC4234">
            <w:pPr>
              <w:pStyle w:val="BodyText"/>
            </w:pPr>
            <w:r w:rsidRPr="00FC4234">
              <w:t>electronic data transfer (EDI)</w:t>
            </w:r>
          </w:p>
          <w:p w:rsidR="00000000" w:rsidRPr="00FC4234" w:rsidP="00FC4234">
            <w:pPr>
              <w:pStyle w:val="BodyText"/>
            </w:pPr>
            <w:r w:rsidRPr="00FC4234">
              <w:t>RF systems</w:t>
            </w:r>
          </w:p>
          <w:p w:rsidR="00000000" w:rsidRPr="00FC4234" w:rsidP="00FC4234">
            <w:pPr>
              <w:pStyle w:val="BodyText"/>
            </w:pPr>
            <w:r w:rsidRPr="00FC4234">
              <w:t>radio</w:t>
            </w:r>
          </w:p>
          <w:p w:rsidR="00000000" w:rsidP="00FC4234">
            <w:pPr>
              <w:pStyle w:val="BodyText"/>
              <w:rPr>
                <w:lang w:val="en-NZ"/>
              </w:rPr>
            </w:pPr>
            <w:r w:rsidRPr="00FC4234">
              <w:t xml:space="preserve">oral, aural or signed communications </w:t>
            </w:r>
          </w:p>
        </w:tc>
      </w:tr>
      <w:tr w:rsidTr="006313A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C4234">
            <w:pPr>
              <w:pStyle w:val="BodyText"/>
              <w:rPr>
                <w:lang w:val="en-NZ"/>
              </w:rPr>
            </w:pPr>
            <w:r w:rsidRPr="00FC4234">
              <w:t xml:space="preserve">Personnel in work area may include: </w:t>
            </w:r>
          </w:p>
        </w:tc>
        <w:tc>
          <w:tcPr>
            <w:tcW w:w="4500" w:type="dxa"/>
            <w:tcBorders>
              <w:top w:val="nil"/>
              <w:left w:val="nil"/>
              <w:bottom w:val="nil"/>
              <w:right w:val="nil"/>
            </w:tcBorders>
            <w:tcMar>
              <w:top w:w="0" w:type="dxa"/>
              <w:left w:w="62" w:type="dxa"/>
              <w:bottom w:w="0" w:type="dxa"/>
              <w:right w:w="62" w:type="dxa"/>
            </w:tcMar>
          </w:tcPr>
          <w:p w:rsidR="00000000" w:rsidRPr="00FC4234" w:rsidP="00FC4234">
            <w:pPr>
              <w:pStyle w:val="BodyText"/>
            </w:pPr>
            <w:r w:rsidRPr="00FC4234">
              <w:t>workplace personnel</w:t>
            </w:r>
          </w:p>
          <w:p w:rsidR="00000000" w:rsidRPr="00FC4234" w:rsidP="00FC4234">
            <w:pPr>
              <w:pStyle w:val="BodyText"/>
            </w:pPr>
            <w:r w:rsidRPr="00FC4234">
              <w:t>site visitors</w:t>
            </w:r>
          </w:p>
          <w:p w:rsidR="00000000" w:rsidRPr="00FC4234" w:rsidP="00FC4234">
            <w:pPr>
              <w:pStyle w:val="BodyText"/>
            </w:pPr>
            <w:r w:rsidRPr="00FC4234">
              <w:t>contractors</w:t>
            </w:r>
          </w:p>
          <w:p w:rsidR="00000000" w:rsidP="00FC4234">
            <w:pPr>
              <w:pStyle w:val="BodyText"/>
              <w:rPr>
                <w:lang w:val="en-NZ"/>
              </w:rPr>
            </w:pPr>
            <w:r w:rsidRPr="00FC4234">
              <w:t xml:space="preserve">official representatives </w:t>
            </w:r>
          </w:p>
        </w:tc>
      </w:tr>
      <w:tr w:rsidTr="006313A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C4234">
            <w:pPr>
              <w:pStyle w:val="BodyText"/>
              <w:rPr>
                <w:lang w:val="en-NZ"/>
              </w:rPr>
            </w:pPr>
            <w:r w:rsidRPr="00FC4234">
              <w:t xml:space="preserve">Depending on the type of organisation concerned and the local terminology used, workplace procedures may include: </w:t>
            </w:r>
          </w:p>
        </w:tc>
        <w:tc>
          <w:tcPr>
            <w:tcW w:w="4500" w:type="dxa"/>
            <w:tcBorders>
              <w:top w:val="nil"/>
              <w:left w:val="nil"/>
              <w:bottom w:val="nil"/>
              <w:right w:val="nil"/>
            </w:tcBorders>
            <w:tcMar>
              <w:top w:w="0" w:type="dxa"/>
              <w:left w:w="62" w:type="dxa"/>
              <w:bottom w:w="0" w:type="dxa"/>
              <w:right w:w="62" w:type="dxa"/>
            </w:tcMar>
          </w:tcPr>
          <w:p w:rsidR="00000000" w:rsidRPr="00FC4234" w:rsidP="00FC4234">
            <w:pPr>
              <w:pStyle w:val="BodyText"/>
            </w:pPr>
            <w:r w:rsidRPr="00FC4234">
              <w:t>company procedures</w:t>
            </w:r>
          </w:p>
          <w:p w:rsidR="00000000" w:rsidRPr="00FC4234" w:rsidP="00FC4234">
            <w:pPr>
              <w:pStyle w:val="BodyText"/>
            </w:pPr>
            <w:r w:rsidRPr="00FC4234">
              <w:t>enterprise p</w:t>
            </w:r>
            <w:r w:rsidRPr="00FC4234">
              <w:t>rocedures</w:t>
            </w:r>
          </w:p>
          <w:p w:rsidR="00000000" w:rsidRPr="00FC4234" w:rsidP="00FC4234">
            <w:pPr>
              <w:pStyle w:val="BodyText"/>
            </w:pPr>
            <w:r w:rsidRPr="00FC4234">
              <w:t>organisational procedures</w:t>
            </w:r>
          </w:p>
          <w:p w:rsidR="00000000" w:rsidP="00FC4234">
            <w:pPr>
              <w:pStyle w:val="BodyText"/>
              <w:rPr>
                <w:lang w:val="en-NZ"/>
              </w:rPr>
            </w:pPr>
            <w:r w:rsidRPr="00FC4234">
              <w:t xml:space="preserve">established procedures </w:t>
            </w:r>
          </w:p>
        </w:tc>
      </w:tr>
      <w:tr w:rsidTr="006313A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C4234">
            <w:pPr>
              <w:pStyle w:val="BodyText"/>
              <w:rPr>
                <w:lang w:val="en-NZ"/>
              </w:rPr>
            </w:pPr>
            <w:r w:rsidRPr="00FC4234">
              <w:t xml:space="preserve">Information/documents may include: </w:t>
            </w:r>
          </w:p>
        </w:tc>
        <w:tc>
          <w:tcPr>
            <w:tcW w:w="4500" w:type="dxa"/>
            <w:tcBorders>
              <w:top w:val="nil"/>
              <w:left w:val="nil"/>
              <w:bottom w:val="nil"/>
              <w:right w:val="nil"/>
            </w:tcBorders>
            <w:tcMar>
              <w:top w:w="0" w:type="dxa"/>
              <w:left w:w="62" w:type="dxa"/>
              <w:bottom w:w="0" w:type="dxa"/>
              <w:right w:w="62" w:type="dxa"/>
            </w:tcMar>
          </w:tcPr>
          <w:p w:rsidR="00000000" w:rsidRPr="00FC4234" w:rsidP="00FC4234">
            <w:pPr>
              <w:pStyle w:val="BodyText"/>
            </w:pPr>
            <w:r w:rsidRPr="00FC4234">
              <w:t>goods identification numbers and codes</w:t>
            </w:r>
          </w:p>
          <w:p w:rsidR="00000000" w:rsidRPr="00FC4234" w:rsidP="00FC4234">
            <w:pPr>
              <w:pStyle w:val="BodyText"/>
            </w:pPr>
            <w:r w:rsidRPr="00FC4234">
              <w:t>manifests, bar codes, and container identification/serial number</w:t>
            </w:r>
          </w:p>
          <w:p w:rsidR="00000000" w:rsidRPr="00FC4234" w:rsidP="00FC4234">
            <w:pPr>
              <w:pStyle w:val="BodyText"/>
            </w:pPr>
            <w:r w:rsidRPr="00FC4234">
              <w:t>Australian and international codes of</w:t>
            </w:r>
            <w:r w:rsidRPr="00FC4234">
              <w:t xml:space="preserve"> practice and regulations relevant to the transfer of cargo</w:t>
            </w:r>
          </w:p>
          <w:p w:rsidR="00000000" w:rsidRPr="00FC4234" w:rsidP="00FC4234">
            <w:pPr>
              <w:pStyle w:val="BodyText"/>
            </w:pPr>
            <w:r w:rsidRPr="00FC4234">
              <w:t>Australian and international regulations and codes of practice for the handling and transport of dangerous goods and hazardous substances</w:t>
            </w:r>
          </w:p>
          <w:p w:rsidR="00000000" w:rsidRPr="00FC4234" w:rsidP="00FC4234">
            <w:pPr>
              <w:pStyle w:val="BodyText"/>
            </w:pPr>
            <w:r w:rsidRPr="00FC4234">
              <w:t>operations manuals, job specifications and induction docum</w:t>
            </w:r>
            <w:r w:rsidRPr="00FC4234">
              <w:t>entation</w:t>
            </w:r>
          </w:p>
          <w:p w:rsidR="00000000" w:rsidRPr="00FC4234" w:rsidP="00FC4234">
            <w:pPr>
              <w:pStyle w:val="BodyText"/>
            </w:pPr>
            <w:r w:rsidRPr="00FC4234">
              <w:t>manufacturers specifications for equipment</w:t>
            </w:r>
          </w:p>
          <w:p w:rsidR="00000000" w:rsidRPr="00FC4234" w:rsidP="00FC4234">
            <w:pPr>
              <w:pStyle w:val="BodyText"/>
            </w:pPr>
            <w:r w:rsidRPr="00FC4234">
              <w:t>workplace procedures and policies</w:t>
            </w:r>
          </w:p>
          <w:p w:rsidR="00000000" w:rsidRPr="00FC4234" w:rsidP="00FC4234">
            <w:pPr>
              <w:pStyle w:val="BodyText"/>
            </w:pPr>
            <w:r w:rsidRPr="00FC4234">
              <w:t>supplier and/or client instructions</w:t>
            </w:r>
          </w:p>
          <w:p w:rsidR="00000000" w:rsidRPr="00FC4234" w:rsidP="00FC4234">
            <w:pPr>
              <w:pStyle w:val="BodyText"/>
            </w:pPr>
            <w:r w:rsidRPr="00FC4234">
              <w:t>dangerous goods declarations and material safety data sheets (where applicable)</w:t>
            </w:r>
          </w:p>
          <w:p w:rsidR="00000000" w:rsidRPr="00FC4234" w:rsidP="00FC4234">
            <w:pPr>
              <w:pStyle w:val="BodyText"/>
            </w:pPr>
            <w:r w:rsidRPr="00FC4234">
              <w:t>award, enterprise bargaining agreement, other industri</w:t>
            </w:r>
            <w:r w:rsidRPr="00FC4234">
              <w:t>al arrangements</w:t>
            </w:r>
          </w:p>
          <w:p w:rsidR="00000000" w:rsidRPr="00FC4234" w:rsidP="00FC4234">
            <w:pPr>
              <w:pStyle w:val="BodyText"/>
            </w:pPr>
            <w:r w:rsidRPr="00FC4234">
              <w:t>relevant Australian standards and certification requirements</w:t>
            </w:r>
          </w:p>
          <w:p w:rsidR="00000000" w:rsidRPr="00FC4234" w:rsidP="00FC4234">
            <w:pPr>
              <w:pStyle w:val="BodyText"/>
            </w:pPr>
            <w:r w:rsidRPr="00FC4234">
              <w:t>quality assurance procedures</w:t>
            </w:r>
          </w:p>
          <w:p w:rsidR="00000000" w:rsidP="00FC4234">
            <w:pPr>
              <w:pStyle w:val="BodyText"/>
              <w:rPr>
                <w:lang w:val="en-NZ"/>
              </w:rPr>
            </w:pPr>
            <w:r w:rsidRPr="00FC4234">
              <w:t xml:space="preserve">emergency procedures </w:t>
            </w:r>
          </w:p>
        </w:tc>
      </w:tr>
      <w:tr w:rsidTr="006313A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C4234">
            <w:pPr>
              <w:pStyle w:val="BodyText"/>
              <w:rPr>
                <w:lang w:val="en-NZ"/>
              </w:rPr>
            </w:pPr>
            <w:r w:rsidRPr="00FC4234">
              <w:t xml:space="preserve">Applicable regulations and legislation may include: </w:t>
            </w:r>
          </w:p>
        </w:tc>
        <w:tc>
          <w:tcPr>
            <w:tcW w:w="4500" w:type="dxa"/>
            <w:tcBorders>
              <w:top w:val="nil"/>
              <w:left w:val="nil"/>
              <w:bottom w:val="nil"/>
              <w:right w:val="nil"/>
            </w:tcBorders>
            <w:tcMar>
              <w:top w:w="0" w:type="dxa"/>
              <w:left w:w="62" w:type="dxa"/>
              <w:bottom w:w="0" w:type="dxa"/>
              <w:right w:w="62" w:type="dxa"/>
            </w:tcMar>
          </w:tcPr>
          <w:p w:rsidR="00000000" w:rsidRPr="00FC4234" w:rsidP="00FC4234">
            <w:pPr>
              <w:pStyle w:val="BodyText"/>
            </w:pPr>
            <w:r w:rsidRPr="00FC4234">
              <w:t>relevant codes and regulations for the transfer of cargo/freight</w:t>
            </w:r>
          </w:p>
          <w:p w:rsidR="00000000" w:rsidRPr="00FC4234" w:rsidP="00FC4234">
            <w:pPr>
              <w:pStyle w:val="BodyText"/>
            </w:pPr>
            <w:r w:rsidRPr="00FC4234">
              <w:t>Australia</w:t>
            </w:r>
            <w:r w:rsidRPr="00FC4234">
              <w:t xml:space="preserve">n and international regulations and codes of practice for the handling and transport of dangerous goods and hazardous substances, including:   </w:t>
            </w:r>
          </w:p>
          <w:p w:rsidR="00000000" w:rsidRPr="00FC4234" w:rsidP="00FC4234">
            <w:pPr>
              <w:pStyle w:val="BodyText"/>
            </w:pPr>
            <w:r w:rsidRPr="00FC4234">
              <w:t>Australian and International Dangerous Goods Codes</w:t>
            </w:r>
          </w:p>
          <w:p w:rsidR="00000000" w:rsidRPr="00FC4234" w:rsidP="00FC4234">
            <w:pPr>
              <w:pStyle w:val="BodyText"/>
            </w:pPr>
            <w:r w:rsidRPr="00FC4234">
              <w:t>Australian Marine Orders and the International Maritime Dange</w:t>
            </w:r>
            <w:r w:rsidRPr="00FC4234">
              <w:t>rous Goods Code</w:t>
            </w:r>
          </w:p>
          <w:p w:rsidR="00000000" w:rsidRPr="00FC4234" w:rsidP="00FC4234">
            <w:pPr>
              <w:pStyle w:val="BodyText"/>
            </w:pPr>
            <w:r w:rsidRPr="00FC4234">
              <w:t>IATA Dangerous Goods by Air regulations</w:t>
            </w:r>
          </w:p>
          <w:p w:rsidR="00000000" w:rsidRPr="00FC4234" w:rsidP="00FC4234">
            <w:pPr>
              <w:pStyle w:val="BodyText"/>
            </w:pPr>
            <w:r w:rsidRPr="00FC4234">
              <w:t>Australian and International Explosives Codes</w:t>
            </w:r>
          </w:p>
          <w:p w:rsidR="00000000" w:rsidRPr="00FC4234" w:rsidP="00FC4234">
            <w:pPr>
              <w:pStyle w:val="BodyText"/>
            </w:pPr>
          </w:p>
          <w:p w:rsidR="00000000" w:rsidRPr="00FC4234" w:rsidP="00FC4234">
            <w:pPr>
              <w:pStyle w:val="BodyText"/>
            </w:pPr>
            <w:r w:rsidRPr="00FC4234">
              <w:t xml:space="preserve">licence, patent or copyright arrangements  </w:t>
            </w:r>
          </w:p>
          <w:p w:rsidR="00000000" w:rsidRPr="00FC4234" w:rsidP="00FC4234">
            <w:pPr>
              <w:pStyle w:val="BodyText"/>
            </w:pPr>
            <w:r w:rsidRPr="00FC4234">
              <w:t>water and road use and licence arrangements</w:t>
            </w:r>
          </w:p>
          <w:p w:rsidR="00000000" w:rsidRPr="00FC4234" w:rsidP="00FC4234">
            <w:pPr>
              <w:pStyle w:val="BodyText"/>
            </w:pPr>
            <w:r w:rsidRPr="00FC4234">
              <w:t>export/import/quarantine/bond requirements</w:t>
            </w:r>
          </w:p>
          <w:p w:rsidR="00000000" w:rsidRPr="00FC4234" w:rsidP="00FC4234">
            <w:pPr>
              <w:pStyle w:val="BodyText"/>
            </w:pPr>
            <w:r w:rsidRPr="00FC4234">
              <w:t>marine orders</w:t>
            </w:r>
          </w:p>
          <w:p w:rsidR="00000000" w:rsidRPr="00FC4234" w:rsidP="00FC4234">
            <w:pPr>
              <w:pStyle w:val="BodyText"/>
            </w:pPr>
            <w:r w:rsidRPr="00FC4234">
              <w:t>relevant state/territory OH&amp;S and environmental protection legislation</w:t>
            </w:r>
          </w:p>
          <w:p w:rsidR="00000000" w:rsidRPr="00FC4234" w:rsidP="00FC4234">
            <w:pPr>
              <w:pStyle w:val="BodyText"/>
            </w:pPr>
            <w:r w:rsidRPr="00FC4234">
              <w:t>workplace relations regulations</w:t>
            </w:r>
          </w:p>
          <w:p w:rsidR="00000000" w:rsidRPr="00FC4234" w:rsidP="00FC4234">
            <w:pPr>
              <w:pStyle w:val="BodyText"/>
            </w:pPr>
            <w:r w:rsidRPr="00FC4234">
              <w:t xml:space="preserve">workers compensation regulations </w:t>
            </w:r>
          </w:p>
        </w:tc>
      </w:tr>
    </w:tbl>
    <w:p w:rsidR="00000000" w:rsidRPr="00FC4234" w:rsidP="00FC4234">
      <w:pPr>
        <w:pStyle w:val="BodyText"/>
      </w:pPr>
    </w:p>
    <w:p w:rsidR="00000000" w:rsidRPr="00FC4234" w:rsidP="00FC4234">
      <w:pPr>
        <w:pStyle w:val="AllowPageBreak"/>
      </w:pPr>
    </w:p>
    <w:p w:rsidR="00000000" w:rsidRPr="00FC4234" w:rsidP="00FC4234">
      <w:pPr>
        <w:pStyle w:val="Heading1"/>
      </w:pPr>
      <w:bookmarkStart w:id="12" w:name="O_315902"/>
      <w:bookmarkEnd w:id="12"/>
      <w:r w:rsidRPr="00FC4234">
        <w:t>Unit Sector(s)</w:t>
      </w:r>
    </w:p>
    <w:p w:rsidR="00000000" w:rsidRPr="00FC4234" w:rsidP="00FC4234">
      <w:pPr>
        <w:pStyle w:val="BodyText"/>
      </w:pPr>
      <w:r w:rsidRPr="00FC4234">
        <w:t>Not applicable.</w:t>
      </w:r>
    </w:p>
    <w:p w:rsidR="00000000" w:rsidRPr="00FC4234" w:rsidP="00FC4234">
      <w:pPr>
        <w:pStyle w:val="AllowPageBreak"/>
      </w:pPr>
    </w:p>
    <w:p w:rsidR="00000000" w:rsidRPr="00FC4234" w:rsidP="00FC4234">
      <w:pPr>
        <w:pStyle w:val="Heading1"/>
      </w:pPr>
      <w:bookmarkStart w:id="13" w:name="O_315903"/>
      <w:bookmarkEnd w:id="13"/>
      <w:r w:rsidRPr="00FC4234">
        <w:t xml:space="preserve">Competency Field </w:t>
      </w:r>
    </w:p>
    <w:p w:rsidR="00000000" w:rsidRPr="00FC4234" w:rsidP="00FC4234">
      <w:pPr>
        <w:pStyle w:val="BodyText"/>
      </w:pPr>
      <w:r w:rsidRPr="00FC4234">
        <w:t>A - Handling Cargo/Stock</w:t>
      </w:r>
    </w:p>
    <w:p w:rsidR="00000000" w:rsidRPr="00FC4234" w:rsidP="00FC4234"/>
    <w:sectPr w:rsidSect="00FC423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423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313AA" w:rsidP="006313A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423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3AA" w:rsidP="00FC423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6313AA" w:rsidP="00FC423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6313AA" w:rsidP="00FC423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423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313AA" w:rsidP="006313A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423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3AA" w:rsidP="00FC4234">
    <w:pPr>
      <w:pStyle w:val="Header"/>
      <w:framePr w:wrap="around"/>
    </w:pPr>
    <w:r>
      <w:fldChar w:fldCharType="begin"/>
    </w:r>
    <w:r>
      <w:instrText xml:space="preserve"> TITLE   \* MERGEFORMAT </w:instrText>
    </w:r>
    <w:r>
      <w:fldChar w:fldCharType="separate"/>
    </w:r>
    <w:r>
      <w:t>TLIA807C Transfer cargo</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313AA" w:rsidP="00FC423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423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C4234"/>
    <w:pPr>
      <w:spacing w:before="360" w:after="60"/>
      <w:outlineLvl w:val="0"/>
    </w:pPr>
    <w:rPr>
      <w:sz w:val="32"/>
    </w:rPr>
  </w:style>
  <w:style w:type="paragraph" w:styleId="Heading2">
    <w:name w:val="heading 2"/>
    <w:basedOn w:val="HeadingBase"/>
    <w:next w:val="BodyText"/>
    <w:link w:val="Heading2Char"/>
    <w:qFormat/>
    <w:rsid w:val="00FC4234"/>
    <w:pPr>
      <w:keepLines/>
      <w:spacing w:before="240" w:after="120"/>
      <w:outlineLvl w:val="1"/>
    </w:pPr>
    <w:rPr>
      <w:sz w:val="28"/>
      <w:szCs w:val="40"/>
    </w:rPr>
  </w:style>
  <w:style w:type="paragraph" w:styleId="Heading3">
    <w:name w:val="heading 3"/>
    <w:basedOn w:val="HeadingBase"/>
    <w:next w:val="BodyText"/>
    <w:link w:val="Heading3Char"/>
    <w:qFormat/>
    <w:rsid w:val="00FC4234"/>
    <w:pPr>
      <w:spacing w:before="180" w:after="120"/>
      <w:outlineLvl w:val="2"/>
    </w:pPr>
    <w:rPr>
      <w:spacing w:val="-10"/>
      <w:kern w:val="32"/>
    </w:rPr>
  </w:style>
  <w:style w:type="paragraph" w:styleId="Heading4">
    <w:name w:val="heading 4"/>
    <w:basedOn w:val="HeadingBase"/>
    <w:next w:val="BodyText"/>
    <w:link w:val="Heading4Char"/>
    <w:qFormat/>
    <w:rsid w:val="00FC4234"/>
    <w:pPr>
      <w:spacing w:before="160" w:after="120"/>
      <w:outlineLvl w:val="3"/>
    </w:pPr>
    <w:rPr>
      <w:sz w:val="22"/>
    </w:rPr>
  </w:style>
  <w:style w:type="paragraph" w:styleId="Heading5">
    <w:name w:val="heading 5"/>
    <w:basedOn w:val="HeadingBase"/>
    <w:next w:val="Normal"/>
    <w:link w:val="Heading5Char"/>
    <w:qFormat/>
    <w:rsid w:val="00FC4234"/>
    <w:pPr>
      <w:spacing w:before="80"/>
      <w:outlineLvl w:val="4"/>
    </w:pPr>
    <w:rPr>
      <w:color w:val="918585"/>
      <w:sz w:val="20"/>
    </w:rPr>
  </w:style>
  <w:style w:type="paragraph" w:styleId="Heading6">
    <w:name w:val="heading 6"/>
    <w:basedOn w:val="HeadingBase"/>
    <w:next w:val="Normal"/>
    <w:link w:val="Heading6Char"/>
    <w:qFormat/>
    <w:rsid w:val="00FC4234"/>
    <w:pPr>
      <w:spacing w:before="60"/>
      <w:outlineLvl w:val="5"/>
    </w:pPr>
    <w:rPr>
      <w:color w:val="918585"/>
      <w:sz w:val="20"/>
    </w:rPr>
  </w:style>
  <w:style w:type="paragraph" w:styleId="Heading7">
    <w:name w:val="heading 7"/>
    <w:basedOn w:val="Normal"/>
    <w:next w:val="Normal"/>
    <w:link w:val="Heading7Char"/>
    <w:qFormat/>
    <w:rsid w:val="00FC4234"/>
    <w:pPr>
      <w:ind w:left="720"/>
      <w:outlineLvl w:val="6"/>
    </w:pPr>
    <w:rPr>
      <w:i/>
    </w:rPr>
  </w:style>
  <w:style w:type="paragraph" w:styleId="Heading8">
    <w:name w:val="heading 8"/>
    <w:basedOn w:val="Normal"/>
    <w:next w:val="Normal"/>
    <w:link w:val="Heading8Char"/>
    <w:qFormat/>
    <w:rsid w:val="00FC4234"/>
    <w:pPr>
      <w:ind w:left="720"/>
      <w:outlineLvl w:val="7"/>
    </w:pPr>
    <w:rPr>
      <w:i/>
    </w:rPr>
  </w:style>
  <w:style w:type="paragraph" w:styleId="Heading9">
    <w:name w:val="heading 9"/>
    <w:basedOn w:val="Normal"/>
    <w:next w:val="Normal"/>
    <w:link w:val="Heading9Char"/>
    <w:qFormat/>
    <w:rsid w:val="00FC4234"/>
    <w:pPr>
      <w:ind w:left="720"/>
      <w:outlineLvl w:val="8"/>
    </w:pPr>
    <w:rPr>
      <w:i/>
    </w:rPr>
  </w:style>
  <w:style w:type="character" w:default="1" w:styleId="DefaultParagraphFont">
    <w:name w:val="Default Paragraph Font"/>
    <w:uiPriority w:val="1"/>
    <w:unhideWhenUsed/>
    <w:rsid w:val="00FC423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C4234"/>
  </w:style>
  <w:style w:type="character" w:customStyle="1" w:styleId="Heading1Char">
    <w:name w:val="Heading 1 Char"/>
    <w:basedOn w:val="DefaultParagraphFont"/>
    <w:link w:val="Heading1"/>
    <w:rsid w:val="00FC4234"/>
    <w:rPr>
      <w:rFonts w:ascii="Times New Roman" w:eastAsia="Times New Roman" w:hAnsi="Times New Roman" w:cs="Times New Roman"/>
      <w:b/>
      <w:sz w:val="32"/>
      <w:szCs w:val="20"/>
      <w:lang w:eastAsia="en-US"/>
    </w:rPr>
  </w:style>
  <w:style w:type="paragraph" w:styleId="BodyText">
    <w:name w:val="Body Text"/>
    <w:basedOn w:val="Normal"/>
    <w:link w:val="BodyTextChar"/>
    <w:rsid w:val="00FC423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C4234"/>
    <w:rPr>
      <w:rFonts w:ascii="Times New Roman" w:eastAsia="Times New Roman" w:hAnsi="Times New Roman" w:cs="Times New Roman"/>
      <w:sz w:val="24"/>
      <w:lang w:val="en-US" w:eastAsia="en-US"/>
    </w:rPr>
  </w:style>
  <w:style w:type="paragraph" w:styleId="Footer">
    <w:name w:val="footer"/>
    <w:basedOn w:val="Normal"/>
    <w:link w:val="FooterChar"/>
    <w:rsid w:val="00FC423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C4234"/>
    <w:rPr>
      <w:rFonts w:ascii="Times New Roman" w:eastAsia="Times New Roman" w:hAnsi="Times New Roman" w:cs="Times New Roman"/>
      <w:sz w:val="16"/>
      <w:lang w:val="en-US" w:eastAsia="en-US"/>
    </w:rPr>
  </w:style>
  <w:style w:type="character" w:customStyle="1" w:styleId="SpecialBold">
    <w:name w:val="Special Bold"/>
    <w:basedOn w:val="DefaultParagraphFont"/>
    <w:rsid w:val="00FC4234"/>
    <w:rPr>
      <w:b/>
      <w:spacing w:val="0"/>
    </w:rPr>
  </w:style>
  <w:style w:type="paragraph" w:styleId="Header">
    <w:name w:val="header"/>
    <w:basedOn w:val="Normal"/>
    <w:link w:val="HeaderChar"/>
    <w:rsid w:val="00FC423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C423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C4234"/>
    <w:pPr>
      <w:spacing w:before="240" w:after="120"/>
      <w:outlineLvl w:val="0"/>
    </w:pPr>
    <w:rPr>
      <w:rFonts w:ascii="Times New Roman" w:hAnsi="Times New Roman"/>
      <w:b/>
      <w:sz w:val="28"/>
    </w:rPr>
  </w:style>
  <w:style w:type="paragraph" w:customStyle="1" w:styleId="AllowPageBreak">
    <w:name w:val="AllowPageBreak"/>
    <w:rsid w:val="00FC423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C423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C423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C423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C423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C423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C423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C423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C4234"/>
    <w:rPr>
      <w:rFonts w:ascii="Courier New" w:eastAsia="Times New Roman" w:hAnsi="Courier New" w:cs="Times New Roman"/>
      <w:i/>
      <w:szCs w:val="20"/>
      <w:lang w:val="en-US" w:eastAsia="en-US"/>
    </w:rPr>
  </w:style>
  <w:style w:type="paragraph" w:customStyle="1" w:styleId="HeadingBase">
    <w:name w:val="Heading Base"/>
    <w:rsid w:val="00FC423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C4234"/>
    <w:pPr>
      <w:tabs>
        <w:tab w:val="right" w:leader="dot" w:pos="9072"/>
      </w:tabs>
      <w:ind w:left="567"/>
    </w:pPr>
    <w:rPr>
      <w:szCs w:val="22"/>
    </w:rPr>
  </w:style>
  <w:style w:type="paragraph" w:customStyle="1" w:styleId="TOCBase">
    <w:name w:val="TOC Base"/>
    <w:rsid w:val="00FC423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C4234"/>
    <w:pPr>
      <w:tabs>
        <w:tab w:val="right" w:leader="dot" w:pos="9072"/>
      </w:tabs>
      <w:spacing w:before="40" w:after="40"/>
      <w:ind w:left="284"/>
    </w:pPr>
    <w:rPr>
      <w:rFonts w:ascii="Times New Roman" w:hAnsi="Times New Roman"/>
    </w:rPr>
  </w:style>
  <w:style w:type="paragraph" w:styleId="TOC1">
    <w:name w:val="toc 1"/>
    <w:basedOn w:val="TOCBase"/>
    <w:next w:val="Normal"/>
    <w:rsid w:val="00FC423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C4234"/>
    <w:pPr>
      <w:spacing w:before="5040"/>
      <w:jc w:val="center"/>
    </w:pPr>
    <w:rPr>
      <w:sz w:val="48"/>
      <w:szCs w:val="72"/>
      <w:lang w:val="en-US"/>
    </w:rPr>
  </w:style>
  <w:style w:type="character" w:customStyle="1" w:styleId="TitleChar">
    <w:name w:val="Title Char"/>
    <w:basedOn w:val="DefaultParagraphFont"/>
    <w:link w:val="Title"/>
    <w:rsid w:val="00FC423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C4234"/>
    <w:pPr>
      <w:tabs>
        <w:tab w:val="left" w:pos="3600"/>
        <w:tab w:val="left" w:pos="3958"/>
      </w:tabs>
    </w:pPr>
  </w:style>
  <w:style w:type="paragraph" w:styleId="List">
    <w:name w:val="List"/>
    <w:basedOn w:val="BodyText"/>
    <w:next w:val="BodyText"/>
    <w:rsid w:val="00FC4234"/>
    <w:pPr>
      <w:tabs>
        <w:tab w:val="left" w:pos="340"/>
      </w:tabs>
      <w:spacing w:before="60" w:after="60"/>
      <w:ind w:left="340" w:hanging="340"/>
    </w:pPr>
  </w:style>
  <w:style w:type="paragraph" w:styleId="ListBullet">
    <w:name w:val="List Bullet"/>
    <w:basedOn w:val="List"/>
    <w:rsid w:val="00FC4234"/>
    <w:pPr>
      <w:numPr>
        <w:numId w:val="11"/>
      </w:numPr>
      <w:tabs>
        <w:tab w:val="clear" w:pos="340"/>
      </w:tabs>
      <w:spacing w:before="40" w:after="40"/>
    </w:pPr>
  </w:style>
  <w:style w:type="paragraph" w:customStyle="1" w:styleId="Note">
    <w:name w:val="Note"/>
    <w:basedOn w:val="BodyText"/>
    <w:rsid w:val="00FC423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C4234"/>
    <w:pPr>
      <w:framePr w:wrap="auto" w:hAnchor="text" w:y="6049"/>
    </w:pPr>
    <w:rPr>
      <w:color w:val="000000"/>
      <w:sz w:val="40"/>
    </w:rPr>
  </w:style>
  <w:style w:type="paragraph" w:customStyle="1" w:styleId="TOCTitle">
    <w:name w:val="TOCTitle"/>
    <w:basedOn w:val="Heading1"/>
    <w:rsid w:val="00FC4234"/>
    <w:pPr>
      <w:spacing w:after="240"/>
      <w:jc w:val="center"/>
      <w:outlineLvl w:val="9"/>
    </w:pPr>
    <w:rPr>
      <w:caps/>
    </w:rPr>
  </w:style>
  <w:style w:type="paragraph" w:customStyle="1" w:styleId="Version">
    <w:name w:val="Version"/>
    <w:rsid w:val="00FC423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C4234"/>
    <w:pPr>
      <w:numPr>
        <w:numId w:val="12"/>
      </w:numPr>
      <w:tabs>
        <w:tab w:val="clear" w:pos="680"/>
      </w:tabs>
    </w:pPr>
  </w:style>
  <w:style w:type="paragraph" w:styleId="Index1">
    <w:name w:val="index 1"/>
    <w:basedOn w:val="Normal"/>
    <w:next w:val="Normal"/>
    <w:semiHidden/>
    <w:rsid w:val="00FC4234"/>
    <w:pPr>
      <w:keepNext w:val="0"/>
      <w:tabs>
        <w:tab w:val="right" w:pos="4176"/>
      </w:tabs>
      <w:ind w:left="198" w:hanging="198"/>
    </w:pPr>
    <w:rPr>
      <w:rFonts w:ascii="Garamond" w:hAnsi="Garamond"/>
    </w:rPr>
  </w:style>
  <w:style w:type="paragraph" w:styleId="IndexHeading">
    <w:name w:val="index heading"/>
    <w:basedOn w:val="Normal"/>
    <w:next w:val="Index1"/>
    <w:semiHidden/>
    <w:rsid w:val="00FC4234"/>
    <w:pPr>
      <w:spacing w:before="120" w:after="120"/>
    </w:pPr>
    <w:rPr>
      <w:rFonts w:ascii="Arial" w:hAnsi="Arial"/>
      <w:b/>
      <w:color w:val="918585"/>
      <w:sz w:val="24"/>
    </w:rPr>
  </w:style>
  <w:style w:type="paragraph" w:customStyle="1" w:styleId="Chapter">
    <w:name w:val="Chapter"/>
    <w:basedOn w:val="Normal"/>
    <w:rsid w:val="00FC4234"/>
    <w:pPr>
      <w:spacing w:before="240"/>
    </w:pPr>
    <w:rPr>
      <w:rFonts w:ascii="Times New Roman" w:hAnsi="Times New Roman"/>
      <w:smallCaps/>
      <w:spacing w:val="80"/>
      <w:sz w:val="28"/>
    </w:rPr>
  </w:style>
  <w:style w:type="paragraph" w:customStyle="1" w:styleId="InChapter">
    <w:name w:val="InChapter"/>
    <w:basedOn w:val="Heading3"/>
    <w:rsid w:val="00FC4234"/>
    <w:pPr>
      <w:spacing w:after="240"/>
      <w:outlineLvl w:val="9"/>
    </w:pPr>
    <w:rPr>
      <w:noProof/>
    </w:rPr>
  </w:style>
  <w:style w:type="paragraph" w:styleId="Index2">
    <w:name w:val="index 2"/>
    <w:basedOn w:val="Normal"/>
    <w:next w:val="Normal"/>
    <w:semiHidden/>
    <w:rsid w:val="00FC4234"/>
    <w:pPr>
      <w:tabs>
        <w:tab w:val="right" w:pos="4176"/>
      </w:tabs>
      <w:ind w:left="568" w:hanging="284"/>
    </w:pPr>
    <w:rPr>
      <w:rFonts w:ascii="Garamond" w:hAnsi="Garamond"/>
    </w:rPr>
  </w:style>
  <w:style w:type="paragraph" w:customStyle="1" w:styleId="Byline">
    <w:name w:val="Byline"/>
    <w:rsid w:val="00FC423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C4234"/>
    <w:pPr>
      <w:tabs>
        <w:tab w:val="clear" w:pos="3600"/>
        <w:tab w:val="clear" w:pos="3958"/>
      </w:tabs>
      <w:jc w:val="right"/>
    </w:pPr>
  </w:style>
  <w:style w:type="character" w:styleId="Emphasis">
    <w:name w:val="Emphasis"/>
    <w:basedOn w:val="DefaultParagraphFont"/>
    <w:qFormat/>
    <w:rsid w:val="00FC4234"/>
    <w:rPr>
      <w:i/>
    </w:rPr>
  </w:style>
  <w:style w:type="paragraph" w:styleId="Caption">
    <w:name w:val="caption"/>
    <w:basedOn w:val="BodyText"/>
    <w:next w:val="Normal"/>
    <w:qFormat/>
    <w:rsid w:val="00FC4234"/>
    <w:pPr>
      <w:framePr w:w="2268" w:hSpace="181" w:vSpace="181" w:wrap="around" w:vAnchor="text" w:hAnchor="page" w:x="1135" w:y="285" w:anchorLock="1"/>
    </w:pPr>
    <w:rPr>
      <w:i/>
    </w:rPr>
  </w:style>
  <w:style w:type="paragraph" w:customStyle="1" w:styleId="MiniTOCTitle">
    <w:name w:val="MiniTOCTitle"/>
    <w:basedOn w:val="Heading4"/>
    <w:rsid w:val="00FC4234"/>
    <w:pPr>
      <w:spacing w:before="240"/>
      <w:outlineLvl w:val="9"/>
    </w:pPr>
    <w:rPr>
      <w:noProof/>
      <w:sz w:val="24"/>
    </w:rPr>
  </w:style>
  <w:style w:type="paragraph" w:customStyle="1" w:styleId="MiniTOCItem">
    <w:name w:val="MiniTOCItem"/>
    <w:basedOn w:val="ListBullet"/>
    <w:rsid w:val="00FC4234"/>
    <w:pPr>
      <w:numPr>
        <w:numId w:val="0"/>
      </w:numPr>
      <w:tabs>
        <w:tab w:val="right" w:leader="dot" w:pos="6521"/>
      </w:tabs>
      <w:spacing w:before="0" w:after="0"/>
    </w:pPr>
  </w:style>
  <w:style w:type="paragraph" w:customStyle="1" w:styleId="TOFTitle">
    <w:name w:val="TOFTitle"/>
    <w:basedOn w:val="TOCTitle"/>
    <w:rsid w:val="00FC4234"/>
  </w:style>
  <w:style w:type="paragraph" w:styleId="TableofFigures">
    <w:name w:val="table of figures"/>
    <w:basedOn w:val="Normal"/>
    <w:next w:val="Normal"/>
    <w:semiHidden/>
    <w:rsid w:val="00FC4234"/>
    <w:pPr>
      <w:tabs>
        <w:tab w:val="right" w:leader="dot" w:pos="9072"/>
      </w:tabs>
      <w:ind w:left="970" w:hanging="403"/>
    </w:pPr>
    <w:rPr>
      <w:rFonts w:ascii="Times New Roman" w:hAnsi="Times New Roman"/>
      <w:b/>
    </w:rPr>
  </w:style>
  <w:style w:type="paragraph" w:styleId="ListNumber">
    <w:name w:val="List Number"/>
    <w:basedOn w:val="List"/>
    <w:rsid w:val="00FC4234"/>
    <w:pPr>
      <w:numPr>
        <w:numId w:val="9"/>
      </w:numPr>
    </w:pPr>
  </w:style>
  <w:style w:type="character" w:customStyle="1" w:styleId="WingdingSymbols">
    <w:name w:val="Wingding Symbols"/>
    <w:rsid w:val="00FC4234"/>
    <w:rPr>
      <w:rFonts w:ascii="Wingdings" w:hAnsi="Wingdings"/>
    </w:rPr>
  </w:style>
  <w:style w:type="paragraph" w:customStyle="1" w:styleId="TableHeading">
    <w:name w:val="Table Heading"/>
    <w:basedOn w:val="HeadingBase"/>
    <w:rsid w:val="00FC4234"/>
    <w:pPr>
      <w:keepLines/>
      <w:pBdr>
        <w:bottom w:val="single" w:sz="6" w:space="1" w:color="918585"/>
      </w:pBdr>
      <w:spacing w:before="240"/>
    </w:pPr>
  </w:style>
  <w:style w:type="character" w:customStyle="1" w:styleId="HotSpot">
    <w:name w:val="HotSpot"/>
    <w:rsid w:val="00FC4234"/>
    <w:rPr>
      <w:color w:val="0033CC"/>
      <w:u w:val="none"/>
    </w:rPr>
  </w:style>
  <w:style w:type="paragraph" w:customStyle="1" w:styleId="BodyTextRight">
    <w:name w:val="Body Text Right"/>
    <w:basedOn w:val="BodyText"/>
    <w:rsid w:val="00FC4234"/>
    <w:pPr>
      <w:spacing w:before="0" w:after="0"/>
      <w:jc w:val="right"/>
    </w:pPr>
  </w:style>
  <w:style w:type="paragraph" w:styleId="Index3">
    <w:name w:val="index 3"/>
    <w:basedOn w:val="ListNumber2"/>
    <w:next w:val="Normal"/>
    <w:semiHidden/>
    <w:rsid w:val="00FC4234"/>
    <w:pPr>
      <w:numPr>
        <w:numId w:val="0"/>
      </w:numPr>
      <w:tabs>
        <w:tab w:val="right" w:leader="dot" w:pos="4176"/>
      </w:tabs>
    </w:pPr>
  </w:style>
  <w:style w:type="paragraph" w:styleId="ListNumber2">
    <w:name w:val="List Number 2"/>
    <w:basedOn w:val="List2"/>
    <w:rsid w:val="00FC4234"/>
    <w:pPr>
      <w:numPr>
        <w:numId w:val="8"/>
      </w:numPr>
      <w:tabs>
        <w:tab w:val="clear" w:pos="1060"/>
      </w:tabs>
    </w:pPr>
  </w:style>
  <w:style w:type="paragraph" w:customStyle="1" w:styleId="MarginNote">
    <w:name w:val="Margin Note"/>
    <w:basedOn w:val="BodyText"/>
    <w:rsid w:val="00FC423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C423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C423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C4234"/>
    <w:rPr>
      <w:sz w:val="32"/>
    </w:rPr>
  </w:style>
  <w:style w:type="paragraph" w:customStyle="1" w:styleId="HeadingProcedure">
    <w:name w:val="Heading Procedure"/>
    <w:basedOn w:val="HeadingBase"/>
    <w:next w:val="Normal"/>
    <w:rsid w:val="00FC4234"/>
    <w:pPr>
      <w:tabs>
        <w:tab w:val="left" w:pos="0"/>
      </w:tabs>
      <w:spacing w:before="120" w:after="60"/>
    </w:pPr>
    <w:rPr>
      <w:i/>
      <w:color w:val="918585"/>
      <w:sz w:val="22"/>
    </w:rPr>
  </w:style>
  <w:style w:type="paragraph" w:customStyle="1" w:styleId="TableBodyText">
    <w:name w:val="Table Body Text"/>
    <w:basedOn w:val="BodyText"/>
    <w:rsid w:val="00FC4234"/>
    <w:pPr>
      <w:spacing w:before="60" w:after="60"/>
    </w:pPr>
  </w:style>
  <w:style w:type="paragraph" w:styleId="ListContinue">
    <w:name w:val="List Continue"/>
    <w:basedOn w:val="List"/>
    <w:rsid w:val="00FC4234"/>
    <w:pPr>
      <w:ind w:firstLine="0"/>
    </w:pPr>
  </w:style>
  <w:style w:type="paragraph" w:customStyle="1" w:styleId="ListNote">
    <w:name w:val="List Note"/>
    <w:basedOn w:val="List"/>
    <w:rsid w:val="00FC4234"/>
    <w:pPr>
      <w:pBdr>
        <w:top w:val="single" w:sz="6" w:space="2" w:color="918585"/>
        <w:bottom w:val="single" w:sz="6" w:space="2" w:color="918585"/>
      </w:pBdr>
      <w:tabs>
        <w:tab w:val="left" w:pos="1021"/>
      </w:tabs>
      <w:ind w:firstLine="0"/>
    </w:pPr>
  </w:style>
  <w:style w:type="paragraph" w:customStyle="1" w:styleId="Warning">
    <w:name w:val="Warning"/>
    <w:basedOn w:val="BodyText"/>
    <w:rsid w:val="00FC4234"/>
    <w:pPr>
      <w:shd w:val="clear" w:color="auto" w:fill="D9D9D9"/>
      <w:tabs>
        <w:tab w:val="left" w:pos="992"/>
      </w:tabs>
      <w:ind w:left="119" w:right="119"/>
    </w:pPr>
    <w:rPr>
      <w:sz w:val="20"/>
    </w:rPr>
  </w:style>
  <w:style w:type="paragraph" w:customStyle="1" w:styleId="MarginIcons">
    <w:name w:val="Margin Icons"/>
    <w:basedOn w:val="BodyText"/>
    <w:rsid w:val="00FC423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C4234"/>
    <w:rPr>
      <w:rFonts w:ascii="Courier New" w:hAnsi="Courier New"/>
    </w:rPr>
  </w:style>
  <w:style w:type="paragraph" w:customStyle="1" w:styleId="NoteBullet">
    <w:name w:val="Note Bullet"/>
    <w:basedOn w:val="Note"/>
    <w:rsid w:val="00FC4234"/>
    <w:pPr>
      <w:tabs>
        <w:tab w:val="clear" w:pos="680"/>
      </w:tabs>
      <w:spacing w:before="60" w:after="60"/>
    </w:pPr>
  </w:style>
  <w:style w:type="paragraph" w:customStyle="1" w:styleId="SubHeading2">
    <w:name w:val="SubHeading2"/>
    <w:basedOn w:val="HeadingBase"/>
    <w:rsid w:val="00FC4234"/>
    <w:pPr>
      <w:spacing w:before="240" w:after="60"/>
    </w:pPr>
    <w:rPr>
      <w:sz w:val="20"/>
    </w:rPr>
  </w:style>
  <w:style w:type="paragraph" w:customStyle="1" w:styleId="SubHeading1">
    <w:name w:val="SubHeading1"/>
    <w:basedOn w:val="HeadingBase"/>
    <w:rsid w:val="00FC4234"/>
    <w:pPr>
      <w:spacing w:before="240" w:after="60"/>
    </w:pPr>
    <w:rPr>
      <w:color w:val="918585"/>
      <w:sz w:val="22"/>
    </w:rPr>
  </w:style>
  <w:style w:type="paragraph" w:customStyle="1" w:styleId="SideHeading">
    <w:name w:val="Side Heading"/>
    <w:basedOn w:val="HeadingBase"/>
    <w:rsid w:val="00FC423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C4234"/>
    <w:pPr>
      <w:numPr>
        <w:numId w:val="10"/>
      </w:numPr>
    </w:pPr>
  </w:style>
  <w:style w:type="paragraph" w:styleId="PlainText">
    <w:name w:val="Plain Text"/>
    <w:basedOn w:val="Normal"/>
    <w:link w:val="PlainTextChar"/>
    <w:rsid w:val="00FC4234"/>
    <w:rPr>
      <w:sz w:val="20"/>
    </w:rPr>
  </w:style>
  <w:style w:type="character" w:customStyle="1" w:styleId="PlainTextChar">
    <w:name w:val="Plain Text Char"/>
    <w:basedOn w:val="DefaultParagraphFont"/>
    <w:link w:val="PlainText"/>
    <w:rsid w:val="00FC423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C4234"/>
    <w:rPr>
      <w:b/>
      <w:smallCaps/>
    </w:rPr>
  </w:style>
  <w:style w:type="paragraph" w:customStyle="1" w:styleId="TableListNumber">
    <w:name w:val="Table List Number"/>
    <w:basedOn w:val="ListNumber"/>
    <w:rsid w:val="00FC4234"/>
    <w:pPr>
      <w:numPr>
        <w:numId w:val="0"/>
      </w:numPr>
    </w:pPr>
  </w:style>
  <w:style w:type="paragraph" w:styleId="TOC4">
    <w:name w:val="toc 4"/>
    <w:basedOn w:val="TOCBase"/>
    <w:next w:val="Normal"/>
    <w:semiHidden/>
    <w:rsid w:val="00FC4234"/>
    <w:pPr>
      <w:tabs>
        <w:tab w:val="right" w:leader="dot" w:pos="9071"/>
      </w:tabs>
      <w:ind w:left="1701"/>
    </w:pPr>
  </w:style>
  <w:style w:type="paragraph" w:customStyle="1" w:styleId="ListAlpha">
    <w:name w:val="List Alpha"/>
    <w:basedOn w:val="List"/>
    <w:rsid w:val="00FC4234"/>
    <w:pPr>
      <w:numPr>
        <w:numId w:val="7"/>
      </w:numPr>
    </w:pPr>
  </w:style>
  <w:style w:type="paragraph" w:customStyle="1" w:styleId="ListAlpha2">
    <w:name w:val="List Alpha 2"/>
    <w:basedOn w:val="List2"/>
    <w:rsid w:val="00FC4234"/>
    <w:pPr>
      <w:numPr>
        <w:numId w:val="6"/>
      </w:numPr>
    </w:pPr>
  </w:style>
  <w:style w:type="paragraph" w:styleId="List2">
    <w:name w:val="List 2"/>
    <w:basedOn w:val="BodyText"/>
    <w:rsid w:val="00FC4234"/>
    <w:pPr>
      <w:tabs>
        <w:tab w:val="left" w:pos="680"/>
      </w:tabs>
      <w:spacing w:before="60" w:after="60"/>
      <w:ind w:left="680" w:hanging="340"/>
    </w:pPr>
  </w:style>
  <w:style w:type="paragraph" w:styleId="List3">
    <w:name w:val="List 3"/>
    <w:basedOn w:val="BodyText"/>
    <w:rsid w:val="00FC4234"/>
    <w:pPr>
      <w:tabs>
        <w:tab w:val="left" w:pos="1021"/>
      </w:tabs>
      <w:spacing w:before="60" w:after="60"/>
      <w:ind w:left="1020" w:hanging="340"/>
    </w:pPr>
  </w:style>
  <w:style w:type="paragraph" w:styleId="List4">
    <w:name w:val="List 4"/>
    <w:basedOn w:val="BodyText"/>
    <w:rsid w:val="00FC4234"/>
    <w:pPr>
      <w:tabs>
        <w:tab w:val="left" w:pos="1361"/>
      </w:tabs>
      <w:spacing w:before="60" w:after="60"/>
      <w:ind w:left="1361" w:hanging="340"/>
    </w:pPr>
  </w:style>
  <w:style w:type="paragraph" w:styleId="List5">
    <w:name w:val="List 5"/>
    <w:basedOn w:val="BodyText"/>
    <w:rsid w:val="00FC4234"/>
    <w:pPr>
      <w:tabs>
        <w:tab w:val="left" w:pos="1701"/>
      </w:tabs>
      <w:spacing w:before="60" w:after="60"/>
      <w:ind w:left="1701" w:hanging="340"/>
    </w:pPr>
  </w:style>
  <w:style w:type="paragraph" w:styleId="ListBullet3">
    <w:name w:val="List Bullet 3"/>
    <w:basedOn w:val="List3"/>
    <w:rsid w:val="00FC4234"/>
    <w:pPr>
      <w:numPr>
        <w:numId w:val="13"/>
      </w:numPr>
      <w:tabs>
        <w:tab w:val="clear" w:pos="1021"/>
      </w:tabs>
      <w:ind w:left="1037" w:hanging="357"/>
    </w:pPr>
  </w:style>
  <w:style w:type="paragraph" w:styleId="ListBullet4">
    <w:name w:val="List Bullet 4"/>
    <w:basedOn w:val="List4"/>
    <w:rsid w:val="00FC4234"/>
    <w:pPr>
      <w:numPr>
        <w:numId w:val="1"/>
      </w:numPr>
    </w:pPr>
  </w:style>
  <w:style w:type="paragraph" w:styleId="ListBullet5">
    <w:name w:val="List Bullet 5"/>
    <w:basedOn w:val="List5"/>
    <w:rsid w:val="00FC4234"/>
    <w:pPr>
      <w:numPr>
        <w:numId w:val="2"/>
      </w:numPr>
    </w:pPr>
  </w:style>
  <w:style w:type="paragraph" w:styleId="ListContinue2">
    <w:name w:val="List Continue 2"/>
    <w:basedOn w:val="List2"/>
    <w:rsid w:val="00FC4234"/>
    <w:pPr>
      <w:ind w:firstLine="0"/>
    </w:pPr>
  </w:style>
  <w:style w:type="paragraph" w:styleId="ListContinue3">
    <w:name w:val="List Continue 3"/>
    <w:basedOn w:val="List3"/>
    <w:rsid w:val="00FC4234"/>
    <w:pPr>
      <w:ind w:left="1021" w:firstLine="0"/>
    </w:pPr>
  </w:style>
  <w:style w:type="paragraph" w:styleId="ListContinue4">
    <w:name w:val="List Continue 4"/>
    <w:basedOn w:val="List4"/>
    <w:rsid w:val="00FC4234"/>
    <w:pPr>
      <w:ind w:firstLine="0"/>
    </w:pPr>
  </w:style>
  <w:style w:type="paragraph" w:styleId="ListContinue5">
    <w:name w:val="List Continue 5"/>
    <w:basedOn w:val="List5"/>
    <w:rsid w:val="00FC4234"/>
    <w:pPr>
      <w:ind w:firstLine="0"/>
    </w:pPr>
  </w:style>
  <w:style w:type="paragraph" w:styleId="ListNumber3">
    <w:name w:val="List Number 3"/>
    <w:basedOn w:val="List3"/>
    <w:rsid w:val="00FC4234"/>
    <w:pPr>
      <w:numPr>
        <w:numId w:val="3"/>
      </w:numPr>
    </w:pPr>
  </w:style>
  <w:style w:type="paragraph" w:styleId="ListNumber4">
    <w:name w:val="List Number 4"/>
    <w:basedOn w:val="List4"/>
    <w:rsid w:val="00FC4234"/>
    <w:pPr>
      <w:numPr>
        <w:numId w:val="4"/>
      </w:numPr>
    </w:pPr>
  </w:style>
  <w:style w:type="paragraph" w:styleId="ListNumber5">
    <w:name w:val="List Number 5"/>
    <w:basedOn w:val="List5"/>
    <w:rsid w:val="00FC4234"/>
    <w:pPr>
      <w:numPr>
        <w:numId w:val="5"/>
      </w:numPr>
    </w:pPr>
  </w:style>
  <w:style w:type="paragraph" w:styleId="BlockText">
    <w:name w:val="Block Text"/>
    <w:basedOn w:val="Normal"/>
    <w:rsid w:val="00FC4234"/>
    <w:pPr>
      <w:spacing w:after="120"/>
      <w:ind w:left="1440" w:right="1440"/>
    </w:pPr>
  </w:style>
  <w:style w:type="character" w:customStyle="1" w:styleId="Subscript">
    <w:name w:val="Subscript"/>
    <w:basedOn w:val="DefaultParagraphFont"/>
    <w:rsid w:val="00FC4234"/>
    <w:rPr>
      <w:sz w:val="16"/>
      <w:vertAlign w:val="subscript"/>
    </w:rPr>
  </w:style>
  <w:style w:type="character" w:customStyle="1" w:styleId="Superscript">
    <w:name w:val="Superscript"/>
    <w:basedOn w:val="DefaultParagraphFont"/>
    <w:rsid w:val="00FC4234"/>
    <w:rPr>
      <w:sz w:val="16"/>
      <w:vertAlign w:val="superscript"/>
    </w:rPr>
  </w:style>
  <w:style w:type="character" w:customStyle="1" w:styleId="Symbols">
    <w:name w:val="Symbols"/>
    <w:basedOn w:val="DefaultParagraphFont"/>
    <w:rsid w:val="00FC4234"/>
    <w:rPr>
      <w:rFonts w:ascii="Symbol" w:hAnsi="Symbol"/>
    </w:rPr>
  </w:style>
  <w:style w:type="character" w:customStyle="1" w:styleId="MenuOptions">
    <w:name w:val="Menu Options"/>
    <w:basedOn w:val="DefaultParagraphFont"/>
    <w:rsid w:val="00FC4234"/>
    <w:rPr>
      <w:rFonts w:ascii="Arial Narrow" w:hAnsi="Arial Narrow"/>
      <w:smallCaps/>
    </w:rPr>
  </w:style>
  <w:style w:type="character" w:customStyle="1" w:styleId="Buttons">
    <w:name w:val="Buttons"/>
    <w:basedOn w:val="DefaultParagraphFont"/>
    <w:rsid w:val="00FC4234"/>
    <w:rPr>
      <w:b/>
    </w:rPr>
  </w:style>
  <w:style w:type="character" w:customStyle="1" w:styleId="Underlined">
    <w:name w:val="Underlined"/>
    <w:basedOn w:val="DefaultParagraphFont"/>
    <w:rsid w:val="00FC4234"/>
    <w:rPr>
      <w:u w:val="single"/>
    </w:rPr>
  </w:style>
  <w:style w:type="paragraph" w:customStyle="1" w:styleId="TableBodyTextRight">
    <w:name w:val="Table Body Text Right"/>
    <w:basedOn w:val="TableBodyText"/>
    <w:rsid w:val="00FC4234"/>
    <w:pPr>
      <w:widowControl w:val="0"/>
      <w:autoSpaceDE w:val="0"/>
      <w:autoSpaceDN w:val="0"/>
      <w:adjustRightInd w:val="0"/>
      <w:jc w:val="right"/>
    </w:pPr>
    <w:rPr>
      <w:rFonts w:cs="Arial"/>
      <w:szCs w:val="18"/>
    </w:rPr>
  </w:style>
  <w:style w:type="paragraph" w:customStyle="1" w:styleId="CopyrightText">
    <w:name w:val="Copyright Text"/>
    <w:basedOn w:val="BodyText"/>
    <w:rsid w:val="00FC4234"/>
    <w:rPr>
      <w:sz w:val="18"/>
    </w:rPr>
  </w:style>
  <w:style w:type="paragraph" w:customStyle="1" w:styleId="BodySmallRight">
    <w:name w:val="Body Small Right"/>
    <w:basedOn w:val="BodyTextRight"/>
    <w:rsid w:val="00FC4234"/>
    <w:rPr>
      <w:sz w:val="18"/>
      <w:szCs w:val="18"/>
    </w:rPr>
  </w:style>
  <w:style w:type="paragraph" w:customStyle="1" w:styleId="MarginEdition">
    <w:name w:val="Margin Edition"/>
    <w:basedOn w:val="MarginNote"/>
    <w:rsid w:val="00FC4234"/>
    <w:pPr>
      <w:spacing w:before="0" w:after="0"/>
    </w:pPr>
    <w:rPr>
      <w:rFonts w:ascii="Times New Roman" w:hAnsi="Times New Roman"/>
      <w:color w:val="999999"/>
    </w:rPr>
  </w:style>
  <w:style w:type="paragraph" w:customStyle="1" w:styleId="Spacer">
    <w:name w:val="Spacer"/>
    <w:basedOn w:val="Normal"/>
    <w:rsid w:val="00FC4234"/>
    <w:rPr>
      <w:sz w:val="2"/>
      <w:szCs w:val="2"/>
    </w:rPr>
  </w:style>
  <w:style w:type="character" w:customStyle="1" w:styleId="Small">
    <w:name w:val="Small"/>
    <w:basedOn w:val="DefaultParagraphFont"/>
    <w:rsid w:val="00FC4234"/>
    <w:rPr>
      <w:sz w:val="16"/>
    </w:rPr>
  </w:style>
  <w:style w:type="paragraph" w:customStyle="1" w:styleId="WideTable">
    <w:name w:val="Wide Table"/>
    <w:basedOn w:val="Normal"/>
    <w:rsid w:val="00FC4234"/>
    <w:pPr>
      <w:ind w:left="-1418"/>
    </w:pPr>
    <w:rPr>
      <w:sz w:val="2"/>
      <w:szCs w:val="2"/>
    </w:rPr>
  </w:style>
  <w:style w:type="character" w:styleId="PageNumber">
    <w:name w:val="page number"/>
    <w:basedOn w:val="DefaultParagraphFont"/>
    <w:rsid w:val="00FC4234"/>
  </w:style>
  <w:style w:type="paragraph" w:styleId="Quote">
    <w:name w:val="Quote"/>
    <w:basedOn w:val="Heading1"/>
    <w:link w:val="QuoteChar"/>
    <w:qFormat/>
    <w:rsid w:val="00FC4234"/>
    <w:rPr>
      <w:b w:val="0"/>
      <w:sz w:val="72"/>
      <w:szCs w:val="72"/>
      <w:lang w:val="en-NZ"/>
    </w:rPr>
  </w:style>
  <w:style w:type="character" w:customStyle="1" w:styleId="QuoteChar">
    <w:name w:val="Quote Char"/>
    <w:basedOn w:val="DefaultParagraphFont"/>
    <w:link w:val="Quote"/>
    <w:rsid w:val="00FC423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C4234"/>
    <w:pPr>
      <w:pageBreakBefore/>
    </w:pPr>
  </w:style>
  <w:style w:type="paragraph" w:customStyle="1" w:styleId="Border">
    <w:name w:val="Border"/>
    <w:basedOn w:val="Normal"/>
    <w:qFormat/>
    <w:rsid w:val="00FC423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C4234"/>
    <w:rPr>
      <w:b/>
      <w:bCs/>
      <w:i/>
      <w:iCs/>
      <w:color w:val="auto"/>
    </w:rPr>
  </w:style>
  <w:style w:type="paragraph" w:styleId="IntenseQuote">
    <w:name w:val="Intense Quote"/>
    <w:basedOn w:val="Normal"/>
    <w:next w:val="Normal"/>
    <w:link w:val="IntenseQuoteChar"/>
    <w:uiPriority w:val="30"/>
    <w:qFormat/>
    <w:rsid w:val="00FC423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C423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C4234"/>
    <w:rPr>
      <w:smallCaps/>
      <w:color w:val="auto"/>
      <w:u w:val="single"/>
    </w:rPr>
  </w:style>
  <w:style w:type="character" w:styleId="IntenseReference">
    <w:name w:val="Intense Reference"/>
    <w:basedOn w:val="DefaultParagraphFont"/>
    <w:uiPriority w:val="32"/>
    <w:qFormat/>
    <w:rsid w:val="00FC4234"/>
    <w:rPr>
      <w:b/>
      <w:bCs/>
      <w:smallCaps/>
      <w:color w:val="auto"/>
      <w:spacing w:val="5"/>
      <w:u w:val="single"/>
    </w:rPr>
  </w:style>
  <w:style w:type="paragraph" w:customStyle="1" w:styleId="2ColumnHeading">
    <w:name w:val="2Column Heading"/>
    <w:basedOn w:val="BodyText"/>
    <w:qFormat/>
    <w:rsid w:val="00FC4234"/>
    <w:pPr>
      <w:spacing w:after="60"/>
      <w:ind w:left="-2268"/>
    </w:pPr>
    <w:rPr>
      <w:b/>
    </w:rPr>
  </w:style>
  <w:style w:type="paragraph" w:customStyle="1" w:styleId="Heading1TOC">
    <w:name w:val="Heading1 TOC"/>
    <w:basedOn w:val="Normal"/>
    <w:qFormat/>
    <w:rsid w:val="00FC4234"/>
    <w:pPr>
      <w:spacing w:before="240" w:after="120"/>
    </w:pPr>
    <w:rPr>
      <w:rFonts w:ascii="Times New Roman" w:hAnsi="Times New Roman"/>
      <w:b/>
      <w:sz w:val="32"/>
    </w:rPr>
  </w:style>
  <w:style w:type="paragraph" w:customStyle="1" w:styleId="Heading2TOC">
    <w:name w:val="Heading2 TOC"/>
    <w:basedOn w:val="Normal"/>
    <w:qFormat/>
    <w:rsid w:val="00FC4234"/>
    <w:pPr>
      <w:spacing w:before="240" w:after="60"/>
    </w:pPr>
    <w:rPr>
      <w:rFonts w:ascii="Times New Roman" w:hAnsi="Times New Roman"/>
      <w:b/>
      <w:sz w:val="28"/>
    </w:rPr>
  </w:style>
  <w:style w:type="character" w:customStyle="1" w:styleId="Underline">
    <w:name w:val="Underline"/>
    <w:basedOn w:val="DefaultParagraphFont"/>
    <w:qFormat/>
    <w:rsid w:val="00FC4234"/>
    <w:rPr>
      <w:u w:val="single"/>
    </w:rPr>
  </w:style>
  <w:style w:type="character" w:customStyle="1" w:styleId="BoldandItalics">
    <w:name w:val="Bold and Italics"/>
    <w:qFormat/>
    <w:rsid w:val="00FC4234"/>
    <w:rPr>
      <w:b/>
      <w:i/>
      <w:u w:val="none"/>
    </w:rPr>
  </w:style>
  <w:style w:type="paragraph" w:styleId="BalloonText">
    <w:name w:val="Balloon Text"/>
    <w:basedOn w:val="Normal"/>
    <w:link w:val="BalloonTextChar"/>
    <w:rsid w:val="00FC4234"/>
    <w:rPr>
      <w:rFonts w:ascii="Tahoma" w:hAnsi="Tahoma" w:cs="Tahoma"/>
      <w:sz w:val="16"/>
      <w:szCs w:val="16"/>
    </w:rPr>
  </w:style>
  <w:style w:type="character" w:customStyle="1" w:styleId="BalloonTextChar">
    <w:name w:val="Balloon Text Char"/>
    <w:basedOn w:val="DefaultParagraphFont"/>
    <w:link w:val="BalloonText"/>
    <w:rsid w:val="00FC423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C423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C423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1484</Words>
  <Characters>9478</Characters>
  <Application>Microsoft Office Word</Application>
  <DocSecurity>0</DocSecurity>
  <Lines>340</Lines>
  <Paragraphs>192</Paragraphs>
  <ScaleCrop>false</ScaleCrop>
  <Company>Author-it Software Corporation Ltd.</Company>
  <LinksUpToDate>false</LinksUpToDate>
  <CharactersWithSpaces>10852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TLIA807C Transfer cargo</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2012-05-27T08:13:00Z</dcterms:created>
  <dcterms:modified xsi:type="dcterms:W3CDTF">2012-05-27T08:13:00Z</dcterms:modified>
</cp:coreProperties>
</file>