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46D86" w:rsidP="00346D86">
      <w:pPr>
        <w:pStyle w:val="Title"/>
      </w:pPr>
      <w:r>
        <w:fldChar w:fldCharType="begin"/>
      </w:r>
      <w:r>
        <w:instrText xml:space="preserve"> TITLE   \* MERGEFORMAT </w:instrText>
      </w:r>
      <w:r>
        <w:fldChar w:fldCharType="separate"/>
      </w:r>
      <w:r>
        <w:t>TLIA3907B Receive and store stock</w:t>
      </w:r>
      <w:r>
        <w:fldChar w:fldCharType="end"/>
      </w:r>
    </w:p>
    <w:p w:rsidR="00346D86" w:rsidP="00346D86">
      <w:pPr>
        <w:pStyle w:val="Version"/>
        <w:sectPr w:rsidSect="002F56E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F56E4" w:rsidP="002F56E4">
      <w:pPr>
        <w:pStyle w:val="SuperHeading"/>
      </w:pPr>
      <w:r w:rsidRPr="002F56E4">
        <w:t>TLIA3907B Receive and store stock</w:t>
      </w:r>
    </w:p>
    <w:p w:rsidR="00000000" w:rsidRPr="002F56E4" w:rsidP="002F56E4">
      <w:pPr>
        <w:pStyle w:val="Heading1"/>
      </w:pPr>
      <w:bookmarkStart w:id="1" w:name="O_313239"/>
      <w:bookmarkEnd w:id="1"/>
      <w:r w:rsidRPr="002F56E4">
        <w:t>Modification History</w:t>
      </w:r>
    </w:p>
    <w:p w:rsidR="00000000" w:rsidRPr="002F56E4" w:rsidP="002F56E4">
      <w:pPr>
        <w:pStyle w:val="Heading1"/>
      </w:pPr>
      <w:bookmarkStart w:id="2" w:name="O_313238"/>
      <w:bookmarkEnd w:id="2"/>
      <w:r w:rsidRPr="002F56E4">
        <w:t>Unit Descriptor</w:t>
      </w:r>
    </w:p>
    <w:p w:rsidR="00000000" w:rsidRPr="002F56E4" w:rsidP="002F56E4">
      <w:pPr>
        <w:pStyle w:val="BodyText"/>
      </w:pPr>
      <w:r w:rsidRPr="002F56E4">
        <w:t>This unit involves the skills and knowledge required to receive and store stock for a workplace store in an enterprise/organisation in a transport, d</w:t>
      </w:r>
      <w:r w:rsidRPr="002F56E4">
        <w:t>istribution, production, hospitality, retail or other relevant industry sector. It specifically covers taking delivery of stock, storing the received stock, and rotating and maintaining stock in accordance with relevant regulatory and workplace procedures.</w:t>
      </w:r>
    </w:p>
    <w:p w:rsidR="00000000" w:rsidRPr="002F56E4" w:rsidP="002F56E4">
      <w:pPr>
        <w:pStyle w:val="AllowPageBreak"/>
      </w:pPr>
    </w:p>
    <w:p w:rsidR="00000000" w:rsidRPr="002F56E4" w:rsidP="002F56E4">
      <w:pPr>
        <w:pStyle w:val="Heading1"/>
      </w:pPr>
      <w:bookmarkStart w:id="3" w:name="O_313237"/>
      <w:bookmarkEnd w:id="3"/>
      <w:r w:rsidRPr="002F56E4">
        <w:t>Application of the Unit</w:t>
      </w:r>
    </w:p>
    <w:p w:rsidR="00000000" w:rsidRPr="002F56E4" w:rsidP="002F56E4">
      <w:pPr>
        <w:pStyle w:val="BodyText"/>
      </w:pPr>
      <w:r w:rsidRPr="002F56E4">
        <w:t>Work must be must be carried out in compliance with the relevant codes of practice, regulations and workplace procedures for the receipt and storage of stock in a workplace store.</w:t>
      </w:r>
    </w:p>
    <w:p w:rsidR="00000000" w:rsidRPr="002F56E4" w:rsidP="002F56E4">
      <w:pPr>
        <w:pStyle w:val="BodyText"/>
      </w:pPr>
      <w:r w:rsidRPr="002F56E4">
        <w:t>Work is performed under general su</w:t>
      </w:r>
      <w:r w:rsidRPr="002F56E4">
        <w:t>pervision, with some accountability and responsibility for self and others in achieving the prescribed outcomes. It involves the application of routine principles and procedures to safely and efficiently receive and store stock in a workplace store.</w:t>
      </w:r>
    </w:p>
    <w:p w:rsidR="00000000" w:rsidRPr="002F56E4" w:rsidP="002F56E4">
      <w:pPr>
        <w:pStyle w:val="AllowPageBreak"/>
      </w:pPr>
    </w:p>
    <w:p w:rsidR="00000000" w:rsidRPr="002F56E4" w:rsidP="002F56E4">
      <w:pPr>
        <w:pStyle w:val="Heading1"/>
      </w:pPr>
      <w:bookmarkStart w:id="4" w:name="O_313236"/>
      <w:bookmarkEnd w:id="4"/>
      <w:r w:rsidRPr="002F56E4">
        <w:t>Licensing/Regulatory Information</w:t>
      </w:r>
    </w:p>
    <w:p w:rsidR="00000000" w:rsidRPr="002F56E4" w:rsidP="002F56E4">
      <w:pPr>
        <w:pStyle w:val="Heading1"/>
      </w:pPr>
      <w:bookmarkStart w:id="5" w:name="O_313235"/>
      <w:bookmarkEnd w:id="5"/>
      <w:r w:rsidRPr="002F56E4">
        <w:t>Pre-Requisites</w:t>
      </w:r>
    </w:p>
    <w:p w:rsidR="00000000" w:rsidRPr="002F56E4" w:rsidP="002F56E4">
      <w:pPr>
        <w:pStyle w:val="Heading1"/>
      </w:pPr>
      <w:bookmarkStart w:id="6" w:name="O_313240"/>
      <w:bookmarkEnd w:id="6"/>
      <w:r w:rsidRPr="002F56E4">
        <w:t>Employability Skills Information</w:t>
      </w:r>
    </w:p>
    <w:p w:rsidR="00000000" w:rsidRPr="002F56E4" w:rsidP="002F56E4">
      <w:pPr>
        <w:pStyle w:val="BodyText"/>
      </w:pPr>
      <w:r w:rsidRPr="002F56E4">
        <w:t>The required outcomes described in this unit of competency contain applica</w:t>
      </w:r>
      <w:r w:rsidRPr="002F56E4">
        <w:t>ble facets of Employability Skills. The Employability Skills Summary of the qualification in which this competency is packaged will assist in identifying employability skill requirements.</w:t>
      </w:r>
    </w:p>
    <w:p w:rsidR="00000000" w:rsidRPr="002F56E4" w:rsidP="002F56E4">
      <w:pPr>
        <w:pStyle w:val="AllowPageBreak"/>
      </w:pPr>
    </w:p>
    <w:p w:rsidR="00000000" w:rsidRPr="002F56E4" w:rsidP="002F56E4">
      <w:pPr>
        <w:pStyle w:val="Heading1"/>
      </w:pPr>
      <w:bookmarkStart w:id="7" w:name="O_313228"/>
      <w:bookmarkEnd w:id="7"/>
      <w:r w:rsidRPr="002F56E4">
        <w:t>Elements and Performance Criteria Pre-Content</w:t>
      </w:r>
    </w:p>
    <w:p w:rsidR="00000000" w:rsidRPr="002F56E4" w:rsidP="002F56E4">
      <w:pPr>
        <w:pStyle w:val="BodyText"/>
      </w:pPr>
      <w:r w:rsidRPr="002F56E4">
        <w:t>Eleme</w:t>
      </w:r>
      <w:r w:rsidRPr="002F56E4">
        <w:t>nts describe the essential outcomes of a unit of competency.</w:t>
      </w:r>
    </w:p>
    <w:p w:rsidR="00000000" w:rsidRPr="002F56E4" w:rsidP="002F56E4">
      <w:pPr>
        <w:pStyle w:val="BodyText"/>
      </w:pPr>
      <w:r w:rsidRPr="002F56E4">
        <w:t>Performance criteria describe the required performance needed to demonstrate achievement of the element. Assessment of performance is to be consistent with the evidence guide.</w:t>
      </w:r>
    </w:p>
    <w:p w:rsidR="00000000" w:rsidRPr="002F56E4" w:rsidP="002F56E4">
      <w:pPr>
        <w:pStyle w:val="AllowPageBreak"/>
      </w:pPr>
    </w:p>
    <w:p w:rsidR="00000000" w:rsidRPr="002F56E4" w:rsidP="002F56E4">
      <w:pPr>
        <w:pStyle w:val="Heading1"/>
      </w:pPr>
      <w:bookmarkStart w:id="8" w:name="O_313234"/>
      <w:bookmarkEnd w:id="8"/>
      <w:r w:rsidRPr="002F56E4">
        <w:t>El</w:t>
      </w:r>
      <w:r w:rsidRPr="002F56E4">
        <w:t>ements and Performance Criteria</w:t>
      </w:r>
    </w:p>
    <w:tbl>
      <w:tblPr>
        <w:tblW w:w="0" w:type="auto"/>
        <w:tblLayout w:type="fixed"/>
        <w:tblCellMar>
          <w:left w:w="62" w:type="dxa"/>
          <w:right w:w="62" w:type="dxa"/>
        </w:tblCellMar>
        <w:tblLook w:val="0000"/>
      </w:tblPr>
      <w:tblGrid>
        <w:gridCol w:w="400"/>
        <w:gridCol w:w="3000"/>
        <w:gridCol w:w="500"/>
        <w:gridCol w:w="5100"/>
      </w:tblGrid>
      <w:tr w:rsidTr="00346D86">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2F56E4">
            <w:pPr>
              <w:pStyle w:val="BodyText"/>
              <w:rPr>
                <w:lang w:val="en-NZ"/>
              </w:rPr>
            </w:pPr>
            <w:r w:rsidRPr="002F56E4">
              <w:rPr>
                <w:rStyle w:val="SpecialBold"/>
              </w:rPr>
              <w:t>Elements and Performance Criteria</w:t>
            </w:r>
          </w:p>
        </w:tc>
      </w:tr>
      <w:tr w:rsidTr="00346D86">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2F56E4" w:rsidP="002F56E4">
            <w:pPr>
              <w:pStyle w:val="BodyText"/>
            </w:pPr>
            <w:r w:rsidRPr="002F56E4">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2F56E4">
            <w:pPr>
              <w:pStyle w:val="BodyText"/>
              <w:rPr>
                <w:lang w:val="en-NZ"/>
              </w:rPr>
            </w:pPr>
            <w:r w:rsidRPr="002F56E4">
              <w:rPr>
                <w:rStyle w:val="SpecialBold"/>
              </w:rPr>
              <w:t>Performance Criteria</w:t>
            </w:r>
          </w:p>
        </w:tc>
      </w:tr>
      <w:tr w:rsidTr="00346D86">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2F56E4" w:rsidP="002F56E4">
            <w:pPr>
              <w:pStyle w:val="BodyText"/>
            </w:pPr>
            <w:r w:rsidRPr="002F56E4">
              <w:t>1</w:t>
            </w:r>
          </w:p>
        </w:tc>
        <w:tc>
          <w:tcPr>
            <w:tcW w:w="3000" w:type="dxa"/>
            <w:vMerge w:val="restart"/>
            <w:tcBorders>
              <w:top w:val="nil"/>
              <w:left w:val="nil"/>
              <w:bottom w:val="nil"/>
              <w:right w:val="nil"/>
            </w:tcBorders>
            <w:tcMar>
              <w:top w:w="0" w:type="dxa"/>
              <w:left w:w="62" w:type="dxa"/>
              <w:bottom w:w="0" w:type="dxa"/>
              <w:right w:w="62" w:type="dxa"/>
            </w:tcMar>
          </w:tcPr>
          <w:p w:rsidR="00000000" w:rsidP="002F56E4">
            <w:pPr>
              <w:pStyle w:val="BodyText"/>
              <w:rPr>
                <w:lang w:val="en-NZ"/>
              </w:rPr>
            </w:pPr>
            <w:r w:rsidRPr="002F56E4">
              <w:rPr>
                <w:rStyle w:val="SpecialBold"/>
              </w:rPr>
              <w:t>Take delivery of stock</w:t>
            </w:r>
          </w:p>
        </w:tc>
        <w:tc>
          <w:tcPr>
            <w:tcW w:w="500" w:type="dxa"/>
            <w:tcBorders>
              <w:top w:val="nil"/>
              <w:left w:val="nil"/>
              <w:bottom w:val="nil"/>
              <w:right w:val="nil"/>
            </w:tcBorders>
            <w:tcMar>
              <w:top w:w="0" w:type="dxa"/>
              <w:left w:w="62" w:type="dxa"/>
              <w:bottom w:w="0" w:type="dxa"/>
              <w:right w:w="62" w:type="dxa"/>
            </w:tcMar>
          </w:tcPr>
          <w:p w:rsidR="00000000" w:rsidP="002F56E4">
            <w:pPr>
              <w:pStyle w:val="BodyText"/>
              <w:rPr>
                <w:lang w:val="en-NZ"/>
              </w:rPr>
            </w:pPr>
            <w:r w:rsidRPr="002F56E4">
              <w:t>1.1</w:t>
            </w:r>
          </w:p>
        </w:tc>
        <w:tc>
          <w:tcPr>
            <w:tcW w:w="5100" w:type="dxa"/>
            <w:tcBorders>
              <w:top w:val="nil"/>
              <w:left w:val="nil"/>
              <w:bottom w:val="nil"/>
              <w:right w:val="nil"/>
            </w:tcBorders>
            <w:tcMar>
              <w:top w:w="0" w:type="dxa"/>
              <w:left w:w="62" w:type="dxa"/>
              <w:bottom w:w="0" w:type="dxa"/>
              <w:right w:w="62" w:type="dxa"/>
            </w:tcMar>
          </w:tcPr>
          <w:p w:rsidR="00000000" w:rsidP="002F56E4">
            <w:pPr>
              <w:pStyle w:val="BodyText"/>
              <w:rPr>
                <w:lang w:val="en-NZ"/>
              </w:rPr>
            </w:pPr>
            <w:r w:rsidRPr="002F56E4">
              <w:t>Incoming stock is accurately checked against orders and delivery documentation in accordance with workplace procedures</w:t>
            </w:r>
          </w:p>
        </w:tc>
      </w:tr>
      <w:tr w:rsidTr="00346D8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F56E4">
            <w:pPr>
              <w:pStyle w:val="BodyText"/>
              <w:rPr>
                <w:lang w:val="en-NZ"/>
              </w:rPr>
            </w:pPr>
            <w:r w:rsidRPr="002F56E4">
              <w:t>1.2</w:t>
            </w:r>
          </w:p>
        </w:tc>
        <w:tc>
          <w:tcPr>
            <w:tcW w:w="5100" w:type="dxa"/>
            <w:tcBorders>
              <w:top w:val="nil"/>
              <w:left w:val="nil"/>
              <w:bottom w:val="nil"/>
              <w:right w:val="nil"/>
            </w:tcBorders>
            <w:tcMar>
              <w:top w:w="0" w:type="dxa"/>
              <w:left w:w="62" w:type="dxa"/>
              <w:bottom w:w="0" w:type="dxa"/>
              <w:right w:w="62" w:type="dxa"/>
            </w:tcMar>
          </w:tcPr>
          <w:p w:rsidR="00000000" w:rsidP="002F56E4">
            <w:pPr>
              <w:pStyle w:val="BodyText"/>
              <w:rPr>
                <w:lang w:val="en-NZ"/>
              </w:rPr>
            </w:pPr>
            <w:r w:rsidRPr="002F56E4">
              <w:t>Variations are accurately identified, recorded and communicated to the appropriate person</w:t>
            </w:r>
          </w:p>
        </w:tc>
      </w:tr>
      <w:tr w:rsidTr="00346D8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F56E4">
            <w:pPr>
              <w:pStyle w:val="BodyText"/>
              <w:rPr>
                <w:lang w:val="en-NZ"/>
              </w:rPr>
            </w:pPr>
            <w:r w:rsidRPr="002F56E4">
              <w:t>1.3</w:t>
            </w:r>
          </w:p>
        </w:tc>
        <w:tc>
          <w:tcPr>
            <w:tcW w:w="5100" w:type="dxa"/>
            <w:tcBorders>
              <w:top w:val="nil"/>
              <w:left w:val="nil"/>
              <w:bottom w:val="nil"/>
              <w:right w:val="nil"/>
            </w:tcBorders>
            <w:tcMar>
              <w:top w:w="0" w:type="dxa"/>
              <w:left w:w="62" w:type="dxa"/>
              <w:bottom w:w="0" w:type="dxa"/>
              <w:right w:w="62" w:type="dxa"/>
            </w:tcMar>
          </w:tcPr>
          <w:p w:rsidR="00000000" w:rsidP="002F56E4">
            <w:pPr>
              <w:pStyle w:val="BodyText"/>
              <w:rPr>
                <w:lang w:val="en-NZ"/>
              </w:rPr>
            </w:pPr>
            <w:r w:rsidRPr="002F56E4">
              <w:t>Items are inspected for damage, quality, use-by dates, breakages or discrepancies, and records are made in accordance with workplace policy</w:t>
            </w:r>
          </w:p>
        </w:tc>
      </w:tr>
      <w:tr w:rsidTr="00346D86">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2F56E4" w:rsidP="002F56E4">
            <w:pPr>
              <w:pStyle w:val="BodyText"/>
            </w:pPr>
            <w:r w:rsidRPr="002F56E4">
              <w:t>2</w:t>
            </w:r>
          </w:p>
        </w:tc>
        <w:tc>
          <w:tcPr>
            <w:tcW w:w="3000" w:type="dxa"/>
            <w:vMerge w:val="restart"/>
            <w:tcBorders>
              <w:top w:val="nil"/>
              <w:left w:val="nil"/>
              <w:bottom w:val="nil"/>
              <w:right w:val="nil"/>
            </w:tcBorders>
            <w:tcMar>
              <w:top w:w="0" w:type="dxa"/>
              <w:left w:w="62" w:type="dxa"/>
              <w:bottom w:w="0" w:type="dxa"/>
              <w:right w:w="62" w:type="dxa"/>
            </w:tcMar>
          </w:tcPr>
          <w:p w:rsidR="00000000" w:rsidP="002F56E4">
            <w:pPr>
              <w:pStyle w:val="BodyText"/>
              <w:rPr>
                <w:lang w:val="en-NZ"/>
              </w:rPr>
            </w:pPr>
            <w:r w:rsidRPr="002F56E4">
              <w:rPr>
                <w:rStyle w:val="SpecialBold"/>
              </w:rPr>
              <w:t>Store stock</w:t>
            </w:r>
          </w:p>
        </w:tc>
        <w:tc>
          <w:tcPr>
            <w:tcW w:w="500" w:type="dxa"/>
            <w:tcBorders>
              <w:top w:val="nil"/>
              <w:left w:val="nil"/>
              <w:bottom w:val="nil"/>
              <w:right w:val="nil"/>
            </w:tcBorders>
            <w:tcMar>
              <w:top w:w="0" w:type="dxa"/>
              <w:left w:w="62" w:type="dxa"/>
              <w:bottom w:w="0" w:type="dxa"/>
              <w:right w:w="62" w:type="dxa"/>
            </w:tcMar>
          </w:tcPr>
          <w:p w:rsidR="00000000" w:rsidP="002F56E4">
            <w:pPr>
              <w:pStyle w:val="BodyText"/>
              <w:rPr>
                <w:lang w:val="en-NZ"/>
              </w:rPr>
            </w:pPr>
            <w:r w:rsidRPr="002F56E4">
              <w:t>2.1</w:t>
            </w:r>
          </w:p>
        </w:tc>
        <w:tc>
          <w:tcPr>
            <w:tcW w:w="5100" w:type="dxa"/>
            <w:tcBorders>
              <w:top w:val="nil"/>
              <w:left w:val="nil"/>
              <w:bottom w:val="nil"/>
              <w:right w:val="nil"/>
            </w:tcBorders>
            <w:tcMar>
              <w:top w:w="0" w:type="dxa"/>
              <w:left w:w="62" w:type="dxa"/>
              <w:bottom w:w="0" w:type="dxa"/>
              <w:right w:w="62" w:type="dxa"/>
            </w:tcMar>
          </w:tcPr>
          <w:p w:rsidR="00000000" w:rsidP="002F56E4">
            <w:pPr>
              <w:pStyle w:val="BodyText"/>
              <w:rPr>
                <w:lang w:val="en-NZ"/>
              </w:rPr>
            </w:pPr>
            <w:r w:rsidRPr="002F56E4">
              <w:t>All stock is promptly and safely transported to an appropriate storage area without damage</w:t>
            </w:r>
          </w:p>
        </w:tc>
      </w:tr>
      <w:tr w:rsidTr="00346D8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F56E4">
            <w:pPr>
              <w:pStyle w:val="BodyText"/>
              <w:rPr>
                <w:lang w:val="en-NZ"/>
              </w:rPr>
            </w:pPr>
            <w:r w:rsidRPr="002F56E4">
              <w:t>2.2</w:t>
            </w:r>
          </w:p>
        </w:tc>
        <w:tc>
          <w:tcPr>
            <w:tcW w:w="5100" w:type="dxa"/>
            <w:tcBorders>
              <w:top w:val="nil"/>
              <w:left w:val="nil"/>
              <w:bottom w:val="nil"/>
              <w:right w:val="nil"/>
            </w:tcBorders>
            <w:tcMar>
              <w:top w:w="0" w:type="dxa"/>
              <w:left w:w="62" w:type="dxa"/>
              <w:bottom w:w="0" w:type="dxa"/>
              <w:right w:w="62" w:type="dxa"/>
            </w:tcMar>
          </w:tcPr>
          <w:p w:rsidR="00000000" w:rsidP="002F56E4">
            <w:pPr>
              <w:pStyle w:val="BodyText"/>
              <w:rPr>
                <w:lang w:val="en-NZ"/>
              </w:rPr>
            </w:pPr>
            <w:r w:rsidRPr="002F56E4">
              <w:t>Stock is stored in the appropriate location within the area and in accordance with workplace security procedures</w:t>
            </w:r>
          </w:p>
        </w:tc>
      </w:tr>
      <w:tr w:rsidTr="00346D8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F56E4">
            <w:pPr>
              <w:pStyle w:val="BodyText"/>
              <w:rPr>
                <w:lang w:val="en-NZ"/>
              </w:rPr>
            </w:pPr>
            <w:r w:rsidRPr="002F56E4">
              <w:t>2.3</w:t>
            </w:r>
          </w:p>
        </w:tc>
        <w:tc>
          <w:tcPr>
            <w:tcW w:w="5100" w:type="dxa"/>
            <w:tcBorders>
              <w:top w:val="nil"/>
              <w:left w:val="nil"/>
              <w:bottom w:val="nil"/>
              <w:right w:val="nil"/>
            </w:tcBorders>
            <w:tcMar>
              <w:top w:w="0" w:type="dxa"/>
              <w:left w:w="62" w:type="dxa"/>
              <w:bottom w:w="0" w:type="dxa"/>
              <w:right w:w="62" w:type="dxa"/>
            </w:tcMar>
          </w:tcPr>
          <w:p w:rsidR="00000000" w:rsidP="002F56E4">
            <w:pPr>
              <w:pStyle w:val="BodyText"/>
              <w:rPr>
                <w:lang w:val="en-NZ"/>
              </w:rPr>
            </w:pPr>
            <w:r w:rsidRPr="002F56E4">
              <w:t>Appropriate personal protective equipment is correctly used during receival and storage operations</w:t>
            </w:r>
          </w:p>
        </w:tc>
      </w:tr>
      <w:tr w:rsidTr="00346D8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F56E4">
            <w:pPr>
              <w:pStyle w:val="BodyText"/>
              <w:rPr>
                <w:lang w:val="en-NZ"/>
              </w:rPr>
            </w:pPr>
            <w:r w:rsidRPr="002F56E4">
              <w:t>2.4</w:t>
            </w:r>
          </w:p>
        </w:tc>
        <w:tc>
          <w:tcPr>
            <w:tcW w:w="5100" w:type="dxa"/>
            <w:tcBorders>
              <w:top w:val="nil"/>
              <w:left w:val="nil"/>
              <w:bottom w:val="nil"/>
              <w:right w:val="nil"/>
            </w:tcBorders>
            <w:tcMar>
              <w:top w:w="0" w:type="dxa"/>
              <w:left w:w="62" w:type="dxa"/>
              <w:bottom w:w="0" w:type="dxa"/>
              <w:right w:w="62" w:type="dxa"/>
            </w:tcMar>
          </w:tcPr>
          <w:p w:rsidR="00000000" w:rsidP="002F56E4">
            <w:pPr>
              <w:pStyle w:val="BodyText"/>
              <w:rPr>
                <w:lang w:val="en-NZ"/>
              </w:rPr>
            </w:pPr>
            <w:r w:rsidRPr="002F56E4">
              <w:t>Stock levels are accurately recorded in accordance with workplace procedures</w:t>
            </w:r>
          </w:p>
        </w:tc>
      </w:tr>
      <w:tr w:rsidTr="00346D8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F56E4">
            <w:pPr>
              <w:pStyle w:val="BodyText"/>
              <w:rPr>
                <w:lang w:val="en-NZ"/>
              </w:rPr>
            </w:pPr>
            <w:r w:rsidRPr="002F56E4">
              <w:t>2.5</w:t>
            </w:r>
          </w:p>
        </w:tc>
        <w:tc>
          <w:tcPr>
            <w:tcW w:w="5100" w:type="dxa"/>
            <w:tcBorders>
              <w:top w:val="nil"/>
              <w:left w:val="nil"/>
              <w:bottom w:val="nil"/>
              <w:right w:val="nil"/>
            </w:tcBorders>
            <w:tcMar>
              <w:top w:w="0" w:type="dxa"/>
              <w:left w:w="62" w:type="dxa"/>
              <w:bottom w:w="0" w:type="dxa"/>
              <w:right w:w="62" w:type="dxa"/>
            </w:tcMar>
          </w:tcPr>
          <w:p w:rsidR="00000000" w:rsidP="002F56E4">
            <w:pPr>
              <w:pStyle w:val="BodyText"/>
              <w:rPr>
                <w:lang w:val="en-NZ"/>
              </w:rPr>
            </w:pPr>
            <w:r w:rsidRPr="002F56E4">
              <w:t>Stock is labelled in accordance with workplace procedures</w:t>
            </w:r>
          </w:p>
        </w:tc>
      </w:tr>
      <w:tr w:rsidTr="00346D86">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2F56E4" w:rsidP="002F56E4">
            <w:pPr>
              <w:pStyle w:val="BodyText"/>
            </w:pPr>
            <w:r w:rsidRPr="002F56E4">
              <w:t>3</w:t>
            </w:r>
          </w:p>
        </w:tc>
        <w:tc>
          <w:tcPr>
            <w:tcW w:w="3000" w:type="dxa"/>
            <w:vMerge w:val="restart"/>
            <w:tcBorders>
              <w:top w:val="nil"/>
              <w:left w:val="nil"/>
              <w:bottom w:val="nil"/>
              <w:right w:val="nil"/>
            </w:tcBorders>
            <w:tcMar>
              <w:top w:w="0" w:type="dxa"/>
              <w:left w:w="62" w:type="dxa"/>
              <w:bottom w:w="0" w:type="dxa"/>
              <w:right w:w="62" w:type="dxa"/>
            </w:tcMar>
          </w:tcPr>
          <w:p w:rsidR="00000000" w:rsidP="002F56E4">
            <w:pPr>
              <w:pStyle w:val="BodyText"/>
              <w:rPr>
                <w:lang w:val="en-NZ"/>
              </w:rPr>
            </w:pPr>
            <w:r w:rsidRPr="002F56E4">
              <w:rPr>
                <w:rStyle w:val="SpecialBold"/>
              </w:rPr>
              <w:t>Rotat</w:t>
            </w:r>
            <w:r w:rsidRPr="002F56E4">
              <w:rPr>
                <w:rStyle w:val="SpecialBold"/>
              </w:rPr>
              <w:t>e and maintain stock</w:t>
            </w:r>
          </w:p>
        </w:tc>
        <w:tc>
          <w:tcPr>
            <w:tcW w:w="500" w:type="dxa"/>
            <w:tcBorders>
              <w:top w:val="nil"/>
              <w:left w:val="nil"/>
              <w:bottom w:val="nil"/>
              <w:right w:val="nil"/>
            </w:tcBorders>
            <w:tcMar>
              <w:top w:w="0" w:type="dxa"/>
              <w:left w:w="62" w:type="dxa"/>
              <w:bottom w:w="0" w:type="dxa"/>
              <w:right w:w="62" w:type="dxa"/>
            </w:tcMar>
          </w:tcPr>
          <w:p w:rsidR="00000000" w:rsidP="002F56E4">
            <w:pPr>
              <w:pStyle w:val="BodyText"/>
              <w:rPr>
                <w:lang w:val="en-NZ"/>
              </w:rPr>
            </w:pPr>
            <w:r w:rsidRPr="002F56E4">
              <w:t>3.1</w:t>
            </w:r>
          </w:p>
        </w:tc>
        <w:tc>
          <w:tcPr>
            <w:tcW w:w="5100" w:type="dxa"/>
            <w:tcBorders>
              <w:top w:val="nil"/>
              <w:left w:val="nil"/>
              <w:bottom w:val="nil"/>
              <w:right w:val="nil"/>
            </w:tcBorders>
            <w:tcMar>
              <w:top w:w="0" w:type="dxa"/>
              <w:left w:w="62" w:type="dxa"/>
              <w:bottom w:w="0" w:type="dxa"/>
              <w:right w:w="62" w:type="dxa"/>
            </w:tcMar>
          </w:tcPr>
          <w:p w:rsidR="00000000" w:rsidP="002F56E4">
            <w:pPr>
              <w:pStyle w:val="BodyText"/>
              <w:rPr>
                <w:lang w:val="en-NZ"/>
              </w:rPr>
            </w:pPr>
            <w:r w:rsidRPr="002F56E4">
              <w:t>Stock is rotated, where required, in accordance with workplace policy</w:t>
            </w:r>
          </w:p>
        </w:tc>
      </w:tr>
      <w:tr w:rsidTr="00346D8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F56E4">
            <w:pPr>
              <w:pStyle w:val="BodyText"/>
              <w:rPr>
                <w:lang w:val="en-NZ"/>
              </w:rPr>
            </w:pPr>
            <w:r w:rsidRPr="002F56E4">
              <w:t>3.2</w:t>
            </w:r>
          </w:p>
        </w:tc>
        <w:tc>
          <w:tcPr>
            <w:tcW w:w="5100" w:type="dxa"/>
            <w:tcBorders>
              <w:top w:val="nil"/>
              <w:left w:val="nil"/>
              <w:bottom w:val="nil"/>
              <w:right w:val="nil"/>
            </w:tcBorders>
            <w:tcMar>
              <w:top w:w="0" w:type="dxa"/>
              <w:left w:w="62" w:type="dxa"/>
              <w:bottom w:w="0" w:type="dxa"/>
              <w:right w:w="62" w:type="dxa"/>
            </w:tcMar>
          </w:tcPr>
          <w:p w:rsidR="00000000" w:rsidP="002F56E4">
            <w:pPr>
              <w:pStyle w:val="BodyText"/>
              <w:rPr>
                <w:lang w:val="en-NZ"/>
              </w:rPr>
            </w:pPr>
            <w:r w:rsidRPr="002F56E4">
              <w:t>Stock is moved using appropriate equipment, if necessary, in accordance with OH&amp;S requirements, relevant regulations and workplace procedures</w:t>
            </w:r>
          </w:p>
        </w:tc>
      </w:tr>
      <w:tr w:rsidTr="00346D8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F56E4">
            <w:pPr>
              <w:pStyle w:val="BodyText"/>
              <w:rPr>
                <w:lang w:val="en-NZ"/>
              </w:rPr>
            </w:pPr>
            <w:r w:rsidRPr="002F56E4">
              <w:t>3.3</w:t>
            </w:r>
          </w:p>
        </w:tc>
        <w:tc>
          <w:tcPr>
            <w:tcW w:w="5100" w:type="dxa"/>
            <w:tcBorders>
              <w:top w:val="nil"/>
              <w:left w:val="nil"/>
              <w:bottom w:val="nil"/>
              <w:right w:val="nil"/>
            </w:tcBorders>
            <w:tcMar>
              <w:top w:w="0" w:type="dxa"/>
              <w:left w:w="62" w:type="dxa"/>
              <w:bottom w:w="0" w:type="dxa"/>
              <w:right w:w="62" w:type="dxa"/>
            </w:tcMar>
          </w:tcPr>
          <w:p w:rsidR="00000000" w:rsidP="002F56E4">
            <w:pPr>
              <w:pStyle w:val="BodyText"/>
              <w:rPr>
                <w:lang w:val="en-NZ"/>
              </w:rPr>
            </w:pPr>
            <w:r w:rsidRPr="002F56E4">
              <w:t>Quality of stock is checked and reported</w:t>
            </w:r>
          </w:p>
        </w:tc>
      </w:tr>
      <w:tr w:rsidTr="00346D8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F56E4">
            <w:pPr>
              <w:pStyle w:val="BodyText"/>
              <w:rPr>
                <w:lang w:val="en-NZ"/>
              </w:rPr>
            </w:pPr>
            <w:r w:rsidRPr="002F56E4">
              <w:t>3.4</w:t>
            </w:r>
          </w:p>
        </w:tc>
        <w:tc>
          <w:tcPr>
            <w:tcW w:w="5100" w:type="dxa"/>
            <w:tcBorders>
              <w:top w:val="nil"/>
              <w:left w:val="nil"/>
              <w:bottom w:val="nil"/>
              <w:right w:val="nil"/>
            </w:tcBorders>
            <w:tcMar>
              <w:top w:w="0" w:type="dxa"/>
              <w:left w:w="62" w:type="dxa"/>
              <w:bottom w:w="0" w:type="dxa"/>
              <w:right w:w="62" w:type="dxa"/>
            </w:tcMar>
          </w:tcPr>
          <w:p w:rsidR="00000000" w:rsidP="002F56E4">
            <w:pPr>
              <w:pStyle w:val="BodyText"/>
              <w:rPr>
                <w:lang w:val="en-NZ"/>
              </w:rPr>
            </w:pPr>
            <w:r w:rsidRPr="002F56E4">
              <w:t>Appropriate action is taken where the quality of the stock is found to be outside specified standards</w:t>
            </w:r>
          </w:p>
        </w:tc>
      </w:tr>
      <w:tr w:rsidTr="00346D8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F56E4">
            <w:pPr>
              <w:pStyle w:val="BodyText"/>
              <w:rPr>
                <w:lang w:val="en-NZ"/>
              </w:rPr>
            </w:pPr>
            <w:r w:rsidRPr="002F56E4">
              <w:t>3.5</w:t>
            </w:r>
          </w:p>
        </w:tc>
        <w:tc>
          <w:tcPr>
            <w:tcW w:w="5100" w:type="dxa"/>
            <w:tcBorders>
              <w:top w:val="nil"/>
              <w:left w:val="nil"/>
              <w:bottom w:val="nil"/>
              <w:right w:val="nil"/>
            </w:tcBorders>
            <w:tcMar>
              <w:top w:w="0" w:type="dxa"/>
              <w:left w:w="62" w:type="dxa"/>
              <w:bottom w:w="0" w:type="dxa"/>
              <w:right w:w="62" w:type="dxa"/>
            </w:tcMar>
          </w:tcPr>
          <w:p w:rsidR="00000000" w:rsidP="002F56E4">
            <w:pPr>
              <w:pStyle w:val="BodyText"/>
              <w:rPr>
                <w:lang w:val="en-NZ"/>
              </w:rPr>
            </w:pPr>
            <w:r w:rsidRPr="002F56E4">
              <w:t>Stock is placed in storage or disposed of in accordance with workplace policy</w:t>
            </w:r>
          </w:p>
        </w:tc>
      </w:tr>
      <w:tr w:rsidTr="00346D86">
        <w:tblPrEx>
          <w:tblW w:w="0" w:type="auto"/>
          <w:tblLayout w:type="fixed"/>
          <w:tblCellMar>
            <w:left w:w="62" w:type="dxa"/>
            <w:right w:w="62" w:type="dxa"/>
          </w:tblCellMar>
          <w:tblLook w:val="0000"/>
        </w:tblPrEx>
        <w:tc>
          <w:tcPr>
            <w:tcW w:w="400" w:type="dxa"/>
            <w:tcBorders>
              <w:top w:val="nil"/>
              <w:left w:val="nil"/>
              <w:bottom w:val="nil"/>
              <w:right w:val="nil"/>
            </w:tcBorders>
            <w:tcMar>
              <w:top w:w="0" w:type="dxa"/>
              <w:left w:w="62" w:type="dxa"/>
              <w:bottom w:w="0" w:type="dxa"/>
              <w:right w:w="62" w:type="dxa"/>
            </w:tcMar>
          </w:tcPr>
          <w:p w:rsidR="00000000" w:rsidRPr="002F56E4" w:rsidP="002F56E4">
            <w:pPr>
              <w:pStyle w:val="BodyText"/>
            </w:pPr>
            <w:r w:rsidRPr="002F56E4">
              <w:t>4</w:t>
            </w:r>
          </w:p>
        </w:tc>
        <w:tc>
          <w:tcPr>
            <w:tcW w:w="3000" w:type="dxa"/>
            <w:tcBorders>
              <w:top w:val="nil"/>
              <w:left w:val="nil"/>
              <w:bottom w:val="nil"/>
              <w:right w:val="nil"/>
            </w:tcBorders>
            <w:tcMar>
              <w:top w:w="0" w:type="dxa"/>
              <w:left w:w="62" w:type="dxa"/>
              <w:bottom w:w="0" w:type="dxa"/>
              <w:right w:w="62" w:type="dxa"/>
            </w:tcMar>
          </w:tcPr>
          <w:p w:rsidR="00000000" w:rsidP="002F56E4">
            <w:pPr>
              <w:pStyle w:val="BodyText"/>
              <w:rPr>
                <w:lang w:val="en-NZ"/>
              </w:rPr>
            </w:pPr>
            <w:r w:rsidRPr="002F56E4">
              <w:rPr>
                <w:rStyle w:val="SpecialBold"/>
              </w:rPr>
              <w:t>Complete documentation</w:t>
            </w:r>
          </w:p>
        </w:tc>
        <w:tc>
          <w:tcPr>
            <w:tcW w:w="500" w:type="dxa"/>
            <w:tcBorders>
              <w:top w:val="nil"/>
              <w:left w:val="nil"/>
              <w:bottom w:val="nil"/>
              <w:right w:val="nil"/>
            </w:tcBorders>
            <w:tcMar>
              <w:top w:w="0" w:type="dxa"/>
              <w:left w:w="62" w:type="dxa"/>
              <w:bottom w:w="0" w:type="dxa"/>
              <w:right w:w="62" w:type="dxa"/>
            </w:tcMar>
          </w:tcPr>
          <w:p w:rsidR="00000000" w:rsidP="002F56E4">
            <w:pPr>
              <w:pStyle w:val="BodyText"/>
              <w:rPr>
                <w:lang w:val="en-NZ"/>
              </w:rPr>
            </w:pPr>
            <w:r w:rsidRPr="002F56E4">
              <w:t>4.1</w:t>
            </w:r>
          </w:p>
        </w:tc>
        <w:tc>
          <w:tcPr>
            <w:tcW w:w="5100" w:type="dxa"/>
            <w:tcBorders>
              <w:top w:val="nil"/>
              <w:left w:val="nil"/>
              <w:bottom w:val="nil"/>
              <w:right w:val="nil"/>
            </w:tcBorders>
            <w:tcMar>
              <w:top w:w="0" w:type="dxa"/>
              <w:left w:w="62" w:type="dxa"/>
              <w:bottom w:w="0" w:type="dxa"/>
              <w:right w:w="62" w:type="dxa"/>
            </w:tcMar>
          </w:tcPr>
          <w:p w:rsidR="00000000" w:rsidRPr="002F56E4" w:rsidP="002F56E4">
            <w:pPr>
              <w:pStyle w:val="BodyText"/>
            </w:pPr>
            <w:r w:rsidRPr="002F56E4">
              <w:t>All required records and documentation are completed in accordance with workplace procedures</w:t>
            </w:r>
          </w:p>
        </w:tc>
      </w:tr>
    </w:tbl>
    <w:p w:rsidR="00000000" w:rsidRPr="002F56E4" w:rsidP="002F56E4">
      <w:pPr>
        <w:pStyle w:val="BodyText"/>
      </w:pPr>
    </w:p>
    <w:p w:rsidR="00000000" w:rsidRPr="002F56E4" w:rsidP="002F56E4">
      <w:pPr>
        <w:pStyle w:val="AllowPageBreak"/>
      </w:pPr>
    </w:p>
    <w:p w:rsidR="00000000" w:rsidRPr="002F56E4" w:rsidP="002F56E4">
      <w:pPr>
        <w:pStyle w:val="Heading1"/>
      </w:pPr>
      <w:bookmarkStart w:id="9" w:name="O_313233"/>
      <w:bookmarkEnd w:id="9"/>
      <w:r w:rsidRPr="002F56E4">
        <w:t>Required Skills and Knowledge</w:t>
      </w:r>
    </w:p>
    <w:tbl>
      <w:tblPr>
        <w:tblW w:w="0" w:type="auto"/>
        <w:tblLayout w:type="fixed"/>
        <w:tblCellMar>
          <w:left w:w="62" w:type="dxa"/>
          <w:right w:w="62" w:type="dxa"/>
        </w:tblCellMar>
        <w:tblLook w:val="0000"/>
      </w:tblPr>
      <w:tblGrid>
        <w:gridCol w:w="9000"/>
      </w:tblGrid>
      <w:tr w:rsidTr="00346D86">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F56E4">
            <w:pPr>
              <w:pStyle w:val="BodyText"/>
              <w:rPr>
                <w:lang w:val="en-NZ"/>
              </w:rPr>
            </w:pPr>
            <w:r w:rsidRPr="002F56E4">
              <w:rPr>
                <w:rStyle w:val="SpecialBold"/>
              </w:rPr>
              <w:t>REQUIRED KNOWLEDGE AND SKILLS</w:t>
            </w:r>
          </w:p>
        </w:tc>
      </w:tr>
      <w:tr w:rsidTr="00346D86">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F56E4">
            <w:pPr>
              <w:pStyle w:val="BodyText"/>
              <w:rPr>
                <w:lang w:val="en-NZ"/>
              </w:rPr>
            </w:pPr>
            <w:r w:rsidRPr="002F56E4">
              <w:t xml:space="preserve">This describes the essential knowledge and skills and their level required for this unit. </w:t>
            </w:r>
          </w:p>
        </w:tc>
      </w:tr>
      <w:tr w:rsidTr="00346D86">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F56E4">
            <w:pPr>
              <w:pStyle w:val="BodyText"/>
              <w:rPr>
                <w:lang w:val="en-NZ"/>
              </w:rPr>
            </w:pPr>
            <w:r w:rsidRPr="002F56E4">
              <w:rPr>
                <w:rStyle w:val="SpecialBold"/>
              </w:rPr>
              <w:t>Required knowledge</w:t>
            </w:r>
            <w:r w:rsidRPr="002F56E4">
              <w:t xml:space="preserve">: </w:t>
            </w:r>
          </w:p>
        </w:tc>
      </w:tr>
      <w:tr w:rsidTr="00346D86">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F56E4">
            <w:pPr>
              <w:pStyle w:val="BodyText"/>
              <w:rPr>
                <w:lang w:val="en-NZ"/>
              </w:rPr>
            </w:pPr>
            <w:r w:rsidRPr="002F56E4">
              <w:t xml:space="preserve">Relevant codes of practice and legislative requirements (for example dangerous goods regulations, health and hygiene regulations, etc.) </w:t>
            </w:r>
          </w:p>
        </w:tc>
      </w:tr>
      <w:tr w:rsidTr="00346D86">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F56E4">
            <w:pPr>
              <w:pStyle w:val="BodyText"/>
              <w:rPr>
                <w:lang w:val="en-NZ"/>
              </w:rPr>
            </w:pPr>
            <w:r w:rsidRPr="002F56E4">
              <w:t>Rele</w:t>
            </w:r>
            <w:r w:rsidRPr="002F56E4">
              <w:t xml:space="preserve">vant OH&amp;S and environmental procedures and regulations </w:t>
            </w:r>
          </w:p>
        </w:tc>
      </w:tr>
      <w:tr w:rsidTr="00346D86">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F56E4">
            <w:pPr>
              <w:pStyle w:val="BodyText"/>
              <w:rPr>
                <w:lang w:val="en-NZ"/>
              </w:rPr>
            </w:pPr>
            <w:r w:rsidRPr="002F56E4">
              <w:t xml:space="preserve">Principles of stock control </w:t>
            </w:r>
          </w:p>
        </w:tc>
      </w:tr>
      <w:tr w:rsidTr="00346D86">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F56E4">
            <w:pPr>
              <w:pStyle w:val="BodyText"/>
              <w:rPr>
                <w:lang w:val="en-NZ"/>
              </w:rPr>
            </w:pPr>
            <w:r w:rsidRPr="002F56E4">
              <w:t xml:space="preserve">Stock control documentation and systems used in workplace stores </w:t>
            </w:r>
          </w:p>
        </w:tc>
      </w:tr>
      <w:tr w:rsidTr="00346D86">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F56E4">
            <w:pPr>
              <w:pStyle w:val="BodyText"/>
              <w:rPr>
                <w:lang w:val="en-NZ"/>
              </w:rPr>
            </w:pPr>
            <w:r w:rsidRPr="002F56E4">
              <w:t xml:space="preserve">Interpretation of workplace specifications and orders for supplies </w:t>
            </w:r>
          </w:p>
        </w:tc>
      </w:tr>
      <w:tr w:rsidTr="00346D86">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F56E4">
            <w:pPr>
              <w:pStyle w:val="BodyText"/>
              <w:rPr>
                <w:lang w:val="en-NZ"/>
              </w:rPr>
            </w:pPr>
            <w:r w:rsidRPr="002F56E4">
              <w:t xml:space="preserve">Stock security systems </w:t>
            </w:r>
          </w:p>
        </w:tc>
      </w:tr>
      <w:tr w:rsidTr="00346D86">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F56E4">
            <w:pPr>
              <w:pStyle w:val="BodyText"/>
              <w:rPr>
                <w:lang w:val="en-NZ"/>
              </w:rPr>
            </w:pPr>
            <w:r w:rsidRPr="002F56E4">
              <w:t>Safe lif</w:t>
            </w:r>
            <w:r w:rsidRPr="002F56E4">
              <w:t xml:space="preserve">ting and handling procedures </w:t>
            </w:r>
          </w:p>
        </w:tc>
      </w:tr>
      <w:tr w:rsidTr="00346D86">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F56E4">
            <w:pPr>
              <w:pStyle w:val="BodyText"/>
              <w:rPr>
                <w:lang w:val="en-NZ"/>
              </w:rPr>
            </w:pPr>
            <w:r w:rsidRPr="002F56E4">
              <w:t xml:space="preserve">Protocols and procedures for liaising with supplier representatives, drivers and colleagues using appropriate technology </w:t>
            </w:r>
          </w:p>
        </w:tc>
      </w:tr>
      <w:tr w:rsidTr="00346D86">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F56E4">
            <w:pPr>
              <w:pStyle w:val="BodyText"/>
              <w:rPr>
                <w:lang w:val="en-NZ"/>
              </w:rPr>
            </w:pPr>
            <w:r w:rsidRPr="002F56E4">
              <w:t xml:space="preserve">Code of practice for working collaboratively with others </w:t>
            </w:r>
          </w:p>
        </w:tc>
      </w:tr>
      <w:tr w:rsidTr="00346D86">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F56E4">
            <w:pPr>
              <w:pStyle w:val="BodyText"/>
              <w:rPr>
                <w:lang w:val="en-NZ"/>
              </w:rPr>
            </w:pPr>
            <w:r w:rsidRPr="002F56E4">
              <w:t xml:space="preserve">Systems for the completion of relevant records and documentation </w:t>
            </w:r>
          </w:p>
        </w:tc>
      </w:tr>
      <w:tr w:rsidTr="00346D86">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F56E4">
            <w:pPr>
              <w:pStyle w:val="BodyText"/>
              <w:rPr>
                <w:lang w:val="en-NZ"/>
              </w:rPr>
            </w:pPr>
            <w:r w:rsidRPr="002F56E4">
              <w:t xml:space="preserve">Problems that may occur when receiving and storing stock and appropriate action that can be taken to resolve the problems </w:t>
            </w:r>
          </w:p>
        </w:tc>
      </w:tr>
      <w:tr w:rsidTr="00346D86">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F56E4">
            <w:pPr>
              <w:pStyle w:val="BodyText"/>
              <w:rPr>
                <w:lang w:val="en-NZ"/>
              </w:rPr>
            </w:pPr>
            <w:r w:rsidRPr="002F56E4">
              <w:t>Contacts and sources of information and documentation needed when</w:t>
            </w:r>
            <w:r w:rsidRPr="002F56E4">
              <w:t xml:space="preserve"> receiving and storing stock </w:t>
            </w:r>
          </w:p>
        </w:tc>
      </w:tr>
      <w:tr w:rsidTr="00346D86">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F56E4">
            <w:pPr>
              <w:pStyle w:val="BodyText"/>
              <w:rPr>
                <w:lang w:val="en-NZ"/>
              </w:rPr>
            </w:pPr>
            <w:r w:rsidRPr="002F56E4">
              <w:t xml:space="preserve">Site layout </w:t>
            </w:r>
          </w:p>
        </w:tc>
      </w:tr>
      <w:tr w:rsidTr="00346D86">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F56E4">
            <w:pPr>
              <w:pStyle w:val="BodyText"/>
              <w:rPr>
                <w:lang w:val="en-NZ"/>
              </w:rPr>
            </w:pPr>
            <w:r w:rsidRPr="002F56E4">
              <w:t xml:space="preserve">The purpose and procedures for the use of relevant personal protective equipment </w:t>
            </w:r>
          </w:p>
        </w:tc>
      </w:tr>
      <w:tr w:rsidTr="00346D86">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F56E4">
            <w:pPr>
              <w:pStyle w:val="BodyText"/>
              <w:rPr>
                <w:lang w:val="en-NZ"/>
              </w:rPr>
            </w:pPr>
            <w:r w:rsidRPr="002F56E4">
              <w:t xml:space="preserve">Customer service policies and procedures </w:t>
            </w:r>
          </w:p>
        </w:tc>
      </w:tr>
      <w:tr w:rsidTr="00346D86">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2F56E4" w:rsidP="002F56E4">
            <w:pPr>
              <w:pStyle w:val="BodyText"/>
            </w:pPr>
            <w:r w:rsidRPr="002F56E4">
              <w:t xml:space="preserve">Procedures for operating electronic communications equipment </w:t>
            </w:r>
          </w:p>
        </w:tc>
      </w:tr>
    </w:tbl>
    <w:p w:rsidR="00000000" w:rsidRPr="002F56E4" w:rsidP="002F56E4">
      <w:pPr>
        <w:pStyle w:val="BodyText"/>
      </w:pPr>
    </w:p>
    <w:tbl>
      <w:tblPr>
        <w:tblW w:w="0" w:type="auto"/>
        <w:tblLayout w:type="fixed"/>
        <w:tblCellMar>
          <w:left w:w="62" w:type="dxa"/>
          <w:right w:w="62" w:type="dxa"/>
        </w:tblCellMar>
        <w:tblLook w:val="0000"/>
      </w:tblPr>
      <w:tblGrid>
        <w:gridCol w:w="9000"/>
      </w:tblGrid>
      <w:tr w:rsidTr="00346D86">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F56E4">
            <w:pPr>
              <w:pStyle w:val="BodyText"/>
              <w:rPr>
                <w:lang w:val="en-NZ"/>
              </w:rPr>
            </w:pPr>
            <w:r w:rsidRPr="002F56E4">
              <w:rPr>
                <w:rStyle w:val="SpecialBold"/>
              </w:rPr>
              <w:t>Required skills</w:t>
            </w:r>
            <w:r w:rsidRPr="002F56E4">
              <w:t>:</w:t>
            </w:r>
          </w:p>
        </w:tc>
      </w:tr>
      <w:tr w:rsidTr="00346D86">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F56E4">
            <w:pPr>
              <w:pStyle w:val="BodyText"/>
              <w:rPr>
                <w:lang w:val="en-NZ"/>
              </w:rPr>
            </w:pPr>
            <w:r w:rsidRPr="002F56E4">
              <w:t>Com</w:t>
            </w:r>
            <w:r w:rsidRPr="002F56E4">
              <w:t xml:space="preserve">municate effectively with others when receiving and storing stock </w:t>
            </w:r>
          </w:p>
        </w:tc>
      </w:tr>
      <w:tr w:rsidTr="00346D86">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F56E4">
            <w:pPr>
              <w:pStyle w:val="BodyText"/>
              <w:rPr>
                <w:lang w:val="en-NZ"/>
              </w:rPr>
            </w:pPr>
            <w:r w:rsidRPr="002F56E4">
              <w:t xml:space="preserve">Read and interpret instructions, procedures and labels relevant to receiving and storing stock </w:t>
            </w:r>
          </w:p>
        </w:tc>
      </w:tr>
      <w:tr w:rsidTr="00346D86">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F56E4">
            <w:pPr>
              <w:pStyle w:val="BodyText"/>
              <w:rPr>
                <w:lang w:val="en-NZ"/>
              </w:rPr>
            </w:pPr>
            <w:r w:rsidRPr="002F56E4">
              <w:t xml:space="preserve">Complete documentation related to receiving and storing stock </w:t>
            </w:r>
          </w:p>
        </w:tc>
      </w:tr>
      <w:tr w:rsidTr="00346D86">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F56E4">
            <w:pPr>
              <w:pStyle w:val="BodyText"/>
              <w:rPr>
                <w:lang w:val="en-NZ"/>
              </w:rPr>
            </w:pPr>
            <w:r w:rsidRPr="002F56E4">
              <w:t xml:space="preserve">Work collaboratively with others when receiving and storing stock </w:t>
            </w:r>
          </w:p>
        </w:tc>
      </w:tr>
      <w:tr w:rsidTr="00346D86">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F56E4">
            <w:pPr>
              <w:pStyle w:val="BodyText"/>
              <w:rPr>
                <w:lang w:val="en-NZ"/>
              </w:rPr>
            </w:pPr>
            <w:r w:rsidRPr="002F56E4">
              <w:t xml:space="preserve">Adapt appropriately to cultural differences in the workplace, including modes of behaviour and interactions with others </w:t>
            </w:r>
          </w:p>
        </w:tc>
      </w:tr>
      <w:tr w:rsidTr="00346D86">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F56E4">
            <w:pPr>
              <w:pStyle w:val="BodyText"/>
              <w:rPr>
                <w:lang w:val="en-NZ"/>
              </w:rPr>
            </w:pPr>
            <w:r w:rsidRPr="002F56E4">
              <w:t>Promptly report and/or rectify any identified problems that may oc</w:t>
            </w:r>
            <w:r w:rsidRPr="002F56E4">
              <w:t xml:space="preserve">cur when receiving and storing stock in accordance with regulatory requirements and workplace procedures </w:t>
            </w:r>
          </w:p>
        </w:tc>
      </w:tr>
      <w:tr w:rsidTr="00346D86">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F56E4">
            <w:pPr>
              <w:pStyle w:val="BodyText"/>
              <w:rPr>
                <w:lang w:val="en-NZ"/>
              </w:rPr>
            </w:pPr>
            <w:r w:rsidRPr="002F56E4">
              <w:t xml:space="preserve">Implement contingency plans for unplanned events </w:t>
            </w:r>
          </w:p>
        </w:tc>
      </w:tr>
      <w:tr w:rsidTr="00346D86">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F56E4">
            <w:pPr>
              <w:pStyle w:val="BodyText"/>
              <w:rPr>
                <w:lang w:val="en-NZ"/>
              </w:rPr>
            </w:pPr>
            <w:r w:rsidRPr="002F56E4">
              <w:t xml:space="preserve">Monitor work activities in terms of planned schedule </w:t>
            </w:r>
          </w:p>
        </w:tc>
      </w:tr>
      <w:tr w:rsidTr="00346D86">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F56E4">
            <w:pPr>
              <w:pStyle w:val="BodyText"/>
              <w:rPr>
                <w:lang w:val="en-NZ"/>
              </w:rPr>
            </w:pPr>
            <w:r w:rsidRPr="002F56E4">
              <w:t>Modify activities depending on differing op</w:t>
            </w:r>
            <w:r w:rsidRPr="002F56E4">
              <w:t xml:space="preserve">erational contingencies, risk situations and environments </w:t>
            </w:r>
          </w:p>
        </w:tc>
      </w:tr>
      <w:tr w:rsidTr="00346D86">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F56E4">
            <w:pPr>
              <w:pStyle w:val="BodyText"/>
              <w:rPr>
                <w:lang w:val="en-NZ"/>
              </w:rPr>
            </w:pPr>
            <w:r w:rsidRPr="002F56E4">
              <w:t xml:space="preserve">Work systematically with required attention to detail without injury to self or others, or damage to goods or equipment </w:t>
            </w:r>
          </w:p>
        </w:tc>
      </w:tr>
      <w:tr w:rsidTr="00346D86">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F56E4">
            <w:pPr>
              <w:pStyle w:val="BodyText"/>
              <w:rPr>
                <w:lang w:val="en-NZ"/>
              </w:rPr>
            </w:pPr>
            <w:r w:rsidRPr="002F56E4">
              <w:t xml:space="preserve">Operate and adapt to differences in equipment in accordance with standard </w:t>
            </w:r>
            <w:r w:rsidRPr="002F56E4">
              <w:t xml:space="preserve">operating procedures </w:t>
            </w:r>
          </w:p>
        </w:tc>
      </w:tr>
      <w:tr w:rsidTr="00346D86">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2F56E4">
            <w:pPr>
              <w:pStyle w:val="BodyText"/>
              <w:rPr>
                <w:lang w:val="en-NZ"/>
              </w:rPr>
            </w:pPr>
            <w:r w:rsidRPr="002F56E4">
              <w:t xml:space="preserve">Select and use required personal protective equipment conforming to industry and OH&amp;S standards </w:t>
            </w:r>
          </w:p>
        </w:tc>
      </w:tr>
      <w:tr w:rsidTr="00346D86">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2F56E4" w:rsidP="002F56E4">
            <w:pPr>
              <w:pStyle w:val="BodyText"/>
            </w:pPr>
            <w:r w:rsidRPr="002F56E4">
              <w:t xml:space="preserve">Select and use relevant communication and computing equipment when receiving and storing stock </w:t>
            </w:r>
          </w:p>
        </w:tc>
      </w:tr>
    </w:tbl>
    <w:p w:rsidR="00000000" w:rsidRPr="002F56E4" w:rsidP="002F56E4">
      <w:pPr>
        <w:pStyle w:val="BodyText"/>
      </w:pPr>
    </w:p>
    <w:p w:rsidR="00000000" w:rsidRPr="002F56E4" w:rsidP="002F56E4">
      <w:pPr>
        <w:pStyle w:val="AllowPageBreak"/>
      </w:pPr>
    </w:p>
    <w:p w:rsidR="00000000" w:rsidRPr="002F56E4" w:rsidP="002F56E4">
      <w:pPr>
        <w:pStyle w:val="Heading1"/>
      </w:pPr>
      <w:bookmarkStart w:id="10" w:name="O_313232"/>
      <w:bookmarkEnd w:id="10"/>
      <w:r w:rsidRPr="002F56E4">
        <w:t>Evidence Guide</w:t>
      </w:r>
    </w:p>
    <w:tbl>
      <w:tblPr>
        <w:tblW w:w="0" w:type="auto"/>
        <w:tblLayout w:type="fixed"/>
        <w:tblCellMar>
          <w:left w:w="62" w:type="dxa"/>
          <w:right w:w="62" w:type="dxa"/>
        </w:tblCellMar>
        <w:tblLook w:val="0000"/>
      </w:tblPr>
      <w:tblGrid>
        <w:gridCol w:w="4500"/>
        <w:gridCol w:w="4500"/>
      </w:tblGrid>
      <w:tr w:rsidTr="00346D86">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346D86">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2F56E4">
            <w:pPr>
              <w:pStyle w:val="BodyText"/>
              <w:rPr>
                <w:lang w:val="en-NZ"/>
              </w:rPr>
            </w:pPr>
            <w:r w:rsidRPr="002F56E4">
              <w:t xml:space="preserve">The evidence guide provides advice on assessment and must be read in conjunction with the performance criteria, required knowledge and skills, the range statement and the assessment guidelines for this Training Package. </w:t>
            </w:r>
          </w:p>
        </w:tc>
      </w:tr>
      <w:tr w:rsidTr="00346D8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F56E4">
            <w:pPr>
              <w:pStyle w:val="BodyText"/>
              <w:rPr>
                <w:lang w:val="en-NZ"/>
              </w:rPr>
            </w:pPr>
            <w:r w:rsidRPr="002F56E4">
              <w:rPr>
                <w:rStyle w:val="SpecialBold"/>
              </w:rPr>
              <w:t>Critical aspects for assessment a</w:t>
            </w:r>
            <w:r w:rsidRPr="002F56E4">
              <w:rPr>
                <w:rStyle w:val="SpecialBold"/>
              </w:rPr>
              <w:t>nd evidence required to demonstrate competency in this unit</w:t>
            </w:r>
          </w:p>
        </w:tc>
        <w:tc>
          <w:tcPr>
            <w:tcW w:w="4500" w:type="dxa"/>
            <w:tcBorders>
              <w:top w:val="nil"/>
              <w:left w:val="nil"/>
              <w:bottom w:val="nil"/>
              <w:right w:val="nil"/>
            </w:tcBorders>
            <w:tcMar>
              <w:top w:w="0" w:type="dxa"/>
              <w:left w:w="62" w:type="dxa"/>
              <w:bottom w:w="0" w:type="dxa"/>
              <w:right w:w="62" w:type="dxa"/>
            </w:tcMar>
          </w:tcPr>
          <w:p w:rsidR="00000000" w:rsidRPr="002F56E4" w:rsidP="002F56E4">
            <w:pPr>
              <w:pStyle w:val="BodyText"/>
            </w:pPr>
            <w:r w:rsidRPr="002F56E4">
              <w:t>The evidence required to demonstrate competency in this unit must be relevant to and satisfy all of the requirements of the elements and performance criteria of this unit and include demonstration</w:t>
            </w:r>
            <w:r w:rsidRPr="002F56E4">
              <w:t xml:space="preserve"> of applying:   </w:t>
            </w:r>
          </w:p>
          <w:p w:rsidR="00000000" w:rsidRPr="002F56E4" w:rsidP="002F56E4">
            <w:pPr>
              <w:pStyle w:val="BodyText"/>
            </w:pPr>
            <w:r w:rsidRPr="002F56E4">
              <w:t>the underpinning knowledge and skills</w:t>
            </w:r>
          </w:p>
          <w:p w:rsidR="00000000" w:rsidRPr="002F56E4" w:rsidP="002F56E4">
            <w:pPr>
              <w:pStyle w:val="BodyText"/>
            </w:pPr>
            <w:r w:rsidRPr="002F56E4">
              <w:t>relevant legislation and workplace procedures</w:t>
            </w:r>
          </w:p>
          <w:p w:rsidR="00000000" w:rsidP="002F56E4">
            <w:pPr>
              <w:pStyle w:val="BodyText"/>
              <w:rPr>
                <w:lang w:val="en-NZ"/>
              </w:rPr>
            </w:pPr>
            <w:r w:rsidRPr="002F56E4">
              <w:t xml:space="preserve">other relevant aspects of the range statement </w:t>
            </w:r>
          </w:p>
        </w:tc>
      </w:tr>
      <w:tr w:rsidTr="00346D8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F56E4">
            <w:pPr>
              <w:pStyle w:val="BodyText"/>
              <w:rPr>
                <w:lang w:val="en-NZ"/>
              </w:rPr>
            </w:pPr>
            <w:r w:rsidRPr="002F56E4">
              <w:rPr>
                <w:rStyle w:val="SpecialBold"/>
              </w:rPr>
              <w:t>Context of and specific resources for assessment</w:t>
            </w:r>
          </w:p>
        </w:tc>
        <w:tc>
          <w:tcPr>
            <w:tcW w:w="4500" w:type="dxa"/>
            <w:tcBorders>
              <w:top w:val="nil"/>
              <w:left w:val="nil"/>
              <w:bottom w:val="nil"/>
              <w:right w:val="nil"/>
            </w:tcBorders>
            <w:tcMar>
              <w:top w:w="0" w:type="dxa"/>
              <w:left w:w="62" w:type="dxa"/>
              <w:bottom w:w="0" w:type="dxa"/>
              <w:right w:w="62" w:type="dxa"/>
            </w:tcMar>
          </w:tcPr>
          <w:p w:rsidR="00000000" w:rsidRPr="002F56E4" w:rsidP="002F56E4">
            <w:pPr>
              <w:pStyle w:val="BodyText"/>
            </w:pPr>
            <w:r w:rsidRPr="002F56E4">
              <w:t>Performance is demonstrated consistently over a period of time and in a suitable range of contexts</w:t>
            </w:r>
          </w:p>
          <w:p w:rsidR="00000000" w:rsidRPr="002F56E4" w:rsidP="002F56E4">
            <w:pPr>
              <w:pStyle w:val="BodyText"/>
            </w:pPr>
            <w:r w:rsidRPr="002F56E4">
              <w:t xml:space="preserve">Resources for assessment include:   </w:t>
            </w:r>
          </w:p>
          <w:p w:rsidR="00000000" w:rsidRPr="002F56E4" w:rsidP="002F56E4">
            <w:pPr>
              <w:pStyle w:val="BodyText"/>
            </w:pPr>
            <w:r w:rsidRPr="002F56E4">
              <w:t>a range of relevant exercises, case studies and other simulated practical and knowledge assessment, and/or</w:t>
            </w:r>
          </w:p>
          <w:p w:rsidR="00000000" w:rsidRPr="002F56E4" w:rsidP="002F56E4">
            <w:pPr>
              <w:pStyle w:val="BodyText"/>
            </w:pPr>
            <w:r w:rsidRPr="002F56E4">
              <w:t xml:space="preserve">access to an </w:t>
            </w:r>
            <w:r w:rsidRPr="002F56E4">
              <w:t>appropriate range of relevant operational situations in the workplace</w:t>
            </w:r>
          </w:p>
          <w:p w:rsidR="00000000" w:rsidRPr="002F56E4" w:rsidP="002F56E4">
            <w:pPr>
              <w:pStyle w:val="BodyText"/>
            </w:pPr>
          </w:p>
          <w:p w:rsidR="00000000" w:rsidRPr="002F56E4" w:rsidP="002F56E4">
            <w:pPr>
              <w:pStyle w:val="BodyText"/>
            </w:pPr>
            <w:r w:rsidRPr="002F56E4">
              <w:t xml:space="preserve">In both real and simulated environments, access is required to:     </w:t>
            </w:r>
          </w:p>
          <w:p w:rsidR="00000000" w:rsidRPr="002F56E4" w:rsidP="002F56E4">
            <w:pPr>
              <w:pStyle w:val="BodyText"/>
            </w:pPr>
            <w:r w:rsidRPr="002F56E4">
              <w:t>relevant and appropriate materials and/or equipment, and/or</w:t>
            </w:r>
          </w:p>
          <w:p w:rsidR="00000000" w:rsidP="002F56E4">
            <w:pPr>
              <w:pStyle w:val="BodyText"/>
              <w:rPr>
                <w:lang w:val="en-NZ"/>
              </w:rPr>
            </w:pPr>
            <w:r w:rsidRPr="002F56E4">
              <w:t>applicable documentation including workplace procedures,</w:t>
            </w:r>
            <w:r w:rsidRPr="002F56E4">
              <w:t xml:space="preserve"> regulations, codes of practice and operation manuals </w:t>
            </w:r>
          </w:p>
        </w:tc>
      </w:tr>
      <w:tr w:rsidTr="00346D8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F56E4">
            <w:pPr>
              <w:pStyle w:val="BodyText"/>
              <w:rPr>
                <w:lang w:val="en-NZ"/>
              </w:rPr>
            </w:pPr>
            <w:r w:rsidRPr="002F56E4">
              <w:rPr>
                <w:rStyle w:val="SpecialBold"/>
              </w:rPr>
              <w:t>Method of assessment</w:t>
            </w:r>
          </w:p>
        </w:tc>
        <w:tc>
          <w:tcPr>
            <w:tcW w:w="4500" w:type="dxa"/>
            <w:tcBorders>
              <w:top w:val="nil"/>
              <w:left w:val="nil"/>
              <w:bottom w:val="nil"/>
              <w:right w:val="nil"/>
            </w:tcBorders>
            <w:tcMar>
              <w:top w:w="0" w:type="dxa"/>
              <w:left w:w="62" w:type="dxa"/>
              <w:bottom w:w="0" w:type="dxa"/>
              <w:right w:w="62" w:type="dxa"/>
            </w:tcMar>
          </w:tcPr>
          <w:p w:rsidR="00000000" w:rsidRPr="002F56E4" w:rsidP="002F56E4">
            <w:pPr>
              <w:pStyle w:val="BodyText"/>
            </w:pPr>
            <w:r w:rsidRPr="002F56E4">
              <w:t>Assessment of this unit must be undertaken by a registered training organisation</w:t>
            </w:r>
          </w:p>
          <w:p w:rsidR="00000000" w:rsidRPr="002F56E4" w:rsidP="002F56E4">
            <w:pPr>
              <w:pStyle w:val="BodyText"/>
            </w:pPr>
            <w:r w:rsidRPr="002F56E4">
              <w:t>As a minimum, assessment of knowledge must be conducted through appropriate written/oral tests</w:t>
            </w:r>
          </w:p>
          <w:p w:rsidR="00000000" w:rsidRPr="002F56E4" w:rsidP="002F56E4">
            <w:pPr>
              <w:pStyle w:val="BodyText"/>
            </w:pPr>
            <w:r w:rsidRPr="002F56E4">
              <w:t>Pra</w:t>
            </w:r>
            <w:r w:rsidRPr="002F56E4">
              <w:t xml:space="preserve">ctical assessment must occur:   </w:t>
            </w:r>
          </w:p>
          <w:p w:rsidR="00000000" w:rsidRPr="002F56E4" w:rsidP="002F56E4">
            <w:pPr>
              <w:pStyle w:val="BodyText"/>
            </w:pPr>
            <w:r w:rsidRPr="002F56E4">
              <w:t>through appropriately simulated activities at the registered training organisation, and/or</w:t>
            </w:r>
          </w:p>
          <w:p w:rsidR="00000000" w:rsidRPr="002F56E4" w:rsidP="002F56E4">
            <w:pPr>
              <w:pStyle w:val="BodyText"/>
            </w:pPr>
            <w:r w:rsidRPr="002F56E4">
              <w:t xml:space="preserve">in an appropriate range of situations in the workplace </w:t>
            </w:r>
          </w:p>
        </w:tc>
      </w:tr>
    </w:tbl>
    <w:p w:rsidR="00000000" w:rsidRPr="002F56E4" w:rsidP="002F56E4">
      <w:pPr>
        <w:pStyle w:val="BodyText"/>
      </w:pPr>
    </w:p>
    <w:p w:rsidR="00000000" w:rsidRPr="002F56E4" w:rsidP="002F56E4">
      <w:pPr>
        <w:pStyle w:val="AllowPageBreak"/>
      </w:pPr>
    </w:p>
    <w:p w:rsidR="00000000" w:rsidRPr="002F56E4" w:rsidP="002F56E4">
      <w:pPr>
        <w:pStyle w:val="Heading1"/>
      </w:pPr>
      <w:bookmarkStart w:id="11" w:name="O_313231"/>
      <w:bookmarkEnd w:id="11"/>
      <w:r w:rsidRPr="002F56E4">
        <w:t>Range Statement</w:t>
      </w:r>
    </w:p>
    <w:tbl>
      <w:tblPr>
        <w:tblW w:w="0" w:type="auto"/>
        <w:tblLayout w:type="fixed"/>
        <w:tblCellMar>
          <w:left w:w="62" w:type="dxa"/>
          <w:right w:w="62" w:type="dxa"/>
        </w:tblCellMar>
        <w:tblLook w:val="0000"/>
      </w:tblPr>
      <w:tblGrid>
        <w:gridCol w:w="4500"/>
        <w:gridCol w:w="4500"/>
      </w:tblGrid>
      <w:tr w:rsidTr="00346D86">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2F56E4">
            <w:pPr>
              <w:pStyle w:val="BodyText"/>
              <w:rPr>
                <w:lang w:val="en-NZ"/>
              </w:rPr>
            </w:pPr>
            <w:r w:rsidRPr="002F56E4">
              <w:rPr>
                <w:rStyle w:val="SpecialBold"/>
              </w:rPr>
              <w:t>RANGE STATEMENT</w:t>
            </w:r>
          </w:p>
        </w:tc>
      </w:tr>
      <w:tr w:rsidTr="00346D86">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2F56E4">
            <w:pPr>
              <w:pStyle w:val="BodyText"/>
              <w:rPr>
                <w:lang w:val="en-NZ"/>
              </w:rPr>
            </w:pPr>
            <w:r w:rsidRPr="002F56E4">
              <w:t xml:space="preserve">The range statement relates to the unit of competency as a whole. It allows for different work environments and situations that may affect performance. </w:t>
            </w:r>
          </w:p>
        </w:tc>
      </w:tr>
      <w:tr w:rsidTr="00346D8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F56E4">
            <w:pPr>
              <w:pStyle w:val="BodyText"/>
              <w:rPr>
                <w:lang w:val="en-NZ"/>
              </w:rPr>
            </w:pPr>
            <w:r w:rsidRPr="002F56E4">
              <w:t xml:space="preserve">This unit may apply to: </w:t>
            </w:r>
          </w:p>
        </w:tc>
        <w:tc>
          <w:tcPr>
            <w:tcW w:w="4500" w:type="dxa"/>
            <w:tcBorders>
              <w:top w:val="nil"/>
              <w:left w:val="nil"/>
              <w:bottom w:val="nil"/>
              <w:right w:val="nil"/>
            </w:tcBorders>
            <w:tcMar>
              <w:top w:w="0" w:type="dxa"/>
              <w:left w:w="62" w:type="dxa"/>
              <w:bottom w:w="0" w:type="dxa"/>
              <w:right w:w="62" w:type="dxa"/>
            </w:tcMar>
          </w:tcPr>
          <w:p w:rsidR="00000000" w:rsidP="002F56E4">
            <w:pPr>
              <w:pStyle w:val="BodyText"/>
              <w:rPr>
                <w:lang w:val="en-NZ"/>
              </w:rPr>
            </w:pPr>
            <w:r w:rsidRPr="002F56E4">
              <w:t>any workplace store in an enterprise/organisation in a transport, distributi</w:t>
            </w:r>
            <w:r w:rsidRPr="002F56E4">
              <w:t xml:space="preserve">on, production, hospitality, retail or other relevant industry sector (excluding work areas and organisations involving major and/or dedicated warehousing) </w:t>
            </w:r>
          </w:p>
        </w:tc>
      </w:tr>
      <w:tr w:rsidTr="00346D8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F56E4">
            <w:pPr>
              <w:pStyle w:val="BodyText"/>
              <w:rPr>
                <w:lang w:val="en-NZ"/>
              </w:rPr>
            </w:pPr>
            <w:r w:rsidRPr="002F56E4">
              <w:t xml:space="preserve">Suppliers may be: </w:t>
            </w:r>
          </w:p>
        </w:tc>
        <w:tc>
          <w:tcPr>
            <w:tcW w:w="4500" w:type="dxa"/>
            <w:tcBorders>
              <w:top w:val="nil"/>
              <w:left w:val="nil"/>
              <w:bottom w:val="nil"/>
              <w:right w:val="nil"/>
            </w:tcBorders>
            <w:tcMar>
              <w:top w:w="0" w:type="dxa"/>
              <w:left w:w="62" w:type="dxa"/>
              <w:bottom w:w="0" w:type="dxa"/>
              <w:right w:w="62" w:type="dxa"/>
            </w:tcMar>
          </w:tcPr>
          <w:p w:rsidR="00000000" w:rsidP="002F56E4">
            <w:pPr>
              <w:pStyle w:val="BodyText"/>
              <w:rPr>
                <w:lang w:val="en-NZ"/>
              </w:rPr>
            </w:pPr>
            <w:r w:rsidRPr="002F56E4">
              <w:t xml:space="preserve">internal or external </w:t>
            </w:r>
          </w:p>
        </w:tc>
      </w:tr>
      <w:tr w:rsidTr="00346D8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F56E4">
            <w:pPr>
              <w:pStyle w:val="BodyText"/>
              <w:rPr>
                <w:lang w:val="en-NZ"/>
              </w:rPr>
            </w:pPr>
            <w:r w:rsidRPr="002F56E4">
              <w:t xml:space="preserve">Requirements for work may include: </w:t>
            </w:r>
          </w:p>
        </w:tc>
        <w:tc>
          <w:tcPr>
            <w:tcW w:w="4500" w:type="dxa"/>
            <w:tcBorders>
              <w:top w:val="nil"/>
              <w:left w:val="nil"/>
              <w:bottom w:val="nil"/>
              <w:right w:val="nil"/>
            </w:tcBorders>
            <w:tcMar>
              <w:top w:w="0" w:type="dxa"/>
              <w:left w:w="62" w:type="dxa"/>
              <w:bottom w:w="0" w:type="dxa"/>
              <w:right w:w="62" w:type="dxa"/>
            </w:tcMar>
          </w:tcPr>
          <w:p w:rsidR="00000000" w:rsidRPr="002F56E4" w:rsidP="002F56E4">
            <w:pPr>
              <w:pStyle w:val="BodyText"/>
            </w:pPr>
            <w:r w:rsidRPr="002F56E4">
              <w:t xml:space="preserve">workplace protocols </w:t>
            </w:r>
            <w:r w:rsidRPr="002F56E4">
              <w:t>and procedures</w:t>
            </w:r>
          </w:p>
          <w:p w:rsidR="00000000" w:rsidRPr="002F56E4" w:rsidP="002F56E4">
            <w:pPr>
              <w:pStyle w:val="BodyText"/>
            </w:pPr>
            <w:r w:rsidRPr="002F56E4">
              <w:t>communications equipment</w:t>
            </w:r>
          </w:p>
          <w:p w:rsidR="00000000" w:rsidRPr="002F56E4" w:rsidP="002F56E4">
            <w:pPr>
              <w:pStyle w:val="BodyText"/>
            </w:pPr>
            <w:r w:rsidRPr="002F56E4">
              <w:t>workplace operations manuals</w:t>
            </w:r>
          </w:p>
          <w:p w:rsidR="00000000" w:rsidRPr="002F56E4" w:rsidP="002F56E4">
            <w:pPr>
              <w:pStyle w:val="BodyText"/>
            </w:pPr>
            <w:r w:rsidRPr="002F56E4">
              <w:t>relevant regulations, authorities and permits</w:t>
            </w:r>
          </w:p>
          <w:p w:rsidR="00000000" w:rsidRPr="002F56E4" w:rsidP="002F56E4">
            <w:pPr>
              <w:pStyle w:val="BodyText"/>
            </w:pPr>
            <w:r w:rsidRPr="002F56E4">
              <w:t>hours of operation</w:t>
            </w:r>
          </w:p>
          <w:p w:rsidR="00000000" w:rsidRPr="002F56E4" w:rsidP="002F56E4">
            <w:pPr>
              <w:pStyle w:val="BodyText"/>
            </w:pPr>
            <w:r w:rsidRPr="002F56E4">
              <w:t>relevant record keeping requirements</w:t>
            </w:r>
          </w:p>
          <w:p w:rsidR="00000000" w:rsidP="002F56E4">
            <w:pPr>
              <w:pStyle w:val="BodyText"/>
              <w:rPr>
                <w:lang w:val="en-NZ"/>
              </w:rPr>
            </w:pPr>
            <w:r w:rsidRPr="002F56E4">
              <w:t xml:space="preserve">workplace quality and customer service standards </w:t>
            </w:r>
          </w:p>
        </w:tc>
      </w:tr>
      <w:tr w:rsidTr="00346D8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F56E4">
            <w:pPr>
              <w:pStyle w:val="BodyText"/>
              <w:rPr>
                <w:lang w:val="en-NZ"/>
              </w:rPr>
            </w:pPr>
            <w:r w:rsidRPr="002F56E4">
              <w:t xml:space="preserve">Stock control and record systems may be: </w:t>
            </w:r>
          </w:p>
        </w:tc>
        <w:tc>
          <w:tcPr>
            <w:tcW w:w="4500" w:type="dxa"/>
            <w:tcBorders>
              <w:top w:val="nil"/>
              <w:left w:val="nil"/>
              <w:bottom w:val="nil"/>
              <w:right w:val="nil"/>
            </w:tcBorders>
            <w:tcMar>
              <w:top w:w="0" w:type="dxa"/>
              <w:left w:w="62" w:type="dxa"/>
              <w:bottom w:w="0" w:type="dxa"/>
              <w:right w:w="62" w:type="dxa"/>
            </w:tcMar>
          </w:tcPr>
          <w:p w:rsidR="00000000" w:rsidRPr="002F56E4" w:rsidP="002F56E4">
            <w:pPr>
              <w:pStyle w:val="BodyText"/>
            </w:pPr>
            <w:r w:rsidRPr="002F56E4">
              <w:t>manual</w:t>
            </w:r>
          </w:p>
          <w:p w:rsidR="00000000" w:rsidP="002F56E4">
            <w:pPr>
              <w:pStyle w:val="BodyText"/>
              <w:rPr>
                <w:lang w:val="en-NZ"/>
              </w:rPr>
            </w:pPr>
            <w:r w:rsidRPr="002F56E4">
              <w:t xml:space="preserve">computerised </w:t>
            </w:r>
          </w:p>
        </w:tc>
      </w:tr>
      <w:tr w:rsidTr="00346D8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F56E4">
            <w:pPr>
              <w:pStyle w:val="BodyText"/>
              <w:rPr>
                <w:lang w:val="en-NZ"/>
              </w:rPr>
            </w:pPr>
            <w:r w:rsidRPr="002F56E4">
              <w:t xml:space="preserve">Stock may include but is not limited to: </w:t>
            </w:r>
          </w:p>
        </w:tc>
        <w:tc>
          <w:tcPr>
            <w:tcW w:w="4500" w:type="dxa"/>
            <w:tcBorders>
              <w:top w:val="nil"/>
              <w:left w:val="nil"/>
              <w:bottom w:val="nil"/>
              <w:right w:val="nil"/>
            </w:tcBorders>
            <w:tcMar>
              <w:top w:w="0" w:type="dxa"/>
              <w:left w:w="62" w:type="dxa"/>
              <w:bottom w:w="0" w:type="dxa"/>
              <w:right w:w="62" w:type="dxa"/>
            </w:tcMar>
          </w:tcPr>
          <w:p w:rsidR="00000000" w:rsidRPr="002F56E4" w:rsidP="002F56E4">
            <w:pPr>
              <w:pStyle w:val="BodyText"/>
            </w:pPr>
            <w:r w:rsidRPr="002F56E4">
              <w:t>production materials</w:t>
            </w:r>
          </w:p>
          <w:p w:rsidR="00000000" w:rsidRPr="002F56E4" w:rsidP="002F56E4">
            <w:pPr>
              <w:pStyle w:val="BodyText"/>
            </w:pPr>
            <w:r w:rsidRPr="002F56E4">
              <w:t>packaging materials</w:t>
            </w:r>
          </w:p>
          <w:p w:rsidR="00000000" w:rsidRPr="002F56E4" w:rsidP="002F56E4">
            <w:pPr>
              <w:pStyle w:val="BodyText"/>
            </w:pPr>
            <w:r w:rsidRPr="002F56E4">
              <w:t>equipment and tools</w:t>
            </w:r>
          </w:p>
          <w:p w:rsidR="00000000" w:rsidRPr="002F56E4" w:rsidP="002F56E4">
            <w:pPr>
              <w:pStyle w:val="BodyText"/>
            </w:pPr>
            <w:r w:rsidRPr="002F56E4">
              <w:t>office and stationery supplies</w:t>
            </w:r>
          </w:p>
          <w:p w:rsidR="00000000" w:rsidRPr="002F56E4" w:rsidP="002F56E4">
            <w:pPr>
              <w:pStyle w:val="BodyText"/>
            </w:pPr>
            <w:r w:rsidRPr="002F56E4">
              <w:t>forms, brochures and documents</w:t>
            </w:r>
          </w:p>
          <w:p w:rsidR="00000000" w:rsidRPr="002F56E4" w:rsidP="002F56E4">
            <w:pPr>
              <w:pStyle w:val="BodyText"/>
            </w:pPr>
            <w:r w:rsidRPr="002F56E4">
              <w:t>vouchers and tickets</w:t>
            </w:r>
          </w:p>
          <w:p w:rsidR="00000000" w:rsidRPr="002F56E4" w:rsidP="002F56E4">
            <w:pPr>
              <w:pStyle w:val="BodyText"/>
            </w:pPr>
            <w:r w:rsidRPr="002F56E4">
              <w:t>mercha</w:t>
            </w:r>
            <w:r w:rsidRPr="002F56E4">
              <w:t>ndise for sale</w:t>
            </w:r>
          </w:p>
          <w:p w:rsidR="00000000" w:rsidRPr="002F56E4" w:rsidP="002F56E4">
            <w:pPr>
              <w:pStyle w:val="BodyText"/>
            </w:pPr>
            <w:r w:rsidRPr="002F56E4">
              <w:t>linen</w:t>
            </w:r>
          </w:p>
          <w:p w:rsidR="00000000" w:rsidP="002F56E4">
            <w:pPr>
              <w:pStyle w:val="BodyText"/>
              <w:rPr>
                <w:lang w:val="en-NZ"/>
              </w:rPr>
            </w:pPr>
            <w:r w:rsidRPr="002F56E4">
              <w:t xml:space="preserve">food and beverage supplies </w:t>
            </w:r>
          </w:p>
        </w:tc>
      </w:tr>
      <w:tr w:rsidTr="00346D8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F56E4">
            <w:pPr>
              <w:pStyle w:val="BodyText"/>
              <w:rPr>
                <w:lang w:val="en-NZ"/>
              </w:rPr>
            </w:pPr>
            <w:r w:rsidRPr="002F56E4">
              <w:t xml:space="preserve">Consultative processes may involve: </w:t>
            </w:r>
          </w:p>
        </w:tc>
        <w:tc>
          <w:tcPr>
            <w:tcW w:w="4500" w:type="dxa"/>
            <w:tcBorders>
              <w:top w:val="nil"/>
              <w:left w:val="nil"/>
              <w:bottom w:val="nil"/>
              <w:right w:val="nil"/>
            </w:tcBorders>
            <w:tcMar>
              <w:top w:w="0" w:type="dxa"/>
              <w:left w:w="62" w:type="dxa"/>
              <w:bottom w:w="0" w:type="dxa"/>
              <w:right w:w="62" w:type="dxa"/>
            </w:tcMar>
          </w:tcPr>
          <w:p w:rsidR="00000000" w:rsidRPr="002F56E4" w:rsidP="002F56E4">
            <w:pPr>
              <w:pStyle w:val="BodyText"/>
            </w:pPr>
            <w:r w:rsidRPr="002F56E4">
              <w:t>suppliers, representatives and drivers</w:t>
            </w:r>
          </w:p>
          <w:p w:rsidR="00000000" w:rsidRPr="002F56E4" w:rsidP="002F56E4">
            <w:pPr>
              <w:pStyle w:val="BodyText"/>
            </w:pPr>
            <w:r w:rsidRPr="002F56E4">
              <w:t>relevant authorities</w:t>
            </w:r>
          </w:p>
          <w:p w:rsidR="00000000" w:rsidRPr="002F56E4" w:rsidP="002F56E4">
            <w:pPr>
              <w:pStyle w:val="BodyText"/>
            </w:pPr>
            <w:r w:rsidRPr="002F56E4">
              <w:t>other employees and supervisors</w:t>
            </w:r>
          </w:p>
          <w:p w:rsidR="00000000" w:rsidRPr="002F56E4" w:rsidP="002F56E4">
            <w:pPr>
              <w:pStyle w:val="BodyText"/>
            </w:pPr>
            <w:r w:rsidRPr="002F56E4">
              <w:t>management</w:t>
            </w:r>
          </w:p>
          <w:p w:rsidR="00000000" w:rsidP="002F56E4">
            <w:pPr>
              <w:pStyle w:val="BodyText"/>
              <w:rPr>
                <w:lang w:val="en-NZ"/>
              </w:rPr>
            </w:pPr>
            <w:r w:rsidRPr="002F56E4">
              <w:t xml:space="preserve">other professional or technical staff </w:t>
            </w:r>
          </w:p>
        </w:tc>
      </w:tr>
      <w:tr w:rsidTr="00346D8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F56E4">
            <w:pPr>
              <w:pStyle w:val="BodyText"/>
              <w:rPr>
                <w:lang w:val="en-NZ"/>
              </w:rPr>
            </w:pPr>
            <w:r w:rsidRPr="002F56E4">
              <w:t xml:space="preserve">Communications systems may involve: </w:t>
            </w:r>
          </w:p>
        </w:tc>
        <w:tc>
          <w:tcPr>
            <w:tcW w:w="4500" w:type="dxa"/>
            <w:tcBorders>
              <w:top w:val="nil"/>
              <w:left w:val="nil"/>
              <w:bottom w:val="nil"/>
              <w:right w:val="nil"/>
            </w:tcBorders>
            <w:tcMar>
              <w:top w:w="0" w:type="dxa"/>
              <w:left w:w="62" w:type="dxa"/>
              <w:bottom w:w="0" w:type="dxa"/>
              <w:right w:w="62" w:type="dxa"/>
            </w:tcMar>
          </w:tcPr>
          <w:p w:rsidR="00000000" w:rsidRPr="002F56E4" w:rsidP="002F56E4">
            <w:pPr>
              <w:pStyle w:val="BodyText"/>
            </w:pPr>
            <w:r w:rsidRPr="002F56E4">
              <w:t>telephone</w:t>
            </w:r>
          </w:p>
          <w:p w:rsidR="00000000" w:rsidRPr="002F56E4" w:rsidP="002F56E4">
            <w:pPr>
              <w:pStyle w:val="BodyText"/>
            </w:pPr>
            <w:r w:rsidRPr="002F56E4">
              <w:t>fax</w:t>
            </w:r>
          </w:p>
          <w:p w:rsidR="00000000" w:rsidRPr="002F56E4" w:rsidP="002F56E4">
            <w:pPr>
              <w:pStyle w:val="BodyText"/>
            </w:pPr>
            <w:r w:rsidRPr="002F56E4">
              <w:t>email</w:t>
            </w:r>
          </w:p>
          <w:p w:rsidR="00000000" w:rsidRPr="002F56E4" w:rsidP="002F56E4">
            <w:pPr>
              <w:pStyle w:val="BodyText"/>
            </w:pPr>
            <w:r w:rsidRPr="002F56E4">
              <w:t>electronic data transfer of information</w:t>
            </w:r>
          </w:p>
          <w:p w:rsidR="00000000" w:rsidP="002F56E4">
            <w:pPr>
              <w:pStyle w:val="BodyText"/>
              <w:rPr>
                <w:lang w:val="en-NZ"/>
              </w:rPr>
            </w:pPr>
            <w:r w:rsidRPr="002F56E4">
              <w:t xml:space="preserve">mail </w:t>
            </w:r>
          </w:p>
        </w:tc>
      </w:tr>
      <w:tr w:rsidTr="00346D8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F56E4">
            <w:pPr>
              <w:pStyle w:val="BodyText"/>
              <w:rPr>
                <w:lang w:val="en-NZ"/>
              </w:rPr>
            </w:pPr>
            <w:r w:rsidRPr="002F56E4">
              <w:t xml:space="preserve">Depending on the type of organisation concerned and the local terminology used, workplace procedures may include: </w:t>
            </w:r>
          </w:p>
        </w:tc>
        <w:tc>
          <w:tcPr>
            <w:tcW w:w="4500" w:type="dxa"/>
            <w:tcBorders>
              <w:top w:val="nil"/>
              <w:left w:val="nil"/>
              <w:bottom w:val="nil"/>
              <w:right w:val="nil"/>
            </w:tcBorders>
            <w:tcMar>
              <w:top w:w="0" w:type="dxa"/>
              <w:left w:w="62" w:type="dxa"/>
              <w:bottom w:w="0" w:type="dxa"/>
              <w:right w:w="62" w:type="dxa"/>
            </w:tcMar>
          </w:tcPr>
          <w:p w:rsidR="00000000" w:rsidRPr="002F56E4" w:rsidP="002F56E4">
            <w:pPr>
              <w:pStyle w:val="BodyText"/>
            </w:pPr>
            <w:r w:rsidRPr="002F56E4">
              <w:t>company procedures</w:t>
            </w:r>
          </w:p>
          <w:p w:rsidR="00000000" w:rsidRPr="002F56E4" w:rsidP="002F56E4">
            <w:pPr>
              <w:pStyle w:val="BodyText"/>
            </w:pPr>
            <w:r w:rsidRPr="002F56E4">
              <w:t>enterprise procedu</w:t>
            </w:r>
            <w:r w:rsidRPr="002F56E4">
              <w:t>res</w:t>
            </w:r>
          </w:p>
          <w:p w:rsidR="00000000" w:rsidRPr="002F56E4" w:rsidP="002F56E4">
            <w:pPr>
              <w:pStyle w:val="BodyText"/>
            </w:pPr>
            <w:r w:rsidRPr="002F56E4">
              <w:t>organisational procedures</w:t>
            </w:r>
          </w:p>
          <w:p w:rsidR="00000000" w:rsidP="002F56E4">
            <w:pPr>
              <w:pStyle w:val="BodyText"/>
              <w:rPr>
                <w:lang w:val="en-NZ"/>
              </w:rPr>
            </w:pPr>
            <w:r w:rsidRPr="002F56E4">
              <w:t xml:space="preserve">established procedures </w:t>
            </w:r>
          </w:p>
        </w:tc>
      </w:tr>
      <w:tr w:rsidTr="00346D8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F56E4">
            <w:pPr>
              <w:pStyle w:val="BodyText"/>
              <w:rPr>
                <w:lang w:val="en-NZ"/>
              </w:rPr>
            </w:pPr>
            <w:r w:rsidRPr="002F56E4">
              <w:t xml:space="preserve">Personal protective equipment may include but is not limited to: </w:t>
            </w:r>
          </w:p>
        </w:tc>
        <w:tc>
          <w:tcPr>
            <w:tcW w:w="4500" w:type="dxa"/>
            <w:tcBorders>
              <w:top w:val="nil"/>
              <w:left w:val="nil"/>
              <w:bottom w:val="nil"/>
              <w:right w:val="nil"/>
            </w:tcBorders>
            <w:tcMar>
              <w:top w:w="0" w:type="dxa"/>
              <w:left w:w="62" w:type="dxa"/>
              <w:bottom w:w="0" w:type="dxa"/>
              <w:right w:w="62" w:type="dxa"/>
            </w:tcMar>
          </w:tcPr>
          <w:p w:rsidR="00000000" w:rsidRPr="002F56E4" w:rsidP="002F56E4">
            <w:pPr>
              <w:pStyle w:val="BodyText"/>
            </w:pPr>
            <w:r w:rsidRPr="002F56E4">
              <w:t>gloves</w:t>
            </w:r>
          </w:p>
          <w:p w:rsidR="00000000" w:rsidRPr="002F56E4" w:rsidP="002F56E4">
            <w:pPr>
              <w:pStyle w:val="BodyText"/>
            </w:pPr>
            <w:r w:rsidRPr="002F56E4">
              <w:t>safety headwear and footwear</w:t>
            </w:r>
          </w:p>
          <w:p w:rsidR="00000000" w:rsidRPr="002F56E4" w:rsidP="002F56E4">
            <w:pPr>
              <w:pStyle w:val="BodyText"/>
            </w:pPr>
            <w:r w:rsidRPr="002F56E4">
              <w:t>safety glasses</w:t>
            </w:r>
          </w:p>
          <w:p w:rsidR="00000000" w:rsidRPr="002F56E4" w:rsidP="002F56E4">
            <w:pPr>
              <w:pStyle w:val="BodyText"/>
            </w:pPr>
            <w:r w:rsidRPr="002F56E4">
              <w:t>two-way radios</w:t>
            </w:r>
          </w:p>
          <w:p w:rsidR="00000000" w:rsidP="002F56E4">
            <w:pPr>
              <w:pStyle w:val="BodyText"/>
              <w:rPr>
                <w:lang w:val="en-NZ"/>
              </w:rPr>
            </w:pPr>
            <w:r w:rsidRPr="002F56E4">
              <w:t xml:space="preserve">high visibility clothing </w:t>
            </w:r>
          </w:p>
        </w:tc>
      </w:tr>
      <w:tr w:rsidTr="00346D8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F56E4">
            <w:pPr>
              <w:pStyle w:val="BodyText"/>
              <w:rPr>
                <w:lang w:val="en-NZ"/>
              </w:rPr>
            </w:pPr>
            <w:r w:rsidRPr="002F56E4">
              <w:t xml:space="preserve">Documentation/records may include: </w:t>
            </w:r>
          </w:p>
        </w:tc>
        <w:tc>
          <w:tcPr>
            <w:tcW w:w="4500" w:type="dxa"/>
            <w:tcBorders>
              <w:top w:val="nil"/>
              <w:left w:val="nil"/>
              <w:bottom w:val="nil"/>
              <w:right w:val="nil"/>
            </w:tcBorders>
            <w:tcMar>
              <w:top w:w="0" w:type="dxa"/>
              <w:left w:w="62" w:type="dxa"/>
              <w:bottom w:w="0" w:type="dxa"/>
              <w:right w:w="62" w:type="dxa"/>
            </w:tcMar>
          </w:tcPr>
          <w:p w:rsidR="00000000" w:rsidRPr="002F56E4" w:rsidP="002F56E4">
            <w:pPr>
              <w:pStyle w:val="BodyText"/>
            </w:pPr>
            <w:r w:rsidRPr="002F56E4">
              <w:t>workplace protocols and procedures</w:t>
            </w:r>
          </w:p>
          <w:p w:rsidR="00000000" w:rsidRPr="002F56E4" w:rsidP="002F56E4">
            <w:pPr>
              <w:pStyle w:val="BodyText"/>
            </w:pPr>
            <w:r w:rsidRPr="002F56E4">
              <w:t>workplace specifications for the stock concerned</w:t>
            </w:r>
          </w:p>
          <w:p w:rsidR="00000000" w:rsidRPr="002F56E4" w:rsidP="002F56E4">
            <w:pPr>
              <w:pStyle w:val="BodyText"/>
            </w:pPr>
            <w:r w:rsidRPr="002F56E4">
              <w:t>relevant regulations</w:t>
            </w:r>
          </w:p>
          <w:p w:rsidR="00000000" w:rsidRPr="002F56E4" w:rsidP="002F56E4">
            <w:pPr>
              <w:pStyle w:val="BodyText"/>
            </w:pPr>
            <w:r w:rsidRPr="002F56E4">
              <w:t>supplier instructions</w:t>
            </w:r>
          </w:p>
          <w:p w:rsidR="00000000" w:rsidRPr="002F56E4" w:rsidP="002F56E4">
            <w:pPr>
              <w:pStyle w:val="BodyText"/>
            </w:pPr>
            <w:r w:rsidRPr="002F56E4">
              <w:t>operations manuals</w:t>
            </w:r>
          </w:p>
          <w:p w:rsidR="00000000" w:rsidRPr="002F56E4" w:rsidP="002F56E4">
            <w:pPr>
              <w:pStyle w:val="BodyText"/>
            </w:pPr>
            <w:r w:rsidRPr="002F56E4">
              <w:t>documentation including order forms, standard letters, etc.</w:t>
            </w:r>
          </w:p>
          <w:p w:rsidR="00000000" w:rsidRPr="002F56E4" w:rsidP="002F56E4">
            <w:pPr>
              <w:pStyle w:val="BodyText"/>
            </w:pPr>
            <w:r w:rsidRPr="002F56E4">
              <w:t>induction documentation</w:t>
            </w:r>
          </w:p>
          <w:p w:rsidR="00000000" w:rsidRPr="002F56E4" w:rsidP="002F56E4">
            <w:pPr>
              <w:pStyle w:val="BodyText"/>
            </w:pPr>
            <w:r w:rsidRPr="002F56E4">
              <w:t>delivery options</w:t>
            </w:r>
          </w:p>
          <w:p w:rsidR="00000000" w:rsidRPr="002F56E4" w:rsidP="002F56E4">
            <w:pPr>
              <w:pStyle w:val="BodyText"/>
            </w:pPr>
            <w:r w:rsidRPr="002F56E4">
              <w:t xml:space="preserve">relevant </w:t>
            </w:r>
            <w:r w:rsidRPr="002F56E4">
              <w:t>Australian and international standards, criteria and certification requirements</w:t>
            </w:r>
          </w:p>
          <w:p w:rsidR="00000000" w:rsidRPr="002F56E4" w:rsidP="002F56E4">
            <w:pPr>
              <w:pStyle w:val="BodyText"/>
            </w:pPr>
            <w:r w:rsidRPr="002F56E4">
              <w:t>communications technology equipment, oral, aural or signed communications</w:t>
            </w:r>
          </w:p>
          <w:p w:rsidR="00000000" w:rsidRPr="002F56E4" w:rsidP="002F56E4">
            <w:pPr>
              <w:pStyle w:val="BodyText"/>
            </w:pPr>
            <w:r w:rsidRPr="002F56E4">
              <w:t>quality assurance procedures</w:t>
            </w:r>
          </w:p>
          <w:p w:rsidR="00000000" w:rsidRPr="002F56E4" w:rsidP="002F56E4">
            <w:pPr>
              <w:pStyle w:val="BodyText"/>
            </w:pPr>
            <w:r w:rsidRPr="002F56E4">
              <w:t>emergency procedures</w:t>
            </w:r>
          </w:p>
          <w:p w:rsidR="00000000" w:rsidP="002F56E4">
            <w:pPr>
              <w:pStyle w:val="BodyText"/>
              <w:rPr>
                <w:lang w:val="en-NZ"/>
              </w:rPr>
            </w:pPr>
            <w:r w:rsidRPr="002F56E4">
              <w:t>relevant competency standards and training materials</w:t>
            </w:r>
            <w:r w:rsidRPr="002F56E4">
              <w:t xml:space="preserve"> </w:t>
            </w:r>
          </w:p>
        </w:tc>
      </w:tr>
      <w:tr w:rsidTr="00346D8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F56E4">
            <w:pPr>
              <w:pStyle w:val="BodyText"/>
              <w:rPr>
                <w:lang w:val="en-NZ"/>
              </w:rPr>
            </w:pPr>
            <w:r w:rsidRPr="002F56E4">
              <w:t xml:space="preserve">Applicable procedures and codes may include: </w:t>
            </w:r>
          </w:p>
        </w:tc>
        <w:tc>
          <w:tcPr>
            <w:tcW w:w="4500" w:type="dxa"/>
            <w:tcBorders>
              <w:top w:val="nil"/>
              <w:left w:val="nil"/>
              <w:bottom w:val="nil"/>
              <w:right w:val="nil"/>
            </w:tcBorders>
            <w:tcMar>
              <w:top w:w="0" w:type="dxa"/>
              <w:left w:w="62" w:type="dxa"/>
              <w:bottom w:w="0" w:type="dxa"/>
              <w:right w:w="62" w:type="dxa"/>
            </w:tcMar>
          </w:tcPr>
          <w:p w:rsidR="00000000" w:rsidRPr="002F56E4" w:rsidP="002F56E4">
            <w:pPr>
              <w:pStyle w:val="BodyText"/>
            </w:pPr>
            <w:r w:rsidRPr="002F56E4">
              <w:t>relevant regulations and codes of practice for receipt and storage of stock concerned</w:t>
            </w:r>
          </w:p>
          <w:p w:rsidR="00000000" w:rsidRPr="002F56E4" w:rsidP="002F56E4">
            <w:pPr>
              <w:pStyle w:val="BodyText"/>
            </w:pPr>
            <w:r w:rsidRPr="002F56E4">
              <w:t>Australian and international regulations and codes of practice for the handling and transport of dangerous goods and haza</w:t>
            </w:r>
            <w:r w:rsidRPr="002F56E4">
              <w:t xml:space="preserve">rdous substances, including:   </w:t>
            </w:r>
          </w:p>
          <w:p w:rsidR="00000000" w:rsidRPr="002F56E4" w:rsidP="002F56E4">
            <w:pPr>
              <w:pStyle w:val="BodyText"/>
            </w:pPr>
            <w:r w:rsidRPr="002F56E4">
              <w:t>Australian and International Dangerous Goods Codes</w:t>
            </w:r>
          </w:p>
          <w:p w:rsidR="00000000" w:rsidRPr="002F56E4" w:rsidP="002F56E4">
            <w:pPr>
              <w:pStyle w:val="BodyText"/>
            </w:pPr>
            <w:r w:rsidRPr="002F56E4">
              <w:t>Australian and International Explosives Codes</w:t>
            </w:r>
          </w:p>
          <w:p w:rsidR="00000000" w:rsidRPr="002F56E4" w:rsidP="002F56E4">
            <w:pPr>
              <w:pStyle w:val="BodyText"/>
            </w:pPr>
          </w:p>
          <w:p w:rsidR="00000000" w:rsidRPr="002F56E4" w:rsidP="002F56E4">
            <w:pPr>
              <w:pStyle w:val="BodyText"/>
            </w:pPr>
            <w:r w:rsidRPr="002F56E4">
              <w:t xml:space="preserve">Australian and international standards and certification requirements  </w:t>
            </w:r>
          </w:p>
          <w:p w:rsidR="00000000" w:rsidRPr="002F56E4" w:rsidP="002F56E4">
            <w:pPr>
              <w:pStyle w:val="BodyText"/>
            </w:pPr>
            <w:r w:rsidRPr="002F56E4">
              <w:t>relevant state/territory OH&amp;S legislation</w:t>
            </w:r>
          </w:p>
          <w:p w:rsidR="00000000" w:rsidRPr="002F56E4" w:rsidP="002F56E4">
            <w:pPr>
              <w:pStyle w:val="BodyText"/>
            </w:pPr>
            <w:r w:rsidRPr="002F56E4">
              <w:t>relevant sta</w:t>
            </w:r>
            <w:r w:rsidRPr="002F56E4">
              <w:t xml:space="preserve">te/territory environmental protection legislation </w:t>
            </w:r>
          </w:p>
        </w:tc>
      </w:tr>
    </w:tbl>
    <w:p w:rsidR="00000000" w:rsidRPr="002F56E4" w:rsidP="002F56E4">
      <w:pPr>
        <w:pStyle w:val="BodyText"/>
      </w:pPr>
    </w:p>
    <w:p w:rsidR="00000000" w:rsidRPr="002F56E4" w:rsidP="002F56E4">
      <w:pPr>
        <w:pStyle w:val="AllowPageBreak"/>
      </w:pPr>
    </w:p>
    <w:p w:rsidR="00000000" w:rsidRPr="002F56E4" w:rsidP="002F56E4">
      <w:pPr>
        <w:pStyle w:val="Heading1"/>
      </w:pPr>
      <w:bookmarkStart w:id="12" w:name="O_313229"/>
      <w:bookmarkEnd w:id="12"/>
      <w:r w:rsidRPr="002F56E4">
        <w:t>Unit Sector(s)</w:t>
      </w:r>
    </w:p>
    <w:p w:rsidR="00000000" w:rsidRPr="002F56E4" w:rsidP="002F56E4">
      <w:pPr>
        <w:pStyle w:val="Heading1"/>
      </w:pPr>
      <w:bookmarkStart w:id="13" w:name="O_313230"/>
      <w:bookmarkEnd w:id="13"/>
      <w:r w:rsidRPr="002F56E4">
        <w:t xml:space="preserve">Competency Field </w:t>
      </w:r>
    </w:p>
    <w:p w:rsidR="00000000" w:rsidRPr="002F56E4" w:rsidP="002F56E4">
      <w:pPr>
        <w:pStyle w:val="BodyText"/>
      </w:pPr>
      <w:r w:rsidRPr="002F56E4">
        <w:t>A - Handling Cargo/Stock</w:t>
      </w:r>
    </w:p>
    <w:p w:rsidR="00000000" w:rsidRPr="002F56E4" w:rsidP="002F56E4"/>
    <w:sectPr w:rsidSect="002F56E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56E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46D86" w:rsidP="00346D8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56E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6D86" w:rsidP="002F56E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346D86" w:rsidP="002F56E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346D86" w:rsidP="002F56E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56E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46D86" w:rsidP="00346D8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56E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6D86" w:rsidP="002F56E4">
    <w:pPr>
      <w:pStyle w:val="Header"/>
      <w:framePr w:wrap="around"/>
    </w:pPr>
    <w:r>
      <w:fldChar w:fldCharType="begin"/>
    </w:r>
    <w:r>
      <w:instrText xml:space="preserve"> TITLE   \* MERGEFORMAT </w:instrText>
    </w:r>
    <w:r>
      <w:fldChar w:fldCharType="separate"/>
    </w:r>
    <w:r>
      <w:t>TLIA3907B Receive and store stock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46D86" w:rsidP="002F56E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56E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F56E4"/>
    <w:pPr>
      <w:spacing w:before="360" w:after="60"/>
      <w:outlineLvl w:val="0"/>
    </w:pPr>
    <w:rPr>
      <w:sz w:val="32"/>
    </w:rPr>
  </w:style>
  <w:style w:type="paragraph" w:styleId="Heading2">
    <w:name w:val="heading 2"/>
    <w:basedOn w:val="HeadingBase"/>
    <w:next w:val="BodyText"/>
    <w:link w:val="Heading2Char"/>
    <w:qFormat/>
    <w:rsid w:val="002F56E4"/>
    <w:pPr>
      <w:keepLines/>
      <w:spacing w:before="240" w:after="120"/>
      <w:outlineLvl w:val="1"/>
    </w:pPr>
    <w:rPr>
      <w:sz w:val="28"/>
      <w:szCs w:val="40"/>
    </w:rPr>
  </w:style>
  <w:style w:type="paragraph" w:styleId="Heading3">
    <w:name w:val="heading 3"/>
    <w:basedOn w:val="HeadingBase"/>
    <w:next w:val="BodyText"/>
    <w:link w:val="Heading3Char"/>
    <w:qFormat/>
    <w:rsid w:val="002F56E4"/>
    <w:pPr>
      <w:spacing w:before="180" w:after="120"/>
      <w:outlineLvl w:val="2"/>
    </w:pPr>
    <w:rPr>
      <w:spacing w:val="-10"/>
      <w:kern w:val="32"/>
    </w:rPr>
  </w:style>
  <w:style w:type="paragraph" w:styleId="Heading4">
    <w:name w:val="heading 4"/>
    <w:basedOn w:val="HeadingBase"/>
    <w:next w:val="BodyText"/>
    <w:link w:val="Heading4Char"/>
    <w:qFormat/>
    <w:rsid w:val="002F56E4"/>
    <w:pPr>
      <w:spacing w:before="160" w:after="120"/>
      <w:outlineLvl w:val="3"/>
    </w:pPr>
    <w:rPr>
      <w:sz w:val="22"/>
    </w:rPr>
  </w:style>
  <w:style w:type="paragraph" w:styleId="Heading5">
    <w:name w:val="heading 5"/>
    <w:basedOn w:val="HeadingBase"/>
    <w:next w:val="Normal"/>
    <w:link w:val="Heading5Char"/>
    <w:qFormat/>
    <w:rsid w:val="002F56E4"/>
    <w:pPr>
      <w:spacing w:before="80"/>
      <w:outlineLvl w:val="4"/>
    </w:pPr>
    <w:rPr>
      <w:color w:val="918585"/>
      <w:sz w:val="20"/>
    </w:rPr>
  </w:style>
  <w:style w:type="paragraph" w:styleId="Heading6">
    <w:name w:val="heading 6"/>
    <w:basedOn w:val="HeadingBase"/>
    <w:next w:val="Normal"/>
    <w:link w:val="Heading6Char"/>
    <w:qFormat/>
    <w:rsid w:val="002F56E4"/>
    <w:pPr>
      <w:spacing w:before="60"/>
      <w:outlineLvl w:val="5"/>
    </w:pPr>
    <w:rPr>
      <w:color w:val="918585"/>
      <w:sz w:val="20"/>
    </w:rPr>
  </w:style>
  <w:style w:type="paragraph" w:styleId="Heading7">
    <w:name w:val="heading 7"/>
    <w:basedOn w:val="Normal"/>
    <w:next w:val="Normal"/>
    <w:link w:val="Heading7Char"/>
    <w:qFormat/>
    <w:rsid w:val="002F56E4"/>
    <w:pPr>
      <w:ind w:left="720"/>
      <w:outlineLvl w:val="6"/>
    </w:pPr>
    <w:rPr>
      <w:i/>
    </w:rPr>
  </w:style>
  <w:style w:type="paragraph" w:styleId="Heading8">
    <w:name w:val="heading 8"/>
    <w:basedOn w:val="Normal"/>
    <w:next w:val="Normal"/>
    <w:link w:val="Heading8Char"/>
    <w:qFormat/>
    <w:rsid w:val="002F56E4"/>
    <w:pPr>
      <w:ind w:left="720"/>
      <w:outlineLvl w:val="7"/>
    </w:pPr>
    <w:rPr>
      <w:i/>
    </w:rPr>
  </w:style>
  <w:style w:type="paragraph" w:styleId="Heading9">
    <w:name w:val="heading 9"/>
    <w:basedOn w:val="Normal"/>
    <w:next w:val="Normal"/>
    <w:link w:val="Heading9Char"/>
    <w:qFormat/>
    <w:rsid w:val="002F56E4"/>
    <w:pPr>
      <w:ind w:left="720"/>
      <w:outlineLvl w:val="8"/>
    </w:pPr>
    <w:rPr>
      <w:i/>
    </w:rPr>
  </w:style>
  <w:style w:type="character" w:default="1" w:styleId="DefaultParagraphFont">
    <w:name w:val="Default Paragraph Font"/>
    <w:uiPriority w:val="1"/>
    <w:unhideWhenUsed/>
    <w:rsid w:val="002F56E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F56E4"/>
  </w:style>
  <w:style w:type="character" w:customStyle="1" w:styleId="Heading1Char">
    <w:name w:val="Heading 1 Char"/>
    <w:basedOn w:val="DefaultParagraphFont"/>
    <w:link w:val="Heading1"/>
    <w:rsid w:val="002F56E4"/>
    <w:rPr>
      <w:rFonts w:ascii="Times New Roman" w:eastAsia="Times New Roman" w:hAnsi="Times New Roman" w:cs="Times New Roman"/>
      <w:b/>
      <w:sz w:val="32"/>
      <w:szCs w:val="20"/>
      <w:lang w:eastAsia="en-US"/>
    </w:rPr>
  </w:style>
  <w:style w:type="paragraph" w:styleId="BodyText">
    <w:name w:val="Body Text"/>
    <w:basedOn w:val="Normal"/>
    <w:link w:val="BodyTextChar"/>
    <w:rsid w:val="002F56E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F56E4"/>
    <w:rPr>
      <w:rFonts w:ascii="Times New Roman" w:eastAsia="Times New Roman" w:hAnsi="Times New Roman" w:cs="Times New Roman"/>
      <w:sz w:val="24"/>
      <w:lang w:val="en-US" w:eastAsia="en-US"/>
    </w:rPr>
  </w:style>
  <w:style w:type="paragraph" w:styleId="Footer">
    <w:name w:val="footer"/>
    <w:basedOn w:val="Normal"/>
    <w:link w:val="FooterChar"/>
    <w:rsid w:val="002F56E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F56E4"/>
    <w:rPr>
      <w:rFonts w:ascii="Times New Roman" w:eastAsia="Times New Roman" w:hAnsi="Times New Roman" w:cs="Times New Roman"/>
      <w:sz w:val="16"/>
      <w:lang w:val="en-US" w:eastAsia="en-US"/>
    </w:rPr>
  </w:style>
  <w:style w:type="character" w:customStyle="1" w:styleId="SpecialBold">
    <w:name w:val="Special Bold"/>
    <w:basedOn w:val="DefaultParagraphFont"/>
    <w:rsid w:val="002F56E4"/>
    <w:rPr>
      <w:b/>
      <w:spacing w:val="0"/>
    </w:rPr>
  </w:style>
  <w:style w:type="paragraph" w:styleId="Header">
    <w:name w:val="header"/>
    <w:basedOn w:val="Normal"/>
    <w:link w:val="HeaderChar"/>
    <w:rsid w:val="002F56E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F56E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F56E4"/>
    <w:pPr>
      <w:spacing w:before="240" w:after="120"/>
      <w:outlineLvl w:val="0"/>
    </w:pPr>
    <w:rPr>
      <w:rFonts w:ascii="Times New Roman" w:hAnsi="Times New Roman"/>
      <w:b/>
      <w:sz w:val="28"/>
    </w:rPr>
  </w:style>
  <w:style w:type="paragraph" w:customStyle="1" w:styleId="AllowPageBreak">
    <w:name w:val="AllowPageBreak"/>
    <w:rsid w:val="002F56E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F56E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F56E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F56E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F56E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F56E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F56E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F56E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F56E4"/>
    <w:rPr>
      <w:rFonts w:ascii="Courier New" w:eastAsia="Times New Roman" w:hAnsi="Courier New" w:cs="Times New Roman"/>
      <w:i/>
      <w:szCs w:val="20"/>
      <w:lang w:val="en-US" w:eastAsia="en-US"/>
    </w:rPr>
  </w:style>
  <w:style w:type="paragraph" w:customStyle="1" w:styleId="HeadingBase">
    <w:name w:val="Heading Base"/>
    <w:rsid w:val="002F56E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F56E4"/>
    <w:pPr>
      <w:tabs>
        <w:tab w:val="right" w:leader="dot" w:pos="9072"/>
      </w:tabs>
      <w:ind w:left="567"/>
    </w:pPr>
    <w:rPr>
      <w:szCs w:val="22"/>
    </w:rPr>
  </w:style>
  <w:style w:type="paragraph" w:customStyle="1" w:styleId="TOCBase">
    <w:name w:val="TOC Base"/>
    <w:rsid w:val="002F56E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F56E4"/>
    <w:pPr>
      <w:tabs>
        <w:tab w:val="right" w:leader="dot" w:pos="9072"/>
      </w:tabs>
      <w:spacing w:before="40" w:after="40"/>
      <w:ind w:left="284"/>
    </w:pPr>
    <w:rPr>
      <w:rFonts w:ascii="Times New Roman" w:hAnsi="Times New Roman"/>
    </w:rPr>
  </w:style>
  <w:style w:type="paragraph" w:styleId="TOC1">
    <w:name w:val="toc 1"/>
    <w:basedOn w:val="TOCBase"/>
    <w:next w:val="Normal"/>
    <w:rsid w:val="002F56E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F56E4"/>
    <w:pPr>
      <w:spacing w:before="5040"/>
      <w:jc w:val="center"/>
    </w:pPr>
    <w:rPr>
      <w:sz w:val="48"/>
      <w:szCs w:val="72"/>
      <w:lang w:val="en-US"/>
    </w:rPr>
  </w:style>
  <w:style w:type="character" w:customStyle="1" w:styleId="TitleChar">
    <w:name w:val="Title Char"/>
    <w:basedOn w:val="DefaultParagraphFont"/>
    <w:link w:val="Title"/>
    <w:rsid w:val="002F56E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F56E4"/>
    <w:pPr>
      <w:tabs>
        <w:tab w:val="left" w:pos="3600"/>
        <w:tab w:val="left" w:pos="3958"/>
      </w:tabs>
    </w:pPr>
  </w:style>
  <w:style w:type="paragraph" w:styleId="List">
    <w:name w:val="List"/>
    <w:basedOn w:val="BodyText"/>
    <w:next w:val="BodyText"/>
    <w:rsid w:val="002F56E4"/>
    <w:pPr>
      <w:tabs>
        <w:tab w:val="left" w:pos="340"/>
      </w:tabs>
      <w:spacing w:before="60" w:after="60"/>
      <w:ind w:left="340" w:hanging="340"/>
    </w:pPr>
  </w:style>
  <w:style w:type="paragraph" w:styleId="ListBullet">
    <w:name w:val="List Bullet"/>
    <w:basedOn w:val="List"/>
    <w:rsid w:val="002F56E4"/>
    <w:pPr>
      <w:numPr>
        <w:numId w:val="11"/>
      </w:numPr>
      <w:tabs>
        <w:tab w:val="clear" w:pos="340"/>
      </w:tabs>
      <w:spacing w:before="40" w:after="40"/>
    </w:pPr>
  </w:style>
  <w:style w:type="paragraph" w:customStyle="1" w:styleId="Note">
    <w:name w:val="Note"/>
    <w:basedOn w:val="BodyText"/>
    <w:rsid w:val="002F56E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F56E4"/>
    <w:pPr>
      <w:framePr w:wrap="auto" w:hAnchor="text" w:y="6049"/>
    </w:pPr>
    <w:rPr>
      <w:color w:val="000000"/>
      <w:sz w:val="40"/>
    </w:rPr>
  </w:style>
  <w:style w:type="paragraph" w:customStyle="1" w:styleId="TOCTitle">
    <w:name w:val="TOCTitle"/>
    <w:basedOn w:val="Heading1"/>
    <w:rsid w:val="002F56E4"/>
    <w:pPr>
      <w:spacing w:after="240"/>
      <w:jc w:val="center"/>
      <w:outlineLvl w:val="9"/>
    </w:pPr>
    <w:rPr>
      <w:caps/>
    </w:rPr>
  </w:style>
  <w:style w:type="paragraph" w:customStyle="1" w:styleId="Version">
    <w:name w:val="Version"/>
    <w:rsid w:val="002F56E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F56E4"/>
    <w:pPr>
      <w:numPr>
        <w:numId w:val="12"/>
      </w:numPr>
      <w:tabs>
        <w:tab w:val="clear" w:pos="680"/>
      </w:tabs>
    </w:pPr>
  </w:style>
  <w:style w:type="paragraph" w:styleId="Index1">
    <w:name w:val="index 1"/>
    <w:basedOn w:val="Normal"/>
    <w:next w:val="Normal"/>
    <w:semiHidden/>
    <w:rsid w:val="002F56E4"/>
    <w:pPr>
      <w:keepNext w:val="0"/>
      <w:tabs>
        <w:tab w:val="right" w:pos="4176"/>
      </w:tabs>
      <w:ind w:left="198" w:hanging="198"/>
    </w:pPr>
    <w:rPr>
      <w:rFonts w:ascii="Garamond" w:hAnsi="Garamond"/>
    </w:rPr>
  </w:style>
  <w:style w:type="paragraph" w:styleId="IndexHeading">
    <w:name w:val="index heading"/>
    <w:basedOn w:val="Normal"/>
    <w:next w:val="Index1"/>
    <w:semiHidden/>
    <w:rsid w:val="002F56E4"/>
    <w:pPr>
      <w:spacing w:before="120" w:after="120"/>
    </w:pPr>
    <w:rPr>
      <w:rFonts w:ascii="Arial" w:hAnsi="Arial"/>
      <w:b/>
      <w:color w:val="918585"/>
      <w:sz w:val="24"/>
    </w:rPr>
  </w:style>
  <w:style w:type="paragraph" w:customStyle="1" w:styleId="Chapter">
    <w:name w:val="Chapter"/>
    <w:basedOn w:val="Normal"/>
    <w:rsid w:val="002F56E4"/>
    <w:pPr>
      <w:spacing w:before="240"/>
    </w:pPr>
    <w:rPr>
      <w:rFonts w:ascii="Times New Roman" w:hAnsi="Times New Roman"/>
      <w:smallCaps/>
      <w:spacing w:val="80"/>
      <w:sz w:val="28"/>
    </w:rPr>
  </w:style>
  <w:style w:type="paragraph" w:customStyle="1" w:styleId="InChapter">
    <w:name w:val="InChapter"/>
    <w:basedOn w:val="Heading3"/>
    <w:rsid w:val="002F56E4"/>
    <w:pPr>
      <w:spacing w:after="240"/>
      <w:outlineLvl w:val="9"/>
    </w:pPr>
    <w:rPr>
      <w:noProof/>
    </w:rPr>
  </w:style>
  <w:style w:type="paragraph" w:styleId="Index2">
    <w:name w:val="index 2"/>
    <w:basedOn w:val="Normal"/>
    <w:next w:val="Normal"/>
    <w:semiHidden/>
    <w:rsid w:val="002F56E4"/>
    <w:pPr>
      <w:tabs>
        <w:tab w:val="right" w:pos="4176"/>
      </w:tabs>
      <w:ind w:left="568" w:hanging="284"/>
    </w:pPr>
    <w:rPr>
      <w:rFonts w:ascii="Garamond" w:hAnsi="Garamond"/>
    </w:rPr>
  </w:style>
  <w:style w:type="paragraph" w:customStyle="1" w:styleId="Byline">
    <w:name w:val="Byline"/>
    <w:rsid w:val="002F56E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F56E4"/>
    <w:pPr>
      <w:tabs>
        <w:tab w:val="clear" w:pos="3600"/>
        <w:tab w:val="clear" w:pos="3958"/>
      </w:tabs>
      <w:jc w:val="right"/>
    </w:pPr>
  </w:style>
  <w:style w:type="character" w:styleId="Emphasis">
    <w:name w:val="Emphasis"/>
    <w:basedOn w:val="DefaultParagraphFont"/>
    <w:qFormat/>
    <w:rsid w:val="002F56E4"/>
    <w:rPr>
      <w:i/>
    </w:rPr>
  </w:style>
  <w:style w:type="paragraph" w:styleId="Caption">
    <w:name w:val="caption"/>
    <w:basedOn w:val="BodyText"/>
    <w:next w:val="Normal"/>
    <w:qFormat/>
    <w:rsid w:val="002F56E4"/>
    <w:pPr>
      <w:framePr w:w="2268" w:hSpace="181" w:vSpace="181" w:wrap="around" w:vAnchor="text" w:hAnchor="page" w:x="1135" w:y="285" w:anchorLock="1"/>
    </w:pPr>
    <w:rPr>
      <w:i/>
    </w:rPr>
  </w:style>
  <w:style w:type="paragraph" w:customStyle="1" w:styleId="MiniTOCTitle">
    <w:name w:val="MiniTOCTitle"/>
    <w:basedOn w:val="Heading4"/>
    <w:rsid w:val="002F56E4"/>
    <w:pPr>
      <w:spacing w:before="240"/>
      <w:outlineLvl w:val="9"/>
    </w:pPr>
    <w:rPr>
      <w:noProof/>
      <w:sz w:val="24"/>
    </w:rPr>
  </w:style>
  <w:style w:type="paragraph" w:customStyle="1" w:styleId="MiniTOCItem">
    <w:name w:val="MiniTOCItem"/>
    <w:basedOn w:val="ListBullet"/>
    <w:rsid w:val="002F56E4"/>
    <w:pPr>
      <w:numPr>
        <w:numId w:val="0"/>
      </w:numPr>
      <w:tabs>
        <w:tab w:val="right" w:leader="dot" w:pos="6521"/>
      </w:tabs>
      <w:spacing w:before="0" w:after="0"/>
    </w:pPr>
  </w:style>
  <w:style w:type="paragraph" w:customStyle="1" w:styleId="TOFTitle">
    <w:name w:val="TOFTitle"/>
    <w:basedOn w:val="TOCTitle"/>
    <w:rsid w:val="002F56E4"/>
  </w:style>
  <w:style w:type="paragraph" w:styleId="TableofFigures">
    <w:name w:val="table of figures"/>
    <w:basedOn w:val="Normal"/>
    <w:next w:val="Normal"/>
    <w:semiHidden/>
    <w:rsid w:val="002F56E4"/>
    <w:pPr>
      <w:tabs>
        <w:tab w:val="right" w:leader="dot" w:pos="9072"/>
      </w:tabs>
      <w:ind w:left="970" w:hanging="403"/>
    </w:pPr>
    <w:rPr>
      <w:rFonts w:ascii="Times New Roman" w:hAnsi="Times New Roman"/>
      <w:b/>
    </w:rPr>
  </w:style>
  <w:style w:type="paragraph" w:styleId="ListNumber">
    <w:name w:val="List Number"/>
    <w:basedOn w:val="List"/>
    <w:rsid w:val="002F56E4"/>
    <w:pPr>
      <w:numPr>
        <w:numId w:val="9"/>
      </w:numPr>
    </w:pPr>
  </w:style>
  <w:style w:type="character" w:customStyle="1" w:styleId="WingdingSymbols">
    <w:name w:val="Wingding Symbols"/>
    <w:rsid w:val="002F56E4"/>
    <w:rPr>
      <w:rFonts w:ascii="Wingdings" w:hAnsi="Wingdings"/>
    </w:rPr>
  </w:style>
  <w:style w:type="paragraph" w:customStyle="1" w:styleId="TableHeading">
    <w:name w:val="Table Heading"/>
    <w:basedOn w:val="HeadingBase"/>
    <w:rsid w:val="002F56E4"/>
    <w:pPr>
      <w:keepLines/>
      <w:pBdr>
        <w:bottom w:val="single" w:sz="6" w:space="1" w:color="918585"/>
      </w:pBdr>
      <w:spacing w:before="240"/>
    </w:pPr>
  </w:style>
  <w:style w:type="character" w:customStyle="1" w:styleId="HotSpot">
    <w:name w:val="HotSpot"/>
    <w:rsid w:val="002F56E4"/>
    <w:rPr>
      <w:color w:val="0033CC"/>
      <w:u w:val="none"/>
    </w:rPr>
  </w:style>
  <w:style w:type="paragraph" w:customStyle="1" w:styleId="BodyTextRight">
    <w:name w:val="Body Text Right"/>
    <w:basedOn w:val="BodyText"/>
    <w:rsid w:val="002F56E4"/>
    <w:pPr>
      <w:spacing w:before="0" w:after="0"/>
      <w:jc w:val="right"/>
    </w:pPr>
  </w:style>
  <w:style w:type="paragraph" w:styleId="Index3">
    <w:name w:val="index 3"/>
    <w:basedOn w:val="ListNumber2"/>
    <w:next w:val="Normal"/>
    <w:semiHidden/>
    <w:rsid w:val="002F56E4"/>
    <w:pPr>
      <w:numPr>
        <w:numId w:val="0"/>
      </w:numPr>
      <w:tabs>
        <w:tab w:val="right" w:leader="dot" w:pos="4176"/>
      </w:tabs>
    </w:pPr>
  </w:style>
  <w:style w:type="paragraph" w:styleId="ListNumber2">
    <w:name w:val="List Number 2"/>
    <w:basedOn w:val="List2"/>
    <w:rsid w:val="002F56E4"/>
    <w:pPr>
      <w:numPr>
        <w:numId w:val="8"/>
      </w:numPr>
      <w:tabs>
        <w:tab w:val="clear" w:pos="1060"/>
      </w:tabs>
    </w:pPr>
  </w:style>
  <w:style w:type="paragraph" w:customStyle="1" w:styleId="MarginNote">
    <w:name w:val="Margin Note"/>
    <w:basedOn w:val="BodyText"/>
    <w:rsid w:val="002F56E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F56E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F56E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F56E4"/>
    <w:rPr>
      <w:sz w:val="32"/>
    </w:rPr>
  </w:style>
  <w:style w:type="paragraph" w:customStyle="1" w:styleId="HeadingProcedure">
    <w:name w:val="Heading Procedure"/>
    <w:basedOn w:val="HeadingBase"/>
    <w:next w:val="Normal"/>
    <w:rsid w:val="002F56E4"/>
    <w:pPr>
      <w:tabs>
        <w:tab w:val="left" w:pos="0"/>
      </w:tabs>
      <w:spacing w:before="120" w:after="60"/>
    </w:pPr>
    <w:rPr>
      <w:i/>
      <w:color w:val="918585"/>
      <w:sz w:val="22"/>
    </w:rPr>
  </w:style>
  <w:style w:type="paragraph" w:customStyle="1" w:styleId="TableBodyText">
    <w:name w:val="Table Body Text"/>
    <w:basedOn w:val="BodyText"/>
    <w:rsid w:val="002F56E4"/>
    <w:pPr>
      <w:spacing w:before="60" w:after="60"/>
    </w:pPr>
  </w:style>
  <w:style w:type="paragraph" w:styleId="ListContinue">
    <w:name w:val="List Continue"/>
    <w:basedOn w:val="List"/>
    <w:rsid w:val="002F56E4"/>
    <w:pPr>
      <w:ind w:firstLine="0"/>
    </w:pPr>
  </w:style>
  <w:style w:type="paragraph" w:customStyle="1" w:styleId="ListNote">
    <w:name w:val="List Note"/>
    <w:basedOn w:val="List"/>
    <w:rsid w:val="002F56E4"/>
    <w:pPr>
      <w:pBdr>
        <w:top w:val="single" w:sz="6" w:space="2" w:color="918585"/>
        <w:bottom w:val="single" w:sz="6" w:space="2" w:color="918585"/>
      </w:pBdr>
      <w:tabs>
        <w:tab w:val="left" w:pos="1021"/>
      </w:tabs>
      <w:ind w:firstLine="0"/>
    </w:pPr>
  </w:style>
  <w:style w:type="paragraph" w:customStyle="1" w:styleId="Warning">
    <w:name w:val="Warning"/>
    <w:basedOn w:val="BodyText"/>
    <w:rsid w:val="002F56E4"/>
    <w:pPr>
      <w:shd w:val="clear" w:color="auto" w:fill="D9D9D9"/>
      <w:tabs>
        <w:tab w:val="left" w:pos="992"/>
      </w:tabs>
      <w:ind w:left="119" w:right="119"/>
    </w:pPr>
    <w:rPr>
      <w:sz w:val="20"/>
    </w:rPr>
  </w:style>
  <w:style w:type="paragraph" w:customStyle="1" w:styleId="MarginIcons">
    <w:name w:val="Margin Icons"/>
    <w:basedOn w:val="BodyText"/>
    <w:rsid w:val="002F56E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F56E4"/>
    <w:rPr>
      <w:rFonts w:ascii="Courier New" w:hAnsi="Courier New"/>
    </w:rPr>
  </w:style>
  <w:style w:type="paragraph" w:customStyle="1" w:styleId="NoteBullet">
    <w:name w:val="Note Bullet"/>
    <w:basedOn w:val="Note"/>
    <w:rsid w:val="002F56E4"/>
    <w:pPr>
      <w:tabs>
        <w:tab w:val="clear" w:pos="680"/>
      </w:tabs>
      <w:spacing w:before="60" w:after="60"/>
    </w:pPr>
  </w:style>
  <w:style w:type="paragraph" w:customStyle="1" w:styleId="SubHeading2">
    <w:name w:val="SubHeading2"/>
    <w:basedOn w:val="HeadingBase"/>
    <w:rsid w:val="002F56E4"/>
    <w:pPr>
      <w:spacing w:before="240" w:after="60"/>
    </w:pPr>
    <w:rPr>
      <w:sz w:val="20"/>
    </w:rPr>
  </w:style>
  <w:style w:type="paragraph" w:customStyle="1" w:styleId="SubHeading1">
    <w:name w:val="SubHeading1"/>
    <w:basedOn w:val="HeadingBase"/>
    <w:rsid w:val="002F56E4"/>
    <w:pPr>
      <w:spacing w:before="240" w:after="60"/>
    </w:pPr>
    <w:rPr>
      <w:color w:val="918585"/>
      <w:sz w:val="22"/>
    </w:rPr>
  </w:style>
  <w:style w:type="paragraph" w:customStyle="1" w:styleId="SideHeading">
    <w:name w:val="Side Heading"/>
    <w:basedOn w:val="HeadingBase"/>
    <w:rsid w:val="002F56E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F56E4"/>
    <w:pPr>
      <w:numPr>
        <w:numId w:val="10"/>
      </w:numPr>
    </w:pPr>
  </w:style>
  <w:style w:type="paragraph" w:styleId="PlainText">
    <w:name w:val="Plain Text"/>
    <w:basedOn w:val="Normal"/>
    <w:link w:val="PlainTextChar"/>
    <w:rsid w:val="002F56E4"/>
    <w:rPr>
      <w:sz w:val="20"/>
    </w:rPr>
  </w:style>
  <w:style w:type="character" w:customStyle="1" w:styleId="PlainTextChar">
    <w:name w:val="Plain Text Char"/>
    <w:basedOn w:val="DefaultParagraphFont"/>
    <w:link w:val="PlainText"/>
    <w:rsid w:val="002F56E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F56E4"/>
    <w:rPr>
      <w:b/>
      <w:smallCaps/>
    </w:rPr>
  </w:style>
  <w:style w:type="paragraph" w:customStyle="1" w:styleId="TableListNumber">
    <w:name w:val="Table List Number"/>
    <w:basedOn w:val="ListNumber"/>
    <w:rsid w:val="002F56E4"/>
    <w:pPr>
      <w:numPr>
        <w:numId w:val="0"/>
      </w:numPr>
    </w:pPr>
  </w:style>
  <w:style w:type="paragraph" w:styleId="TOC4">
    <w:name w:val="toc 4"/>
    <w:basedOn w:val="TOCBase"/>
    <w:next w:val="Normal"/>
    <w:semiHidden/>
    <w:rsid w:val="002F56E4"/>
    <w:pPr>
      <w:tabs>
        <w:tab w:val="right" w:leader="dot" w:pos="9071"/>
      </w:tabs>
      <w:ind w:left="1701"/>
    </w:pPr>
  </w:style>
  <w:style w:type="paragraph" w:customStyle="1" w:styleId="ListAlpha">
    <w:name w:val="List Alpha"/>
    <w:basedOn w:val="List"/>
    <w:rsid w:val="002F56E4"/>
    <w:pPr>
      <w:numPr>
        <w:numId w:val="7"/>
      </w:numPr>
    </w:pPr>
  </w:style>
  <w:style w:type="paragraph" w:customStyle="1" w:styleId="ListAlpha2">
    <w:name w:val="List Alpha 2"/>
    <w:basedOn w:val="List2"/>
    <w:rsid w:val="002F56E4"/>
    <w:pPr>
      <w:numPr>
        <w:numId w:val="6"/>
      </w:numPr>
    </w:pPr>
  </w:style>
  <w:style w:type="paragraph" w:styleId="List2">
    <w:name w:val="List 2"/>
    <w:basedOn w:val="BodyText"/>
    <w:rsid w:val="002F56E4"/>
    <w:pPr>
      <w:tabs>
        <w:tab w:val="left" w:pos="680"/>
      </w:tabs>
      <w:spacing w:before="60" w:after="60"/>
      <w:ind w:left="680" w:hanging="340"/>
    </w:pPr>
  </w:style>
  <w:style w:type="paragraph" w:styleId="List3">
    <w:name w:val="List 3"/>
    <w:basedOn w:val="BodyText"/>
    <w:rsid w:val="002F56E4"/>
    <w:pPr>
      <w:tabs>
        <w:tab w:val="left" w:pos="1021"/>
      </w:tabs>
      <w:spacing w:before="60" w:after="60"/>
      <w:ind w:left="1020" w:hanging="340"/>
    </w:pPr>
  </w:style>
  <w:style w:type="paragraph" w:styleId="List4">
    <w:name w:val="List 4"/>
    <w:basedOn w:val="BodyText"/>
    <w:rsid w:val="002F56E4"/>
    <w:pPr>
      <w:tabs>
        <w:tab w:val="left" w:pos="1361"/>
      </w:tabs>
      <w:spacing w:before="60" w:after="60"/>
      <w:ind w:left="1361" w:hanging="340"/>
    </w:pPr>
  </w:style>
  <w:style w:type="paragraph" w:styleId="List5">
    <w:name w:val="List 5"/>
    <w:basedOn w:val="BodyText"/>
    <w:rsid w:val="002F56E4"/>
    <w:pPr>
      <w:tabs>
        <w:tab w:val="left" w:pos="1701"/>
      </w:tabs>
      <w:spacing w:before="60" w:after="60"/>
      <w:ind w:left="1701" w:hanging="340"/>
    </w:pPr>
  </w:style>
  <w:style w:type="paragraph" w:styleId="ListBullet3">
    <w:name w:val="List Bullet 3"/>
    <w:basedOn w:val="List3"/>
    <w:rsid w:val="002F56E4"/>
    <w:pPr>
      <w:numPr>
        <w:numId w:val="13"/>
      </w:numPr>
      <w:tabs>
        <w:tab w:val="clear" w:pos="1021"/>
      </w:tabs>
      <w:ind w:left="1037" w:hanging="357"/>
    </w:pPr>
  </w:style>
  <w:style w:type="paragraph" w:styleId="ListBullet4">
    <w:name w:val="List Bullet 4"/>
    <w:basedOn w:val="List4"/>
    <w:rsid w:val="002F56E4"/>
    <w:pPr>
      <w:numPr>
        <w:numId w:val="1"/>
      </w:numPr>
    </w:pPr>
  </w:style>
  <w:style w:type="paragraph" w:styleId="ListBullet5">
    <w:name w:val="List Bullet 5"/>
    <w:basedOn w:val="List5"/>
    <w:rsid w:val="002F56E4"/>
    <w:pPr>
      <w:numPr>
        <w:numId w:val="2"/>
      </w:numPr>
    </w:pPr>
  </w:style>
  <w:style w:type="paragraph" w:styleId="ListContinue2">
    <w:name w:val="List Continue 2"/>
    <w:basedOn w:val="List2"/>
    <w:rsid w:val="002F56E4"/>
    <w:pPr>
      <w:ind w:firstLine="0"/>
    </w:pPr>
  </w:style>
  <w:style w:type="paragraph" w:styleId="ListContinue3">
    <w:name w:val="List Continue 3"/>
    <w:basedOn w:val="List3"/>
    <w:rsid w:val="002F56E4"/>
    <w:pPr>
      <w:ind w:left="1021" w:firstLine="0"/>
    </w:pPr>
  </w:style>
  <w:style w:type="paragraph" w:styleId="ListContinue4">
    <w:name w:val="List Continue 4"/>
    <w:basedOn w:val="List4"/>
    <w:rsid w:val="002F56E4"/>
    <w:pPr>
      <w:ind w:firstLine="0"/>
    </w:pPr>
  </w:style>
  <w:style w:type="paragraph" w:styleId="ListContinue5">
    <w:name w:val="List Continue 5"/>
    <w:basedOn w:val="List5"/>
    <w:rsid w:val="002F56E4"/>
    <w:pPr>
      <w:ind w:firstLine="0"/>
    </w:pPr>
  </w:style>
  <w:style w:type="paragraph" w:styleId="ListNumber3">
    <w:name w:val="List Number 3"/>
    <w:basedOn w:val="List3"/>
    <w:rsid w:val="002F56E4"/>
    <w:pPr>
      <w:numPr>
        <w:numId w:val="3"/>
      </w:numPr>
    </w:pPr>
  </w:style>
  <w:style w:type="paragraph" w:styleId="ListNumber4">
    <w:name w:val="List Number 4"/>
    <w:basedOn w:val="List4"/>
    <w:rsid w:val="002F56E4"/>
    <w:pPr>
      <w:numPr>
        <w:numId w:val="4"/>
      </w:numPr>
    </w:pPr>
  </w:style>
  <w:style w:type="paragraph" w:styleId="ListNumber5">
    <w:name w:val="List Number 5"/>
    <w:basedOn w:val="List5"/>
    <w:rsid w:val="002F56E4"/>
    <w:pPr>
      <w:numPr>
        <w:numId w:val="5"/>
      </w:numPr>
    </w:pPr>
  </w:style>
  <w:style w:type="paragraph" w:styleId="BlockText">
    <w:name w:val="Block Text"/>
    <w:basedOn w:val="Normal"/>
    <w:rsid w:val="002F56E4"/>
    <w:pPr>
      <w:spacing w:after="120"/>
      <w:ind w:left="1440" w:right="1440"/>
    </w:pPr>
  </w:style>
  <w:style w:type="character" w:customStyle="1" w:styleId="Subscript">
    <w:name w:val="Subscript"/>
    <w:basedOn w:val="DefaultParagraphFont"/>
    <w:rsid w:val="002F56E4"/>
    <w:rPr>
      <w:sz w:val="16"/>
      <w:vertAlign w:val="subscript"/>
    </w:rPr>
  </w:style>
  <w:style w:type="character" w:customStyle="1" w:styleId="Superscript">
    <w:name w:val="Superscript"/>
    <w:basedOn w:val="DefaultParagraphFont"/>
    <w:rsid w:val="002F56E4"/>
    <w:rPr>
      <w:sz w:val="16"/>
      <w:vertAlign w:val="superscript"/>
    </w:rPr>
  </w:style>
  <w:style w:type="character" w:customStyle="1" w:styleId="Symbols">
    <w:name w:val="Symbols"/>
    <w:basedOn w:val="DefaultParagraphFont"/>
    <w:rsid w:val="002F56E4"/>
    <w:rPr>
      <w:rFonts w:ascii="Symbol" w:hAnsi="Symbol"/>
    </w:rPr>
  </w:style>
  <w:style w:type="character" w:customStyle="1" w:styleId="MenuOptions">
    <w:name w:val="Menu Options"/>
    <w:basedOn w:val="DefaultParagraphFont"/>
    <w:rsid w:val="002F56E4"/>
    <w:rPr>
      <w:rFonts w:ascii="Arial Narrow" w:hAnsi="Arial Narrow"/>
      <w:smallCaps/>
    </w:rPr>
  </w:style>
  <w:style w:type="character" w:customStyle="1" w:styleId="Buttons">
    <w:name w:val="Buttons"/>
    <w:basedOn w:val="DefaultParagraphFont"/>
    <w:rsid w:val="002F56E4"/>
    <w:rPr>
      <w:b/>
    </w:rPr>
  </w:style>
  <w:style w:type="character" w:customStyle="1" w:styleId="Underlined">
    <w:name w:val="Underlined"/>
    <w:basedOn w:val="DefaultParagraphFont"/>
    <w:rsid w:val="002F56E4"/>
    <w:rPr>
      <w:u w:val="single"/>
    </w:rPr>
  </w:style>
  <w:style w:type="paragraph" w:customStyle="1" w:styleId="TableBodyTextRight">
    <w:name w:val="Table Body Text Right"/>
    <w:basedOn w:val="TableBodyText"/>
    <w:rsid w:val="002F56E4"/>
    <w:pPr>
      <w:widowControl w:val="0"/>
      <w:autoSpaceDE w:val="0"/>
      <w:autoSpaceDN w:val="0"/>
      <w:adjustRightInd w:val="0"/>
      <w:jc w:val="right"/>
    </w:pPr>
    <w:rPr>
      <w:rFonts w:cs="Arial"/>
      <w:szCs w:val="18"/>
    </w:rPr>
  </w:style>
  <w:style w:type="paragraph" w:customStyle="1" w:styleId="CopyrightText">
    <w:name w:val="Copyright Text"/>
    <w:basedOn w:val="BodyText"/>
    <w:rsid w:val="002F56E4"/>
    <w:rPr>
      <w:sz w:val="18"/>
    </w:rPr>
  </w:style>
  <w:style w:type="paragraph" w:customStyle="1" w:styleId="BodySmallRight">
    <w:name w:val="Body Small Right"/>
    <w:basedOn w:val="BodyTextRight"/>
    <w:rsid w:val="002F56E4"/>
    <w:rPr>
      <w:sz w:val="18"/>
      <w:szCs w:val="18"/>
    </w:rPr>
  </w:style>
  <w:style w:type="paragraph" w:customStyle="1" w:styleId="MarginEdition">
    <w:name w:val="Margin Edition"/>
    <w:basedOn w:val="MarginNote"/>
    <w:rsid w:val="002F56E4"/>
    <w:pPr>
      <w:spacing w:before="0" w:after="0"/>
    </w:pPr>
    <w:rPr>
      <w:rFonts w:ascii="Times New Roman" w:hAnsi="Times New Roman"/>
      <w:color w:val="999999"/>
    </w:rPr>
  </w:style>
  <w:style w:type="paragraph" w:customStyle="1" w:styleId="Spacer">
    <w:name w:val="Spacer"/>
    <w:basedOn w:val="Normal"/>
    <w:rsid w:val="002F56E4"/>
    <w:rPr>
      <w:sz w:val="2"/>
      <w:szCs w:val="2"/>
    </w:rPr>
  </w:style>
  <w:style w:type="character" w:customStyle="1" w:styleId="Small">
    <w:name w:val="Small"/>
    <w:basedOn w:val="DefaultParagraphFont"/>
    <w:rsid w:val="002F56E4"/>
    <w:rPr>
      <w:sz w:val="16"/>
    </w:rPr>
  </w:style>
  <w:style w:type="paragraph" w:customStyle="1" w:styleId="WideTable">
    <w:name w:val="Wide Table"/>
    <w:basedOn w:val="Normal"/>
    <w:rsid w:val="002F56E4"/>
    <w:pPr>
      <w:ind w:left="-1418"/>
    </w:pPr>
    <w:rPr>
      <w:sz w:val="2"/>
      <w:szCs w:val="2"/>
    </w:rPr>
  </w:style>
  <w:style w:type="character" w:styleId="PageNumber">
    <w:name w:val="page number"/>
    <w:basedOn w:val="DefaultParagraphFont"/>
    <w:rsid w:val="002F56E4"/>
  </w:style>
  <w:style w:type="paragraph" w:styleId="Quote">
    <w:name w:val="Quote"/>
    <w:basedOn w:val="Heading1"/>
    <w:link w:val="QuoteChar"/>
    <w:qFormat/>
    <w:rsid w:val="002F56E4"/>
    <w:rPr>
      <w:b w:val="0"/>
      <w:sz w:val="72"/>
      <w:szCs w:val="72"/>
      <w:lang w:val="en-NZ"/>
    </w:rPr>
  </w:style>
  <w:style w:type="character" w:customStyle="1" w:styleId="QuoteChar">
    <w:name w:val="Quote Char"/>
    <w:basedOn w:val="DefaultParagraphFont"/>
    <w:link w:val="Quote"/>
    <w:rsid w:val="002F56E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F56E4"/>
    <w:pPr>
      <w:pageBreakBefore/>
    </w:pPr>
  </w:style>
  <w:style w:type="paragraph" w:customStyle="1" w:styleId="Border">
    <w:name w:val="Border"/>
    <w:basedOn w:val="Normal"/>
    <w:qFormat/>
    <w:rsid w:val="002F56E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F56E4"/>
    <w:rPr>
      <w:b/>
      <w:bCs/>
      <w:i/>
      <w:iCs/>
      <w:color w:val="auto"/>
    </w:rPr>
  </w:style>
  <w:style w:type="paragraph" w:styleId="IntenseQuote">
    <w:name w:val="Intense Quote"/>
    <w:basedOn w:val="Normal"/>
    <w:next w:val="Normal"/>
    <w:link w:val="IntenseQuoteChar"/>
    <w:uiPriority w:val="30"/>
    <w:qFormat/>
    <w:rsid w:val="002F56E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F56E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F56E4"/>
    <w:rPr>
      <w:smallCaps/>
      <w:color w:val="auto"/>
      <w:u w:val="single"/>
    </w:rPr>
  </w:style>
  <w:style w:type="character" w:styleId="IntenseReference">
    <w:name w:val="Intense Reference"/>
    <w:basedOn w:val="DefaultParagraphFont"/>
    <w:uiPriority w:val="32"/>
    <w:qFormat/>
    <w:rsid w:val="002F56E4"/>
    <w:rPr>
      <w:b/>
      <w:bCs/>
      <w:smallCaps/>
      <w:color w:val="auto"/>
      <w:spacing w:val="5"/>
      <w:u w:val="single"/>
    </w:rPr>
  </w:style>
  <w:style w:type="paragraph" w:customStyle="1" w:styleId="2ColumnHeading">
    <w:name w:val="2Column Heading"/>
    <w:basedOn w:val="BodyText"/>
    <w:qFormat/>
    <w:rsid w:val="002F56E4"/>
    <w:pPr>
      <w:spacing w:after="60"/>
      <w:ind w:left="-2268"/>
    </w:pPr>
    <w:rPr>
      <w:b/>
    </w:rPr>
  </w:style>
  <w:style w:type="paragraph" w:customStyle="1" w:styleId="Heading1TOC">
    <w:name w:val="Heading1 TOC"/>
    <w:basedOn w:val="Normal"/>
    <w:qFormat/>
    <w:rsid w:val="002F56E4"/>
    <w:pPr>
      <w:spacing w:before="240" w:after="120"/>
    </w:pPr>
    <w:rPr>
      <w:rFonts w:ascii="Times New Roman" w:hAnsi="Times New Roman"/>
      <w:b/>
      <w:sz w:val="32"/>
    </w:rPr>
  </w:style>
  <w:style w:type="paragraph" w:customStyle="1" w:styleId="Heading2TOC">
    <w:name w:val="Heading2 TOC"/>
    <w:basedOn w:val="Normal"/>
    <w:qFormat/>
    <w:rsid w:val="002F56E4"/>
    <w:pPr>
      <w:spacing w:before="240" w:after="60"/>
    </w:pPr>
    <w:rPr>
      <w:rFonts w:ascii="Times New Roman" w:hAnsi="Times New Roman"/>
      <w:b/>
      <w:sz w:val="28"/>
    </w:rPr>
  </w:style>
  <w:style w:type="character" w:customStyle="1" w:styleId="Underline">
    <w:name w:val="Underline"/>
    <w:basedOn w:val="DefaultParagraphFont"/>
    <w:qFormat/>
    <w:rsid w:val="002F56E4"/>
    <w:rPr>
      <w:u w:val="single"/>
    </w:rPr>
  </w:style>
  <w:style w:type="character" w:customStyle="1" w:styleId="BoldandItalics">
    <w:name w:val="Bold and Italics"/>
    <w:qFormat/>
    <w:rsid w:val="002F56E4"/>
    <w:rPr>
      <w:b/>
      <w:i/>
      <w:u w:val="none"/>
    </w:rPr>
  </w:style>
  <w:style w:type="paragraph" w:styleId="BalloonText">
    <w:name w:val="Balloon Text"/>
    <w:basedOn w:val="Normal"/>
    <w:link w:val="BalloonTextChar"/>
    <w:rsid w:val="002F56E4"/>
    <w:rPr>
      <w:rFonts w:ascii="Tahoma" w:hAnsi="Tahoma" w:cs="Tahoma"/>
      <w:sz w:val="16"/>
      <w:szCs w:val="16"/>
    </w:rPr>
  </w:style>
  <w:style w:type="character" w:customStyle="1" w:styleId="BalloonTextChar">
    <w:name w:val="Balloon Text Char"/>
    <w:basedOn w:val="DefaultParagraphFont"/>
    <w:link w:val="BalloonText"/>
    <w:rsid w:val="002F56E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F56E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F56E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1365</Words>
  <Characters>8781</Characters>
  <Application>Microsoft Office Word</Application>
  <DocSecurity>0</DocSecurity>
  <Lines>316</Lines>
  <Paragraphs>187</Paragraphs>
  <ScaleCrop>false</ScaleCrop>
  <Company>Author-it Software Corporation Ltd.</Company>
  <LinksUpToDate>false</LinksUpToDate>
  <CharactersWithSpaces>10036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TLIA3907B Receive and store stock</dc:title>
  <dc:subject>Approved</dc:subject>
  <dc:creator>Transport &amp; Logistics Industry Skills Council</dc:creator>
  <cp:keywords>Release: 1</cp:keywords>
  <dc:description>Copyright © 1996-2007 Author-it Software Corporation Ltd., all rights reserved.</dc:description>
  <cp:lastModifiedBy>Windows User</cp:lastModifiedBy>
  <cp:revision>3</cp:revision>
  <dcterms:created xsi:type="dcterms:W3CDTF">2012-05-27T03:23:00Z</dcterms:created>
  <dcterms:modified xsi:type="dcterms:W3CDTF">2012-05-27T03:23:00Z</dcterms:modified>
</cp:coreProperties>
</file>