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6DE" w:rsidP="009F36DE">
      <w:pPr>
        <w:pStyle w:val="Title"/>
      </w:pPr>
      <w:r>
        <w:fldChar w:fldCharType="begin"/>
      </w:r>
      <w:r>
        <w:instrText xml:space="preserve"> TITLE   \* MERGEFORMAT </w:instrText>
      </w:r>
      <w:r>
        <w:fldChar w:fldCharType="separate"/>
      </w:r>
      <w:r>
        <w:t>TLIA1007C Coordinate goods to bond premises</w:t>
      </w:r>
      <w:r>
        <w:fldChar w:fldCharType="end"/>
      </w:r>
    </w:p>
    <w:p w:rsidR="009F36DE" w:rsidP="009F36DE">
      <w:pPr>
        <w:pStyle w:val="Version"/>
        <w:sectPr w:rsidSect="00591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1E0" w:rsidP="005911E0">
      <w:pPr>
        <w:pStyle w:val="SuperHeading"/>
      </w:pPr>
      <w:r w:rsidRPr="005911E0">
        <w:t>TLIA1007C Coordinate goods to bond premises</w:t>
      </w:r>
    </w:p>
    <w:p w:rsidR="00000000" w:rsidRPr="005911E0" w:rsidP="005911E0">
      <w:pPr>
        <w:pStyle w:val="Heading1"/>
      </w:pPr>
      <w:bookmarkStart w:id="1" w:name="O_315652"/>
      <w:bookmarkEnd w:id="1"/>
      <w:r w:rsidRPr="005911E0">
        <w:t>Modification History</w:t>
      </w:r>
    </w:p>
    <w:p w:rsidR="00000000" w:rsidRPr="005911E0" w:rsidP="005911E0">
      <w:pPr>
        <w:pStyle w:val="BodyText"/>
      </w:pPr>
      <w:r w:rsidRPr="005911E0">
        <w:t>Not applicable.</w:t>
      </w:r>
    </w:p>
    <w:p w:rsidR="00000000" w:rsidRPr="005911E0" w:rsidP="005911E0">
      <w:pPr>
        <w:pStyle w:val="AllowPageBreak"/>
      </w:pPr>
    </w:p>
    <w:p w:rsidR="00000000" w:rsidRPr="005911E0" w:rsidP="005911E0">
      <w:pPr>
        <w:pStyle w:val="Heading1"/>
      </w:pPr>
      <w:bookmarkStart w:id="2" w:name="O_315651"/>
      <w:bookmarkEnd w:id="2"/>
      <w:r w:rsidRPr="005911E0">
        <w:t>Unit Descriptor</w:t>
      </w:r>
    </w:p>
    <w:p w:rsidR="00000000" w:rsidRPr="005911E0" w:rsidP="005911E0">
      <w:pPr>
        <w:pStyle w:val="BodyText"/>
      </w:pPr>
      <w:r w:rsidRPr="005911E0">
        <w:t>This unit involves the skills and knowledge required to coordinate goods to bond premises in accordance with regulatory an</w:t>
      </w:r>
      <w:r w:rsidRPr="005911E0">
        <w:t>d workplace requirements including identifying and listing goods for bonding, arranging transfer of goods to bond store, and preparing and issuing bond lists.</w:t>
      </w:r>
    </w:p>
    <w:p w:rsidR="00000000" w:rsidRPr="005911E0" w:rsidP="005911E0">
      <w:pPr>
        <w:pStyle w:val="AllowPageBreak"/>
      </w:pPr>
    </w:p>
    <w:p w:rsidR="00000000" w:rsidRPr="005911E0" w:rsidP="005911E0">
      <w:pPr>
        <w:pStyle w:val="Heading1"/>
      </w:pPr>
      <w:bookmarkStart w:id="3" w:name="O_315650"/>
      <w:bookmarkEnd w:id="3"/>
      <w:r w:rsidRPr="005911E0">
        <w:t>Application of the Unit</w:t>
      </w:r>
    </w:p>
    <w:p w:rsidR="00000000" w:rsidRPr="005911E0" w:rsidP="005911E0">
      <w:pPr>
        <w:pStyle w:val="BodyText"/>
      </w:pPr>
      <w:r w:rsidRPr="005911E0">
        <w:t>Work must be carried out in compliance with the relevant</w:t>
      </w:r>
      <w:r w:rsidRPr="005911E0">
        <w:t xml:space="preserve"> regulations and workplace requirements concerning coordination of goods to bond premises.</w:t>
      </w:r>
    </w:p>
    <w:p w:rsidR="00000000" w:rsidRPr="005911E0" w:rsidP="005911E0">
      <w:pPr>
        <w:pStyle w:val="BodyText"/>
      </w:pPr>
      <w:r w:rsidRPr="005911E0">
        <w:t xml:space="preserve">Work is performed under some supervision generally within a team environment. It involves the application of workplace procedures and regulatory requirements to the </w:t>
      </w:r>
      <w:r w:rsidRPr="005911E0">
        <w:t>coordination of goods to bond premises as part of work activities in the warehousing, distribution and/or storage industries.</w:t>
      </w:r>
    </w:p>
    <w:p w:rsidR="00000000" w:rsidRPr="005911E0" w:rsidP="005911E0">
      <w:pPr>
        <w:pStyle w:val="AllowPageBreak"/>
      </w:pPr>
    </w:p>
    <w:p w:rsidR="00000000" w:rsidRPr="005911E0" w:rsidP="005911E0">
      <w:pPr>
        <w:pStyle w:val="Heading1"/>
      </w:pPr>
      <w:bookmarkStart w:id="4" w:name="O_315649"/>
      <w:bookmarkEnd w:id="4"/>
      <w:r w:rsidRPr="005911E0">
        <w:t>Licensing/Regulatory Information</w:t>
      </w:r>
    </w:p>
    <w:p w:rsidR="00000000" w:rsidRPr="005911E0" w:rsidP="005911E0">
      <w:pPr>
        <w:pStyle w:val="BodyText"/>
      </w:pPr>
      <w:r w:rsidRPr="005911E0">
        <w:t>Not applicable.</w:t>
      </w:r>
    </w:p>
    <w:p w:rsidR="00000000" w:rsidRPr="005911E0" w:rsidP="005911E0">
      <w:pPr>
        <w:pStyle w:val="AllowPageBreak"/>
      </w:pPr>
    </w:p>
    <w:p w:rsidR="00000000" w:rsidRPr="005911E0" w:rsidP="005911E0">
      <w:pPr>
        <w:pStyle w:val="Heading1"/>
      </w:pPr>
      <w:bookmarkStart w:id="5" w:name="O_315648"/>
      <w:bookmarkEnd w:id="5"/>
      <w:r w:rsidRPr="005911E0">
        <w:t>Pre-Requisites</w:t>
      </w:r>
    </w:p>
    <w:p w:rsidR="00000000" w:rsidRPr="005911E0" w:rsidP="005911E0">
      <w:pPr>
        <w:pStyle w:val="BodyText"/>
      </w:pPr>
      <w:r w:rsidRPr="005911E0">
        <w:t>Not applicable.</w:t>
      </w:r>
    </w:p>
    <w:p w:rsidR="00000000" w:rsidRPr="005911E0" w:rsidP="005911E0">
      <w:pPr>
        <w:pStyle w:val="AllowPageBreak"/>
      </w:pPr>
    </w:p>
    <w:p w:rsidR="00000000" w:rsidRPr="005911E0" w:rsidP="005911E0">
      <w:pPr>
        <w:pStyle w:val="Heading1"/>
      </w:pPr>
      <w:bookmarkStart w:id="6" w:name="O_315641"/>
      <w:bookmarkEnd w:id="6"/>
      <w:r w:rsidRPr="005911E0">
        <w:t>Employability Skills Information</w:t>
      </w:r>
    </w:p>
    <w:p w:rsidR="00000000" w:rsidRPr="005911E0" w:rsidP="005911E0">
      <w:pPr>
        <w:pStyle w:val="BodyText"/>
      </w:pPr>
      <w:r w:rsidRPr="005911E0">
        <w:t>The required outcomes described in this unit of competency contain applicable facets of Employability Skills. The Employability Skills Summary of the qualification in which this competency is packaged will assist in</w:t>
      </w:r>
      <w:r w:rsidRPr="005911E0">
        <w:t xml:space="preserve"> identifying employability skill requirements.</w:t>
      </w:r>
    </w:p>
    <w:p w:rsidR="00000000" w:rsidRPr="005911E0" w:rsidP="005911E0">
      <w:pPr>
        <w:pStyle w:val="AllowPageBreak"/>
      </w:pPr>
    </w:p>
    <w:p w:rsidR="00000000" w:rsidRPr="005911E0" w:rsidP="005911E0">
      <w:pPr>
        <w:pStyle w:val="Heading1"/>
      </w:pPr>
      <w:bookmarkStart w:id="7" w:name="O_315647"/>
      <w:bookmarkEnd w:id="7"/>
      <w:r w:rsidRPr="005911E0">
        <w:t>Elements and Performance Criteria Pre-Content</w:t>
      </w:r>
    </w:p>
    <w:p w:rsidR="00000000" w:rsidRPr="005911E0" w:rsidP="005911E0">
      <w:pPr>
        <w:pStyle w:val="BodyText"/>
      </w:pPr>
      <w:r w:rsidRPr="005911E0">
        <w:t>Elements describe the essential outcomes of a unit of competency.</w:t>
      </w:r>
    </w:p>
    <w:p w:rsidR="00000000" w:rsidRPr="005911E0" w:rsidP="005911E0">
      <w:pPr>
        <w:pStyle w:val="BodyText"/>
      </w:pPr>
      <w:r w:rsidRPr="005911E0">
        <w:t>Performance criteria describe the required performance needed to demonstrate achievement of the element. Assessment of performance is to be consistent with the evidence guide.</w:t>
      </w:r>
    </w:p>
    <w:p w:rsidR="00000000" w:rsidRPr="005911E0" w:rsidP="005911E0">
      <w:pPr>
        <w:pStyle w:val="AllowPageBreak"/>
      </w:pPr>
    </w:p>
    <w:p w:rsidR="00000000" w:rsidRPr="005911E0" w:rsidP="005911E0">
      <w:pPr>
        <w:pStyle w:val="Heading1"/>
      </w:pPr>
      <w:bookmarkStart w:id="8" w:name="O_315653"/>
      <w:bookmarkEnd w:id="8"/>
      <w:r w:rsidRPr="005911E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36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Elements and Performance Crit</w:t>
            </w:r>
            <w:r w:rsidRPr="005911E0">
              <w:rPr>
                <w:rStyle w:val="SpecialBold"/>
              </w:rPr>
              <w:t>eria</w:t>
            </w:r>
          </w:p>
        </w:tc>
      </w:tr>
      <w:tr w:rsidTr="009F36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Performance Criteria</w:t>
            </w:r>
          </w:p>
        </w:tc>
      </w:tr>
      <w:tr w:rsidTr="009F3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1</w:t>
            </w:r>
          </w:p>
        </w:tc>
        <w:tc>
          <w:tcPr>
            <w:tcW w:w="3000" w:type="dxa"/>
            <w:vMerge w:val="restart"/>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Identify and list goods for bonding</w:t>
            </w: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1.1</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Goods are listed for bonding when not delivered or collected on completion of agreed storage period</w:t>
            </w:r>
          </w:p>
        </w:tc>
      </w:tr>
      <w:tr w:rsidTr="009F3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1.2</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Prior to listing for bonding, inspection is arranged with the Australian Customs Service for goods identified as surplus</w:t>
            </w:r>
          </w:p>
        </w:tc>
      </w:tr>
      <w:tr w:rsidTr="009F3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1.3</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Goods left after time advertised for collection are listed for bonding in accordance with workplace policy and Australian Cus</w:t>
            </w:r>
            <w:r w:rsidRPr="005911E0">
              <w:t>toms Service requirements</w:t>
            </w:r>
          </w:p>
        </w:tc>
      </w:tr>
      <w:tr w:rsidTr="009F3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2</w:t>
            </w:r>
          </w:p>
        </w:tc>
        <w:tc>
          <w:tcPr>
            <w:tcW w:w="3000" w:type="dxa"/>
            <w:vMerge w:val="restart"/>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Arrange transfer of goods to bond store</w:t>
            </w: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2.1</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Arrangements for the transfer of goods to bond store are made in accordance with regulatory requirements and workplace procedures</w:t>
            </w:r>
          </w:p>
        </w:tc>
      </w:tr>
      <w:tr w:rsidTr="009F3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2.2</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Carrier is notified of storage or yard locatio</w:t>
            </w:r>
            <w:r w:rsidRPr="005911E0">
              <w:t>n, marks and quantity</w:t>
            </w:r>
          </w:p>
        </w:tc>
      </w:tr>
      <w:tr w:rsidTr="009F3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3</w:t>
            </w:r>
          </w:p>
        </w:tc>
        <w:tc>
          <w:tcPr>
            <w:tcW w:w="3000" w:type="dxa"/>
            <w:vMerge w:val="restart"/>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Prepare and issue bond list</w:t>
            </w: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3.1</w:t>
            </w:r>
          </w:p>
        </w:tc>
        <w:tc>
          <w:tcPr>
            <w:tcW w:w="51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Bond list is prepared in accordance with workplace requirements and Australian Customs Service regulations</w:t>
            </w:r>
          </w:p>
        </w:tc>
      </w:tr>
      <w:tr w:rsidTr="009F3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3.2</w:t>
            </w:r>
          </w:p>
        </w:tc>
        <w:tc>
          <w:tcPr>
            <w:tcW w:w="51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Bond list, endorsed with the relevant information, is issued to carrier</w:t>
            </w:r>
          </w:p>
        </w:tc>
      </w:tr>
    </w:tbl>
    <w:p w:rsidR="00000000" w:rsidRPr="005911E0" w:rsidP="005911E0">
      <w:pPr>
        <w:pStyle w:val="BodyText"/>
      </w:pPr>
    </w:p>
    <w:p w:rsidR="00000000" w:rsidRPr="005911E0" w:rsidP="005911E0">
      <w:pPr>
        <w:pStyle w:val="AllowPageBreak"/>
      </w:pPr>
    </w:p>
    <w:p w:rsidR="00000000" w:rsidRPr="005911E0" w:rsidP="005911E0">
      <w:pPr>
        <w:pStyle w:val="Heading1"/>
      </w:pPr>
      <w:bookmarkStart w:id="9" w:name="O_315646"/>
      <w:bookmarkEnd w:id="9"/>
      <w:r w:rsidRPr="005911E0">
        <w:t>Required Skills and Knowledge</w:t>
      </w:r>
    </w:p>
    <w:tbl>
      <w:tblPr>
        <w:tblW w:w="0" w:type="auto"/>
        <w:tblLayout w:type="fixed"/>
        <w:tblCellMar>
          <w:left w:w="62" w:type="dxa"/>
          <w:right w:w="62" w:type="dxa"/>
        </w:tblCellMar>
        <w:tblLook w:val="0000"/>
      </w:tblPr>
      <w:tblGrid>
        <w:gridCol w:w="9000"/>
      </w:tblGrid>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REQUIRED KNOWLEDGE AND SKILLS</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This describes the essential knowledge and skills and their level required for this unit.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Required knowledge</w:t>
            </w:r>
            <w:r w:rsidRPr="005911E0">
              <w:t xml:space="preserve">: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Australian and international codes and regulations relevant to the coordi</w:t>
            </w:r>
            <w:r w:rsidRPr="005911E0">
              <w:t xml:space="preserve">nation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Relevant OH&amp;S and environmental protection procedures and guidelines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Workplace procedures and policies for the coordination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Focus of operation of work systems, equipment, management and site </w:t>
            </w:r>
            <w:r w:rsidRPr="005911E0">
              <w:t xml:space="preserve">operating systems for coordination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 xml:space="preserve">Problems that may occur when coordinating goods to bond premises and appropriate action that can be taken to resolve the problems </w:t>
            </w:r>
          </w:p>
        </w:tc>
      </w:tr>
    </w:tbl>
    <w:p w:rsidR="00000000" w:rsidRPr="005911E0" w:rsidP="005911E0">
      <w:pPr>
        <w:pStyle w:val="BodyText"/>
      </w:pPr>
    </w:p>
    <w:tbl>
      <w:tblPr>
        <w:tblW w:w="0" w:type="auto"/>
        <w:tblLayout w:type="fixed"/>
        <w:tblCellMar>
          <w:left w:w="62" w:type="dxa"/>
          <w:right w:w="62" w:type="dxa"/>
        </w:tblCellMar>
        <w:tblLook w:val="0000"/>
      </w:tblPr>
      <w:tblGrid>
        <w:gridCol w:w="9000"/>
      </w:tblGrid>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Required skills</w:t>
            </w:r>
            <w:r w:rsidRPr="005911E0">
              <w:t>:</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Communicate effectively with others when c</w:t>
            </w:r>
            <w:r w:rsidRPr="005911E0">
              <w:t xml:space="preserve">oordinating the delivery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Read and comprehend simple statements in English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Read and interpret instructions, procedures and labels relevant to the coordination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Complete documentation when coordinating the delivery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Work collaboratively with others when coordinating the delivery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Adapt appropriately to cultural differences in the workplace, including modes of b</w:t>
            </w:r>
            <w:r w:rsidRPr="005911E0">
              <w:t xml:space="preserve">ehaviour and interactions with others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Promptly report and/or rectify any identified problems when coordinating the delivery of goods to bond premises in accordance with regulatory requirements and workplace procedures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Implement contingency plans for un</w:t>
            </w:r>
            <w:r w:rsidRPr="005911E0">
              <w:t xml:space="preserve">planned events when coordinating the delivery of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Modify activities depending on differing operational contingencies, risk situations and environments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Work systematically with required attention to detail without injury to self or</w:t>
            </w:r>
            <w:r w:rsidRPr="005911E0">
              <w:t xml:space="preserve"> others, or </w:t>
            </w:r>
            <w:r w:rsidRPr="005911E0">
              <w:t xml:space="preserve">damage to goods or equipment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Select and use relevant communications, computing and office equipment when coordinating goods to bond premises </w:t>
            </w:r>
          </w:p>
        </w:tc>
      </w:tr>
      <w:tr w:rsidTr="009F3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 xml:space="preserve">Select and use required personal protective equipment conforming to industry and OH&amp;S standards </w:t>
            </w:r>
          </w:p>
        </w:tc>
      </w:tr>
    </w:tbl>
    <w:p w:rsidR="00000000" w:rsidRPr="005911E0" w:rsidP="005911E0">
      <w:pPr>
        <w:pStyle w:val="BodyText"/>
      </w:pPr>
    </w:p>
    <w:p w:rsidR="00000000" w:rsidRPr="005911E0" w:rsidP="005911E0">
      <w:pPr>
        <w:pStyle w:val="AllowPageBreak"/>
      </w:pPr>
    </w:p>
    <w:p w:rsidR="00000000" w:rsidRPr="005911E0" w:rsidP="005911E0">
      <w:pPr>
        <w:pStyle w:val="Heading1"/>
      </w:pPr>
      <w:bookmarkStart w:id="10" w:name="O_315645"/>
      <w:bookmarkEnd w:id="10"/>
      <w:r w:rsidRPr="005911E0">
        <w:t>Evidence Guide</w:t>
      </w:r>
    </w:p>
    <w:tbl>
      <w:tblPr>
        <w:tblW w:w="0" w:type="auto"/>
        <w:tblLayout w:type="fixed"/>
        <w:tblCellMar>
          <w:left w:w="62" w:type="dxa"/>
          <w:right w:w="62" w:type="dxa"/>
        </w:tblCellMar>
        <w:tblLook w:val="0000"/>
      </w:tblPr>
      <w:tblGrid>
        <w:gridCol w:w="4500"/>
        <w:gridCol w:w="4500"/>
      </w:tblGrid>
      <w:tr w:rsidTr="009F3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11E0">
            <w:pPr>
              <w:pStyle w:val="BodyText"/>
              <w:rPr>
                <w:lang w:val="en-NZ"/>
              </w:rPr>
            </w:pPr>
          </w:p>
        </w:tc>
      </w:tr>
      <w:tr w:rsidTr="009F3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The evidence guide provides advice on assessment and must be read in conjunction with the performance criteria, required knowledge and skills, the range statement and the assessment guidelines for this Training Package.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 xml:space="preserve">The evidence required to demonstrate competency in this unit must be relevant to and satisfy all of the requirements of the elements and performance criteria of </w:t>
            </w:r>
            <w:r w:rsidRPr="005911E0">
              <w:t xml:space="preserve">this unit and include demonstration of applying:   </w:t>
            </w:r>
          </w:p>
          <w:p w:rsidR="00000000" w:rsidRPr="005911E0" w:rsidP="005911E0">
            <w:pPr>
              <w:pStyle w:val="BodyText"/>
            </w:pPr>
            <w:r w:rsidRPr="005911E0">
              <w:t>the underpinning knowledge and skills</w:t>
            </w:r>
          </w:p>
          <w:p w:rsidR="00000000" w:rsidRPr="005911E0" w:rsidP="005911E0">
            <w:pPr>
              <w:pStyle w:val="BodyText"/>
            </w:pPr>
            <w:r w:rsidRPr="005911E0">
              <w:t>relevant legislation and workplace procedures</w:t>
            </w:r>
          </w:p>
          <w:p w:rsidR="00000000" w:rsidP="005911E0">
            <w:pPr>
              <w:pStyle w:val="BodyText"/>
              <w:rPr>
                <w:lang w:val="en-NZ"/>
              </w:rPr>
            </w:pPr>
            <w:r w:rsidRPr="005911E0">
              <w:t xml:space="preserve">other relevant aspects of the range statement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Performance is demonstrated consistently over a period of time and in a suitable range of contexts</w:t>
            </w:r>
          </w:p>
          <w:p w:rsidR="00000000" w:rsidRPr="005911E0" w:rsidP="005911E0">
            <w:pPr>
              <w:pStyle w:val="BodyText"/>
            </w:pPr>
            <w:r w:rsidRPr="005911E0">
              <w:t xml:space="preserve">Resources for assessment include:   </w:t>
            </w:r>
          </w:p>
          <w:p w:rsidR="00000000" w:rsidRPr="005911E0" w:rsidP="005911E0">
            <w:pPr>
              <w:pStyle w:val="BodyText"/>
            </w:pPr>
            <w:r w:rsidRPr="005911E0">
              <w:t>a range of relevant exercises, case studies and other simulated practical and knowledge assessment, and/or</w:t>
            </w:r>
          </w:p>
          <w:p w:rsidR="00000000" w:rsidRPr="005911E0" w:rsidP="005911E0">
            <w:pPr>
              <w:pStyle w:val="BodyText"/>
            </w:pPr>
            <w:r w:rsidRPr="005911E0">
              <w:t xml:space="preserve">access to an </w:t>
            </w:r>
            <w:r w:rsidRPr="005911E0">
              <w:t>appropriate range of relevant operational situations in the workplace</w:t>
            </w:r>
          </w:p>
          <w:p w:rsidR="00000000" w:rsidRPr="005911E0" w:rsidP="005911E0">
            <w:pPr>
              <w:pStyle w:val="BodyText"/>
            </w:pPr>
          </w:p>
          <w:p w:rsidR="00000000" w:rsidRPr="005911E0" w:rsidP="005911E0">
            <w:pPr>
              <w:pStyle w:val="BodyText"/>
            </w:pPr>
            <w:r w:rsidRPr="005911E0">
              <w:t xml:space="preserve">In both real and simulated environments, access is required to:     </w:t>
            </w:r>
          </w:p>
          <w:p w:rsidR="00000000" w:rsidRPr="005911E0" w:rsidP="005911E0">
            <w:pPr>
              <w:pStyle w:val="BodyText"/>
            </w:pPr>
            <w:r w:rsidRPr="005911E0">
              <w:t>relevant and appropriate materials and/or equipment, and/or</w:t>
            </w:r>
          </w:p>
          <w:p w:rsidR="00000000" w:rsidP="005911E0">
            <w:pPr>
              <w:pStyle w:val="BodyText"/>
              <w:rPr>
                <w:lang w:val="en-NZ"/>
              </w:rPr>
            </w:pPr>
            <w:r w:rsidRPr="005911E0">
              <w:t>applicable documentation including workplace procedures,</w:t>
            </w:r>
            <w:r w:rsidRPr="005911E0">
              <w:t xml:space="preserve"> regulations, codes of practice and operation manuals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Assessment of this unit must be undertaken by a registered training organisation</w:t>
            </w:r>
          </w:p>
          <w:p w:rsidR="00000000" w:rsidRPr="005911E0" w:rsidP="005911E0">
            <w:pPr>
              <w:pStyle w:val="BodyText"/>
            </w:pPr>
            <w:r w:rsidRPr="005911E0">
              <w:t>As a minimum, assessment of knowledge must be conducted through appropriate written/oral tests</w:t>
            </w:r>
          </w:p>
          <w:p w:rsidR="00000000" w:rsidRPr="005911E0" w:rsidP="005911E0">
            <w:pPr>
              <w:pStyle w:val="BodyText"/>
            </w:pPr>
            <w:r w:rsidRPr="005911E0">
              <w:t>Pra</w:t>
            </w:r>
            <w:r w:rsidRPr="005911E0">
              <w:t xml:space="preserve">ctical assessment must occur:   </w:t>
            </w:r>
          </w:p>
          <w:p w:rsidR="00000000" w:rsidRPr="005911E0" w:rsidP="005911E0">
            <w:pPr>
              <w:pStyle w:val="BodyText"/>
            </w:pPr>
            <w:r w:rsidRPr="005911E0">
              <w:t>through appropriately simulated activities at the registered training organisation, and/or</w:t>
            </w:r>
          </w:p>
          <w:p w:rsidR="00000000" w:rsidRPr="005911E0" w:rsidP="005911E0">
            <w:pPr>
              <w:pStyle w:val="BodyText"/>
            </w:pPr>
            <w:r w:rsidRPr="005911E0">
              <w:t xml:space="preserve">in an appropriate range of situations in the workplace </w:t>
            </w:r>
          </w:p>
        </w:tc>
      </w:tr>
    </w:tbl>
    <w:p w:rsidR="00000000" w:rsidRPr="005911E0" w:rsidP="005911E0">
      <w:pPr>
        <w:pStyle w:val="BodyText"/>
      </w:pPr>
    </w:p>
    <w:p w:rsidR="00000000" w:rsidRPr="005911E0" w:rsidP="005911E0">
      <w:pPr>
        <w:pStyle w:val="AllowPageBreak"/>
      </w:pPr>
    </w:p>
    <w:p w:rsidR="00000000" w:rsidRPr="005911E0" w:rsidP="005911E0">
      <w:pPr>
        <w:pStyle w:val="Heading1"/>
      </w:pPr>
      <w:bookmarkStart w:id="11" w:name="O_315644"/>
      <w:bookmarkEnd w:id="11"/>
      <w:r w:rsidRPr="005911E0">
        <w:t>Range Statement</w:t>
      </w:r>
    </w:p>
    <w:tbl>
      <w:tblPr>
        <w:tblW w:w="0" w:type="auto"/>
        <w:tblLayout w:type="fixed"/>
        <w:tblCellMar>
          <w:left w:w="62" w:type="dxa"/>
          <w:right w:w="62" w:type="dxa"/>
        </w:tblCellMar>
        <w:tblLook w:val="0000"/>
      </w:tblPr>
      <w:tblGrid>
        <w:gridCol w:w="4500"/>
        <w:gridCol w:w="4500"/>
      </w:tblGrid>
      <w:tr w:rsidTr="009F3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rPr>
                <w:rStyle w:val="SpecialBold"/>
              </w:rPr>
              <w:t>RANGE STATEMENT</w:t>
            </w:r>
          </w:p>
        </w:tc>
      </w:tr>
      <w:tr w:rsidTr="009F3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The range statement relates to the unit of competency as a whole. It allows for different work environments and situations that may affect performance.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in a range of work environments</w:t>
            </w:r>
          </w:p>
          <w:p w:rsidR="00000000" w:rsidP="005911E0">
            <w:pPr>
              <w:pStyle w:val="BodyText"/>
              <w:rPr>
                <w:lang w:val="en-NZ"/>
              </w:rPr>
            </w:pPr>
            <w:r w:rsidRPr="005911E0">
              <w:t xml:space="preserve">by day or night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internal</w:t>
            </w:r>
            <w:r w:rsidRPr="005911E0">
              <w:t xml:space="preserve"> or external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large, medium or small worksites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limited or restricted spaces</w:t>
            </w:r>
          </w:p>
          <w:p w:rsidR="00000000" w:rsidRPr="005911E0" w:rsidP="005911E0">
            <w:pPr>
              <w:pStyle w:val="BodyText"/>
            </w:pPr>
            <w:r w:rsidRPr="005911E0">
              <w:t>exposed conditions</w:t>
            </w:r>
          </w:p>
          <w:p w:rsidR="00000000" w:rsidP="005911E0">
            <w:pPr>
              <w:pStyle w:val="BodyText"/>
              <w:rPr>
                <w:lang w:val="en-NZ"/>
              </w:rPr>
            </w:pPr>
            <w:r w:rsidRPr="005911E0">
              <w:t xml:space="preserve">controlled or open environments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chemicals</w:t>
            </w:r>
          </w:p>
          <w:p w:rsidR="00000000" w:rsidRPr="005911E0" w:rsidP="005911E0">
            <w:pPr>
              <w:pStyle w:val="BodyText"/>
            </w:pPr>
            <w:r w:rsidRPr="005911E0">
              <w:t>dangerous or hazardous substances</w:t>
            </w:r>
          </w:p>
          <w:p w:rsidR="00000000" w:rsidP="005911E0">
            <w:pPr>
              <w:pStyle w:val="BodyText"/>
              <w:rPr>
                <w:lang w:val="en-NZ"/>
              </w:rPr>
            </w:pPr>
            <w:r w:rsidRPr="005911E0">
              <w:t xml:space="preserve">movements of equipment, goods and materials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other employees and supervisors</w:t>
            </w:r>
          </w:p>
          <w:p w:rsidR="00000000" w:rsidRPr="005911E0" w:rsidP="005911E0">
            <w:pPr>
              <w:pStyle w:val="BodyText"/>
            </w:pPr>
            <w:r w:rsidRPr="005911E0">
              <w:t>suppliers, customers and clients</w:t>
            </w:r>
          </w:p>
          <w:p w:rsidR="00000000" w:rsidRPr="005911E0" w:rsidP="005911E0">
            <w:pPr>
              <w:pStyle w:val="BodyText"/>
            </w:pPr>
            <w:r w:rsidRPr="005911E0">
              <w:t>bond store representatives</w:t>
            </w:r>
          </w:p>
          <w:p w:rsidR="00000000" w:rsidRPr="005911E0" w:rsidP="005911E0">
            <w:pPr>
              <w:pStyle w:val="BodyText"/>
            </w:pPr>
            <w:r w:rsidRPr="005911E0">
              <w:t>relevant authorities and institutions</w:t>
            </w:r>
          </w:p>
          <w:p w:rsidR="00000000" w:rsidRPr="005911E0" w:rsidP="005911E0">
            <w:pPr>
              <w:pStyle w:val="BodyText"/>
            </w:pPr>
            <w:r w:rsidRPr="005911E0">
              <w:t>managemen</w:t>
            </w:r>
            <w:r w:rsidRPr="005911E0">
              <w:t>t and union representatives</w:t>
            </w:r>
          </w:p>
          <w:p w:rsidR="00000000" w:rsidRPr="005911E0" w:rsidP="005911E0">
            <w:pPr>
              <w:pStyle w:val="BodyText"/>
            </w:pPr>
            <w:r w:rsidRPr="005911E0">
              <w:t>industrial relations and OH&amp;S specialists</w:t>
            </w:r>
          </w:p>
          <w:p w:rsidR="00000000" w:rsidP="005911E0">
            <w:pPr>
              <w:pStyle w:val="BodyText"/>
              <w:rPr>
                <w:lang w:val="en-NZ"/>
              </w:rPr>
            </w:pPr>
            <w:r w:rsidRPr="005911E0">
              <w:t xml:space="preserve">other maintenance, professional or technical staff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phone</w:t>
            </w:r>
          </w:p>
          <w:p w:rsidR="00000000" w:rsidRPr="005911E0" w:rsidP="005911E0">
            <w:pPr>
              <w:pStyle w:val="BodyText"/>
            </w:pPr>
            <w:r w:rsidRPr="005911E0">
              <w:t>electronic data interchange (EDI)</w:t>
            </w:r>
          </w:p>
          <w:p w:rsidR="00000000" w:rsidRPr="005911E0" w:rsidP="005911E0">
            <w:pPr>
              <w:pStyle w:val="BodyText"/>
            </w:pPr>
            <w:r w:rsidRPr="005911E0">
              <w:t>fax</w:t>
            </w:r>
          </w:p>
          <w:p w:rsidR="00000000" w:rsidRPr="005911E0" w:rsidP="005911E0">
            <w:pPr>
              <w:pStyle w:val="BodyText"/>
            </w:pPr>
            <w:r w:rsidRPr="005911E0">
              <w:t>email</w:t>
            </w:r>
          </w:p>
          <w:p w:rsidR="00000000" w:rsidRPr="005911E0" w:rsidP="005911E0">
            <w:pPr>
              <w:pStyle w:val="BodyText"/>
            </w:pPr>
            <w:r w:rsidRPr="005911E0">
              <w:t>internet</w:t>
            </w:r>
          </w:p>
          <w:p w:rsidR="00000000" w:rsidRPr="005911E0" w:rsidP="005911E0">
            <w:pPr>
              <w:pStyle w:val="BodyText"/>
            </w:pPr>
            <w:r w:rsidRPr="005911E0">
              <w:t>radio</w:t>
            </w:r>
          </w:p>
          <w:p w:rsidR="00000000" w:rsidP="005911E0">
            <w:pPr>
              <w:pStyle w:val="BodyText"/>
              <w:rPr>
                <w:lang w:val="en-NZ"/>
              </w:rPr>
            </w:pPr>
            <w:r w:rsidRPr="005911E0">
              <w:t xml:space="preserve">oral, aural or signed communications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company procedures</w:t>
            </w:r>
          </w:p>
          <w:p w:rsidR="00000000" w:rsidRPr="005911E0" w:rsidP="005911E0">
            <w:pPr>
              <w:pStyle w:val="BodyText"/>
            </w:pPr>
            <w:r w:rsidRPr="005911E0">
              <w:t>enterprise procedures</w:t>
            </w:r>
          </w:p>
          <w:p w:rsidR="00000000" w:rsidRPr="005911E0" w:rsidP="005911E0">
            <w:pPr>
              <w:pStyle w:val="BodyText"/>
            </w:pPr>
            <w:r w:rsidRPr="005911E0">
              <w:t>organisational procedures</w:t>
            </w:r>
          </w:p>
          <w:p w:rsidR="00000000" w:rsidP="005911E0">
            <w:pPr>
              <w:pStyle w:val="BodyText"/>
              <w:rPr>
                <w:lang w:val="en-NZ"/>
              </w:rPr>
            </w:pPr>
            <w:r w:rsidRPr="005911E0">
              <w:t xml:space="preserve">established procedures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Personal p</w:t>
            </w:r>
            <w:r w:rsidRPr="005911E0">
              <w:t xml:space="preserve">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gloves</w:t>
            </w:r>
          </w:p>
          <w:p w:rsidR="00000000" w:rsidRPr="005911E0" w:rsidP="005911E0">
            <w:pPr>
              <w:pStyle w:val="BodyText"/>
            </w:pPr>
            <w:r w:rsidRPr="005911E0">
              <w:t>safety headwear and footwear</w:t>
            </w:r>
          </w:p>
          <w:p w:rsidR="00000000" w:rsidRPr="005911E0" w:rsidP="005911E0">
            <w:pPr>
              <w:pStyle w:val="BodyText"/>
            </w:pPr>
            <w:r w:rsidRPr="005911E0">
              <w:t>safety glasses</w:t>
            </w:r>
          </w:p>
          <w:p w:rsidR="00000000" w:rsidRPr="005911E0" w:rsidP="005911E0">
            <w:pPr>
              <w:pStyle w:val="BodyText"/>
            </w:pPr>
            <w:r w:rsidRPr="005911E0">
              <w:t>two-way radios</w:t>
            </w:r>
          </w:p>
          <w:p w:rsidR="00000000" w:rsidP="005911E0">
            <w:pPr>
              <w:pStyle w:val="BodyText"/>
              <w:rPr>
                <w:lang w:val="en-NZ"/>
              </w:rPr>
            </w:pPr>
            <w:r w:rsidRPr="005911E0">
              <w:t xml:space="preserve">high visibility clothing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workplace procedures and policies for the coordination of goods to bond store premises</w:t>
            </w:r>
          </w:p>
          <w:p w:rsidR="00000000" w:rsidRPr="005911E0" w:rsidP="005911E0">
            <w:pPr>
              <w:pStyle w:val="BodyText"/>
            </w:pPr>
            <w:r w:rsidRPr="005911E0">
              <w:t>suppli</w:t>
            </w:r>
            <w:r w:rsidRPr="005911E0">
              <w:t>er and/or client instructions</w:t>
            </w:r>
          </w:p>
          <w:p w:rsidR="00000000" w:rsidRPr="005911E0" w:rsidP="005911E0">
            <w:pPr>
              <w:pStyle w:val="BodyText"/>
            </w:pPr>
            <w:r w:rsidRPr="005911E0">
              <w:t>goods identification numbers and codes</w:t>
            </w:r>
          </w:p>
          <w:p w:rsidR="00000000" w:rsidRPr="005911E0" w:rsidP="005911E0">
            <w:pPr>
              <w:pStyle w:val="BodyText"/>
            </w:pPr>
            <w:r w:rsidRPr="005911E0">
              <w:t>manifests, bar codes, goods and container identification/serial number</w:t>
            </w:r>
          </w:p>
          <w:p w:rsidR="00000000" w:rsidRPr="005911E0" w:rsidP="005911E0">
            <w:pPr>
              <w:pStyle w:val="BodyText"/>
            </w:pPr>
            <w:r w:rsidRPr="005911E0">
              <w:t>agents delivery order and agents program</w:t>
            </w:r>
          </w:p>
          <w:p w:rsidR="00000000" w:rsidRPr="005911E0" w:rsidP="005911E0">
            <w:pPr>
              <w:pStyle w:val="BodyText"/>
            </w:pPr>
            <w:r w:rsidRPr="005911E0">
              <w:t>customers clearance</w:t>
            </w:r>
          </w:p>
          <w:p w:rsidR="00000000" w:rsidRPr="005911E0" w:rsidP="005911E0">
            <w:pPr>
              <w:pStyle w:val="BodyText"/>
            </w:pPr>
            <w:r w:rsidRPr="005911E0">
              <w:t>quarantine clearance</w:t>
            </w:r>
          </w:p>
          <w:p w:rsidR="00000000" w:rsidRPr="005911E0" w:rsidP="005911E0">
            <w:pPr>
              <w:pStyle w:val="BodyText"/>
            </w:pPr>
            <w:r w:rsidRPr="005911E0">
              <w:t>point of MT return/h</w:t>
            </w:r>
            <w:r w:rsidRPr="005911E0">
              <w:t>and-over agreement</w:t>
            </w:r>
          </w:p>
          <w:p w:rsidR="00000000" w:rsidRPr="005911E0" w:rsidP="005911E0">
            <w:pPr>
              <w:pStyle w:val="BodyText"/>
            </w:pPr>
            <w:r w:rsidRPr="005911E0">
              <w:t>continuing permission</w:t>
            </w:r>
          </w:p>
          <w:p w:rsidR="00000000" w:rsidRPr="005911E0" w:rsidP="005911E0">
            <w:pPr>
              <w:pStyle w:val="BodyText"/>
            </w:pPr>
            <w:r w:rsidRPr="005911E0">
              <w:t>single transaction permissions</w:t>
            </w:r>
          </w:p>
          <w:p w:rsidR="00000000" w:rsidRPr="005911E0" w:rsidP="005911E0">
            <w:pPr>
              <w:pStyle w:val="BodyText"/>
            </w:pPr>
            <w:r w:rsidRPr="005911E0">
              <w:t>chief clerks MT delivery program</w:t>
            </w:r>
          </w:p>
          <w:p w:rsidR="00000000" w:rsidRPr="005911E0" w:rsidP="005911E0">
            <w:pPr>
              <w:pStyle w:val="BodyText"/>
            </w:pPr>
            <w:r w:rsidRPr="005911E0">
              <w:t>gate pass/VMO clearance stamped</w:t>
            </w:r>
          </w:p>
          <w:p w:rsidR="00000000" w:rsidRPr="005911E0" w:rsidP="005911E0">
            <w:pPr>
              <w:pStyle w:val="BodyText"/>
            </w:pPr>
            <w:r w:rsidRPr="005911E0">
              <w:t>bulk run numbers</w:t>
            </w:r>
          </w:p>
          <w:p w:rsidR="00000000" w:rsidRPr="005911E0" w:rsidP="005911E0">
            <w:pPr>
              <w:pStyle w:val="BodyText"/>
            </w:pPr>
            <w:r w:rsidRPr="005911E0">
              <w:t>manufacturers specifications for equipment</w:t>
            </w:r>
          </w:p>
          <w:p w:rsidR="00000000" w:rsidRPr="005911E0" w:rsidP="005911E0">
            <w:pPr>
              <w:pStyle w:val="BodyText"/>
            </w:pPr>
            <w:r w:rsidRPr="005911E0">
              <w:t>dangerous goods declarations and material safety data sheet</w:t>
            </w:r>
            <w:r w:rsidRPr="005911E0">
              <w:t>s (where applicable)</w:t>
            </w:r>
          </w:p>
          <w:p w:rsidR="00000000" w:rsidRPr="005911E0" w:rsidP="005911E0">
            <w:pPr>
              <w:pStyle w:val="BodyText"/>
            </w:pPr>
            <w:r w:rsidRPr="005911E0">
              <w:t>relevant legislation, regulations and related documentation including ADG / IMDG Code</w:t>
            </w:r>
          </w:p>
          <w:p w:rsidR="00000000" w:rsidRPr="005911E0" w:rsidP="005911E0">
            <w:pPr>
              <w:pStyle w:val="BodyText"/>
            </w:pPr>
            <w:r w:rsidRPr="005911E0">
              <w:t>award, enterprise bargaining agreement, other industrial arrangements</w:t>
            </w:r>
          </w:p>
          <w:p w:rsidR="00000000" w:rsidRPr="005911E0" w:rsidP="005911E0">
            <w:pPr>
              <w:pStyle w:val="BodyText"/>
            </w:pPr>
            <w:r w:rsidRPr="005911E0">
              <w:t>relevant Australian standards and certification requirements</w:t>
            </w:r>
          </w:p>
          <w:p w:rsidR="00000000" w:rsidRPr="005911E0" w:rsidP="005911E0">
            <w:pPr>
              <w:pStyle w:val="BodyText"/>
            </w:pPr>
            <w:r w:rsidRPr="005911E0">
              <w:t xml:space="preserve">quality assurance </w:t>
            </w:r>
            <w:r w:rsidRPr="005911E0">
              <w:t>procedures</w:t>
            </w:r>
          </w:p>
          <w:p w:rsidR="00000000" w:rsidP="005911E0">
            <w:pPr>
              <w:pStyle w:val="BodyText"/>
              <w:rPr>
                <w:lang w:val="en-NZ"/>
              </w:rPr>
            </w:pPr>
            <w:r w:rsidRPr="005911E0">
              <w:t xml:space="preserve">emergency procedures </w:t>
            </w:r>
          </w:p>
        </w:tc>
      </w:tr>
      <w:tr w:rsidTr="009F3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11E0">
            <w:pPr>
              <w:pStyle w:val="BodyText"/>
              <w:rPr>
                <w:lang w:val="en-NZ"/>
              </w:rPr>
            </w:pPr>
            <w:r w:rsidRPr="005911E0">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911E0" w:rsidP="005911E0">
            <w:pPr>
              <w:pStyle w:val="BodyText"/>
            </w:pPr>
            <w:r w:rsidRPr="005911E0">
              <w:t>relevant codes and regulations pertaining to the coordination of goods to bond premises</w:t>
            </w:r>
          </w:p>
          <w:p w:rsidR="00000000" w:rsidRPr="005911E0" w:rsidP="005911E0">
            <w:pPr>
              <w:pStyle w:val="BodyText"/>
            </w:pPr>
            <w:r w:rsidRPr="005911E0">
              <w:t>Australian and international regulations and codes of practice for the handling a</w:t>
            </w:r>
            <w:r w:rsidRPr="005911E0">
              <w:t xml:space="preserve">nd transport of dangerous goods and hazardous substances, including:   </w:t>
            </w:r>
          </w:p>
          <w:p w:rsidR="00000000" w:rsidRPr="005911E0" w:rsidP="005911E0">
            <w:pPr>
              <w:pStyle w:val="BodyText"/>
            </w:pPr>
            <w:r w:rsidRPr="005911E0">
              <w:t>Australian and International Dangerous Goods Codes</w:t>
            </w:r>
          </w:p>
          <w:p w:rsidR="00000000" w:rsidRPr="005911E0" w:rsidP="005911E0">
            <w:pPr>
              <w:pStyle w:val="BodyText"/>
            </w:pPr>
            <w:r w:rsidRPr="005911E0">
              <w:t>Australian Marine Orders and the International Maritime Dangerous Goods Code</w:t>
            </w:r>
          </w:p>
          <w:p w:rsidR="00000000" w:rsidRPr="005911E0" w:rsidP="005911E0">
            <w:pPr>
              <w:pStyle w:val="BodyText"/>
            </w:pPr>
            <w:r w:rsidRPr="005911E0">
              <w:t>IATA Dangerous Goods by Air regulations</w:t>
            </w:r>
          </w:p>
          <w:p w:rsidR="00000000" w:rsidRPr="005911E0" w:rsidP="005911E0">
            <w:pPr>
              <w:pStyle w:val="BodyText"/>
            </w:pPr>
            <w:r w:rsidRPr="005911E0">
              <w:t>Australian and I</w:t>
            </w:r>
            <w:r w:rsidRPr="005911E0">
              <w:t>nternational Explosives Codes</w:t>
            </w:r>
          </w:p>
          <w:p w:rsidR="00000000" w:rsidRPr="005911E0" w:rsidP="005911E0">
            <w:pPr>
              <w:pStyle w:val="BodyText"/>
            </w:pPr>
          </w:p>
          <w:p w:rsidR="00000000" w:rsidRPr="005911E0" w:rsidP="005911E0">
            <w:pPr>
              <w:pStyle w:val="BodyText"/>
            </w:pPr>
            <w:r w:rsidRPr="005911E0">
              <w:t xml:space="preserve">licence, patent or copyright arrangements  </w:t>
            </w:r>
          </w:p>
          <w:p w:rsidR="00000000" w:rsidRPr="005911E0" w:rsidP="005911E0">
            <w:pPr>
              <w:pStyle w:val="BodyText"/>
            </w:pPr>
            <w:r w:rsidRPr="005911E0">
              <w:t>water and road use and licence arrangements</w:t>
            </w:r>
          </w:p>
          <w:p w:rsidR="00000000" w:rsidRPr="005911E0" w:rsidP="005911E0">
            <w:pPr>
              <w:pStyle w:val="BodyText"/>
            </w:pPr>
            <w:r w:rsidRPr="005911E0">
              <w:t>export/import/quarantine/bond requirements</w:t>
            </w:r>
          </w:p>
          <w:p w:rsidR="00000000" w:rsidRPr="005911E0" w:rsidP="005911E0">
            <w:pPr>
              <w:pStyle w:val="BodyText"/>
            </w:pPr>
            <w:r w:rsidRPr="005911E0">
              <w:t>marine orders</w:t>
            </w:r>
          </w:p>
          <w:p w:rsidR="00000000" w:rsidRPr="005911E0" w:rsidP="005911E0">
            <w:pPr>
              <w:pStyle w:val="BodyText"/>
            </w:pPr>
            <w:r w:rsidRPr="005911E0">
              <w:t>relevant state/territory OH&amp;S and environmental protection legislation</w:t>
            </w:r>
          </w:p>
          <w:p w:rsidR="00000000" w:rsidRPr="005911E0" w:rsidP="005911E0">
            <w:pPr>
              <w:pStyle w:val="BodyText"/>
            </w:pPr>
            <w:r w:rsidRPr="005911E0">
              <w:t>workplace relations regulations</w:t>
            </w:r>
          </w:p>
          <w:p w:rsidR="00000000" w:rsidRPr="005911E0" w:rsidP="005911E0">
            <w:pPr>
              <w:pStyle w:val="BodyText"/>
            </w:pPr>
            <w:r w:rsidRPr="005911E0">
              <w:t xml:space="preserve">workers compensation regulations </w:t>
            </w:r>
          </w:p>
        </w:tc>
      </w:tr>
    </w:tbl>
    <w:p w:rsidR="00000000" w:rsidRPr="005911E0" w:rsidP="005911E0">
      <w:pPr>
        <w:pStyle w:val="BodyText"/>
      </w:pPr>
    </w:p>
    <w:p w:rsidR="00000000" w:rsidRPr="005911E0" w:rsidP="005911E0">
      <w:pPr>
        <w:pStyle w:val="AllowPageBreak"/>
      </w:pPr>
    </w:p>
    <w:p w:rsidR="00000000" w:rsidRPr="005911E0" w:rsidP="005911E0">
      <w:pPr>
        <w:pStyle w:val="Heading1"/>
      </w:pPr>
      <w:bookmarkStart w:id="12" w:name="O_315643"/>
      <w:bookmarkEnd w:id="12"/>
      <w:r w:rsidRPr="005911E0">
        <w:t>Unit Sector(s)</w:t>
      </w:r>
    </w:p>
    <w:p w:rsidR="00000000" w:rsidRPr="005911E0" w:rsidP="005911E0">
      <w:pPr>
        <w:pStyle w:val="BodyText"/>
      </w:pPr>
      <w:r w:rsidRPr="005911E0">
        <w:t>Not applicable.</w:t>
      </w:r>
    </w:p>
    <w:p w:rsidR="00000000" w:rsidRPr="005911E0" w:rsidP="005911E0">
      <w:pPr>
        <w:pStyle w:val="AllowPageBreak"/>
      </w:pPr>
    </w:p>
    <w:p w:rsidR="00000000" w:rsidRPr="005911E0" w:rsidP="005911E0">
      <w:pPr>
        <w:pStyle w:val="Heading1"/>
      </w:pPr>
      <w:bookmarkStart w:id="13" w:name="O_315642"/>
      <w:bookmarkEnd w:id="13"/>
      <w:r w:rsidRPr="005911E0">
        <w:t xml:space="preserve">Competency Field </w:t>
      </w:r>
    </w:p>
    <w:p w:rsidR="00000000" w:rsidRPr="005911E0" w:rsidP="005911E0">
      <w:pPr>
        <w:pStyle w:val="BodyText"/>
      </w:pPr>
      <w:r w:rsidRPr="005911E0">
        <w:t>A - Handling Cargo/Stock</w:t>
      </w:r>
    </w:p>
    <w:p w:rsidR="00000000" w:rsidRPr="005911E0" w:rsidP="005911E0"/>
    <w:sectPr w:rsidSect="00591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6DE" w:rsidP="009F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E" w:rsidP="00591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6DE" w:rsidP="00591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36DE" w:rsidP="00591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6DE" w:rsidP="009F36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E" w:rsidP="005911E0">
    <w:pPr>
      <w:pStyle w:val="Header"/>
      <w:framePr w:wrap="around"/>
    </w:pPr>
    <w:r>
      <w:fldChar w:fldCharType="begin"/>
    </w:r>
    <w:r>
      <w:instrText xml:space="preserve"> TITLE   \* MERGEFORMAT </w:instrText>
    </w:r>
    <w:r>
      <w:fldChar w:fldCharType="separate"/>
    </w:r>
    <w:r>
      <w:t>TLIA1007C Coordinate goods to bond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6DE" w:rsidP="005911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1E0"/>
    <w:pPr>
      <w:spacing w:before="360" w:after="60"/>
      <w:outlineLvl w:val="0"/>
    </w:pPr>
    <w:rPr>
      <w:sz w:val="32"/>
    </w:rPr>
  </w:style>
  <w:style w:type="paragraph" w:styleId="Heading2">
    <w:name w:val="heading 2"/>
    <w:basedOn w:val="HeadingBase"/>
    <w:next w:val="BodyText"/>
    <w:link w:val="Heading2Char"/>
    <w:qFormat/>
    <w:rsid w:val="005911E0"/>
    <w:pPr>
      <w:keepLines/>
      <w:spacing w:before="240" w:after="120"/>
      <w:outlineLvl w:val="1"/>
    </w:pPr>
    <w:rPr>
      <w:sz w:val="28"/>
      <w:szCs w:val="40"/>
    </w:rPr>
  </w:style>
  <w:style w:type="paragraph" w:styleId="Heading3">
    <w:name w:val="heading 3"/>
    <w:basedOn w:val="HeadingBase"/>
    <w:next w:val="BodyText"/>
    <w:link w:val="Heading3Char"/>
    <w:qFormat/>
    <w:rsid w:val="005911E0"/>
    <w:pPr>
      <w:spacing w:before="180" w:after="120"/>
      <w:outlineLvl w:val="2"/>
    </w:pPr>
    <w:rPr>
      <w:spacing w:val="-10"/>
      <w:kern w:val="32"/>
    </w:rPr>
  </w:style>
  <w:style w:type="paragraph" w:styleId="Heading4">
    <w:name w:val="heading 4"/>
    <w:basedOn w:val="HeadingBase"/>
    <w:next w:val="BodyText"/>
    <w:link w:val="Heading4Char"/>
    <w:qFormat/>
    <w:rsid w:val="005911E0"/>
    <w:pPr>
      <w:spacing w:before="160" w:after="120"/>
      <w:outlineLvl w:val="3"/>
    </w:pPr>
    <w:rPr>
      <w:sz w:val="22"/>
    </w:rPr>
  </w:style>
  <w:style w:type="paragraph" w:styleId="Heading5">
    <w:name w:val="heading 5"/>
    <w:basedOn w:val="HeadingBase"/>
    <w:next w:val="Normal"/>
    <w:link w:val="Heading5Char"/>
    <w:qFormat/>
    <w:rsid w:val="005911E0"/>
    <w:pPr>
      <w:spacing w:before="80"/>
      <w:outlineLvl w:val="4"/>
    </w:pPr>
    <w:rPr>
      <w:color w:val="918585"/>
      <w:sz w:val="20"/>
    </w:rPr>
  </w:style>
  <w:style w:type="paragraph" w:styleId="Heading6">
    <w:name w:val="heading 6"/>
    <w:basedOn w:val="HeadingBase"/>
    <w:next w:val="Normal"/>
    <w:link w:val="Heading6Char"/>
    <w:qFormat/>
    <w:rsid w:val="005911E0"/>
    <w:pPr>
      <w:spacing w:before="60"/>
      <w:outlineLvl w:val="5"/>
    </w:pPr>
    <w:rPr>
      <w:color w:val="918585"/>
      <w:sz w:val="20"/>
    </w:rPr>
  </w:style>
  <w:style w:type="paragraph" w:styleId="Heading7">
    <w:name w:val="heading 7"/>
    <w:basedOn w:val="Normal"/>
    <w:next w:val="Normal"/>
    <w:link w:val="Heading7Char"/>
    <w:qFormat/>
    <w:rsid w:val="005911E0"/>
    <w:pPr>
      <w:ind w:left="720"/>
      <w:outlineLvl w:val="6"/>
    </w:pPr>
    <w:rPr>
      <w:i/>
    </w:rPr>
  </w:style>
  <w:style w:type="paragraph" w:styleId="Heading8">
    <w:name w:val="heading 8"/>
    <w:basedOn w:val="Normal"/>
    <w:next w:val="Normal"/>
    <w:link w:val="Heading8Char"/>
    <w:qFormat/>
    <w:rsid w:val="005911E0"/>
    <w:pPr>
      <w:ind w:left="720"/>
      <w:outlineLvl w:val="7"/>
    </w:pPr>
    <w:rPr>
      <w:i/>
    </w:rPr>
  </w:style>
  <w:style w:type="paragraph" w:styleId="Heading9">
    <w:name w:val="heading 9"/>
    <w:basedOn w:val="Normal"/>
    <w:next w:val="Normal"/>
    <w:link w:val="Heading9Char"/>
    <w:qFormat/>
    <w:rsid w:val="005911E0"/>
    <w:pPr>
      <w:ind w:left="720"/>
      <w:outlineLvl w:val="8"/>
    </w:pPr>
    <w:rPr>
      <w:i/>
    </w:rPr>
  </w:style>
  <w:style w:type="character" w:default="1" w:styleId="DefaultParagraphFont">
    <w:name w:val="Default Paragraph Font"/>
    <w:uiPriority w:val="1"/>
    <w:unhideWhenUsed/>
    <w:rsid w:val="00591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1E0"/>
  </w:style>
  <w:style w:type="character" w:customStyle="1" w:styleId="Heading1Char">
    <w:name w:val="Heading 1 Char"/>
    <w:basedOn w:val="DefaultParagraphFont"/>
    <w:link w:val="Heading1"/>
    <w:rsid w:val="005911E0"/>
    <w:rPr>
      <w:rFonts w:ascii="Times New Roman" w:eastAsia="Times New Roman" w:hAnsi="Times New Roman" w:cs="Times New Roman"/>
      <w:b/>
      <w:sz w:val="32"/>
      <w:szCs w:val="20"/>
      <w:lang w:eastAsia="en-US"/>
    </w:rPr>
  </w:style>
  <w:style w:type="paragraph" w:styleId="BodyText">
    <w:name w:val="Body Text"/>
    <w:basedOn w:val="Normal"/>
    <w:link w:val="BodyTextChar"/>
    <w:rsid w:val="00591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1E0"/>
    <w:rPr>
      <w:rFonts w:ascii="Times New Roman" w:eastAsia="Times New Roman" w:hAnsi="Times New Roman" w:cs="Times New Roman"/>
      <w:sz w:val="24"/>
      <w:lang w:val="en-US" w:eastAsia="en-US"/>
    </w:rPr>
  </w:style>
  <w:style w:type="paragraph" w:styleId="Footer">
    <w:name w:val="footer"/>
    <w:basedOn w:val="Normal"/>
    <w:link w:val="FooterChar"/>
    <w:rsid w:val="00591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1E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911E0"/>
    <w:rPr>
      <w:b/>
      <w:spacing w:val="0"/>
    </w:rPr>
  </w:style>
  <w:style w:type="paragraph" w:styleId="Header">
    <w:name w:val="header"/>
    <w:basedOn w:val="Normal"/>
    <w:link w:val="HeaderChar"/>
    <w:rsid w:val="00591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1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1E0"/>
    <w:pPr>
      <w:spacing w:before="240" w:after="120"/>
      <w:outlineLvl w:val="0"/>
    </w:pPr>
    <w:rPr>
      <w:rFonts w:ascii="Times New Roman" w:hAnsi="Times New Roman"/>
      <w:b/>
      <w:sz w:val="28"/>
    </w:rPr>
  </w:style>
  <w:style w:type="paragraph" w:customStyle="1" w:styleId="AllowPageBreak">
    <w:name w:val="AllowPageBreak"/>
    <w:rsid w:val="00591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1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1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1E0"/>
    <w:rPr>
      <w:rFonts w:ascii="Courier New" w:eastAsia="Times New Roman" w:hAnsi="Courier New" w:cs="Times New Roman"/>
      <w:i/>
      <w:szCs w:val="20"/>
      <w:lang w:val="en-US" w:eastAsia="en-US"/>
    </w:rPr>
  </w:style>
  <w:style w:type="paragraph" w:customStyle="1" w:styleId="HeadingBase">
    <w:name w:val="Heading Base"/>
    <w:rsid w:val="00591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1E0"/>
    <w:pPr>
      <w:tabs>
        <w:tab w:val="right" w:leader="dot" w:pos="9072"/>
      </w:tabs>
      <w:ind w:left="567"/>
    </w:pPr>
    <w:rPr>
      <w:szCs w:val="22"/>
    </w:rPr>
  </w:style>
  <w:style w:type="paragraph" w:customStyle="1" w:styleId="TOCBase">
    <w:name w:val="TOC Base"/>
    <w:rsid w:val="00591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1E0"/>
    <w:pPr>
      <w:tabs>
        <w:tab w:val="right" w:leader="dot" w:pos="9072"/>
      </w:tabs>
      <w:spacing w:before="40" w:after="40"/>
      <w:ind w:left="284"/>
    </w:pPr>
    <w:rPr>
      <w:rFonts w:ascii="Times New Roman" w:hAnsi="Times New Roman"/>
    </w:rPr>
  </w:style>
  <w:style w:type="paragraph" w:styleId="TOC1">
    <w:name w:val="toc 1"/>
    <w:basedOn w:val="TOCBase"/>
    <w:next w:val="Normal"/>
    <w:rsid w:val="00591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1E0"/>
    <w:pPr>
      <w:spacing w:before="5040"/>
      <w:jc w:val="center"/>
    </w:pPr>
    <w:rPr>
      <w:sz w:val="48"/>
      <w:szCs w:val="72"/>
      <w:lang w:val="en-US"/>
    </w:rPr>
  </w:style>
  <w:style w:type="character" w:customStyle="1" w:styleId="TitleChar">
    <w:name w:val="Title Char"/>
    <w:basedOn w:val="DefaultParagraphFont"/>
    <w:link w:val="Title"/>
    <w:rsid w:val="00591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1E0"/>
    <w:pPr>
      <w:tabs>
        <w:tab w:val="left" w:pos="3600"/>
        <w:tab w:val="left" w:pos="3958"/>
      </w:tabs>
    </w:pPr>
  </w:style>
  <w:style w:type="paragraph" w:styleId="List">
    <w:name w:val="List"/>
    <w:basedOn w:val="BodyText"/>
    <w:next w:val="BodyText"/>
    <w:rsid w:val="005911E0"/>
    <w:pPr>
      <w:tabs>
        <w:tab w:val="left" w:pos="340"/>
      </w:tabs>
      <w:spacing w:before="60" w:after="60"/>
      <w:ind w:left="340" w:hanging="340"/>
    </w:pPr>
  </w:style>
  <w:style w:type="paragraph" w:styleId="ListBullet">
    <w:name w:val="List Bullet"/>
    <w:basedOn w:val="List"/>
    <w:rsid w:val="005911E0"/>
    <w:pPr>
      <w:numPr>
        <w:numId w:val="11"/>
      </w:numPr>
      <w:tabs>
        <w:tab w:val="clear" w:pos="340"/>
      </w:tabs>
      <w:spacing w:before="40" w:after="40"/>
    </w:pPr>
  </w:style>
  <w:style w:type="paragraph" w:customStyle="1" w:styleId="Note">
    <w:name w:val="Note"/>
    <w:basedOn w:val="BodyText"/>
    <w:rsid w:val="00591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1E0"/>
    <w:pPr>
      <w:framePr w:wrap="auto" w:hAnchor="text" w:y="6049"/>
    </w:pPr>
    <w:rPr>
      <w:color w:val="000000"/>
      <w:sz w:val="40"/>
    </w:rPr>
  </w:style>
  <w:style w:type="paragraph" w:customStyle="1" w:styleId="TOCTitle">
    <w:name w:val="TOCTitle"/>
    <w:basedOn w:val="Heading1"/>
    <w:rsid w:val="005911E0"/>
    <w:pPr>
      <w:spacing w:after="240"/>
      <w:jc w:val="center"/>
      <w:outlineLvl w:val="9"/>
    </w:pPr>
    <w:rPr>
      <w:caps/>
    </w:rPr>
  </w:style>
  <w:style w:type="paragraph" w:customStyle="1" w:styleId="Version">
    <w:name w:val="Version"/>
    <w:rsid w:val="005911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1E0"/>
    <w:pPr>
      <w:numPr>
        <w:numId w:val="12"/>
      </w:numPr>
      <w:tabs>
        <w:tab w:val="clear" w:pos="680"/>
      </w:tabs>
    </w:pPr>
  </w:style>
  <w:style w:type="paragraph" w:styleId="Index1">
    <w:name w:val="index 1"/>
    <w:basedOn w:val="Normal"/>
    <w:next w:val="Normal"/>
    <w:semiHidden/>
    <w:rsid w:val="005911E0"/>
    <w:pPr>
      <w:keepNext w:val="0"/>
      <w:tabs>
        <w:tab w:val="right" w:pos="4176"/>
      </w:tabs>
      <w:ind w:left="198" w:hanging="198"/>
    </w:pPr>
    <w:rPr>
      <w:rFonts w:ascii="Garamond" w:hAnsi="Garamond"/>
    </w:rPr>
  </w:style>
  <w:style w:type="paragraph" w:styleId="IndexHeading">
    <w:name w:val="index heading"/>
    <w:basedOn w:val="Normal"/>
    <w:next w:val="Index1"/>
    <w:semiHidden/>
    <w:rsid w:val="005911E0"/>
    <w:pPr>
      <w:spacing w:before="120" w:after="120"/>
    </w:pPr>
    <w:rPr>
      <w:rFonts w:ascii="Arial" w:hAnsi="Arial"/>
      <w:b/>
      <w:color w:val="918585"/>
      <w:sz w:val="24"/>
    </w:rPr>
  </w:style>
  <w:style w:type="paragraph" w:customStyle="1" w:styleId="Chapter">
    <w:name w:val="Chapter"/>
    <w:basedOn w:val="Normal"/>
    <w:rsid w:val="005911E0"/>
    <w:pPr>
      <w:spacing w:before="240"/>
    </w:pPr>
    <w:rPr>
      <w:rFonts w:ascii="Times New Roman" w:hAnsi="Times New Roman"/>
      <w:smallCaps/>
      <w:spacing w:val="80"/>
      <w:sz w:val="28"/>
    </w:rPr>
  </w:style>
  <w:style w:type="paragraph" w:customStyle="1" w:styleId="InChapter">
    <w:name w:val="InChapter"/>
    <w:basedOn w:val="Heading3"/>
    <w:rsid w:val="005911E0"/>
    <w:pPr>
      <w:spacing w:after="240"/>
      <w:outlineLvl w:val="9"/>
    </w:pPr>
    <w:rPr>
      <w:noProof/>
    </w:rPr>
  </w:style>
  <w:style w:type="paragraph" w:styleId="Index2">
    <w:name w:val="index 2"/>
    <w:basedOn w:val="Normal"/>
    <w:next w:val="Normal"/>
    <w:semiHidden/>
    <w:rsid w:val="005911E0"/>
    <w:pPr>
      <w:tabs>
        <w:tab w:val="right" w:pos="4176"/>
      </w:tabs>
      <w:ind w:left="568" w:hanging="284"/>
    </w:pPr>
    <w:rPr>
      <w:rFonts w:ascii="Garamond" w:hAnsi="Garamond"/>
    </w:rPr>
  </w:style>
  <w:style w:type="paragraph" w:customStyle="1" w:styleId="Byline">
    <w:name w:val="Byline"/>
    <w:rsid w:val="00591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1E0"/>
    <w:pPr>
      <w:tabs>
        <w:tab w:val="clear" w:pos="3600"/>
        <w:tab w:val="clear" w:pos="3958"/>
      </w:tabs>
      <w:jc w:val="right"/>
    </w:pPr>
  </w:style>
  <w:style w:type="character" w:styleId="Emphasis">
    <w:name w:val="Emphasis"/>
    <w:basedOn w:val="DefaultParagraphFont"/>
    <w:qFormat/>
    <w:rsid w:val="005911E0"/>
    <w:rPr>
      <w:i/>
    </w:rPr>
  </w:style>
  <w:style w:type="paragraph" w:styleId="Caption">
    <w:name w:val="caption"/>
    <w:basedOn w:val="BodyText"/>
    <w:next w:val="Normal"/>
    <w:qFormat/>
    <w:rsid w:val="005911E0"/>
    <w:pPr>
      <w:framePr w:w="2268" w:hSpace="181" w:vSpace="181" w:wrap="around" w:vAnchor="text" w:hAnchor="page" w:x="1135" w:y="285" w:anchorLock="1"/>
    </w:pPr>
    <w:rPr>
      <w:i/>
    </w:rPr>
  </w:style>
  <w:style w:type="paragraph" w:customStyle="1" w:styleId="MiniTOCTitle">
    <w:name w:val="MiniTOCTitle"/>
    <w:basedOn w:val="Heading4"/>
    <w:rsid w:val="005911E0"/>
    <w:pPr>
      <w:spacing w:before="240"/>
      <w:outlineLvl w:val="9"/>
    </w:pPr>
    <w:rPr>
      <w:noProof/>
      <w:sz w:val="24"/>
    </w:rPr>
  </w:style>
  <w:style w:type="paragraph" w:customStyle="1" w:styleId="MiniTOCItem">
    <w:name w:val="MiniTOCItem"/>
    <w:basedOn w:val="ListBullet"/>
    <w:rsid w:val="005911E0"/>
    <w:pPr>
      <w:numPr>
        <w:numId w:val="0"/>
      </w:numPr>
      <w:tabs>
        <w:tab w:val="right" w:leader="dot" w:pos="6521"/>
      </w:tabs>
      <w:spacing w:before="0" w:after="0"/>
    </w:pPr>
  </w:style>
  <w:style w:type="paragraph" w:customStyle="1" w:styleId="TOFTitle">
    <w:name w:val="TOFTitle"/>
    <w:basedOn w:val="TOCTitle"/>
    <w:rsid w:val="005911E0"/>
  </w:style>
  <w:style w:type="paragraph" w:styleId="TableofFigures">
    <w:name w:val="table of figures"/>
    <w:basedOn w:val="Normal"/>
    <w:next w:val="Normal"/>
    <w:semiHidden/>
    <w:rsid w:val="005911E0"/>
    <w:pPr>
      <w:tabs>
        <w:tab w:val="right" w:leader="dot" w:pos="9072"/>
      </w:tabs>
      <w:ind w:left="970" w:hanging="403"/>
    </w:pPr>
    <w:rPr>
      <w:rFonts w:ascii="Times New Roman" w:hAnsi="Times New Roman"/>
      <w:b/>
    </w:rPr>
  </w:style>
  <w:style w:type="paragraph" w:styleId="ListNumber">
    <w:name w:val="List Number"/>
    <w:basedOn w:val="List"/>
    <w:rsid w:val="005911E0"/>
    <w:pPr>
      <w:numPr>
        <w:numId w:val="9"/>
      </w:numPr>
    </w:pPr>
  </w:style>
  <w:style w:type="character" w:customStyle="1" w:styleId="WingdingSymbols">
    <w:name w:val="Wingding Symbols"/>
    <w:rsid w:val="005911E0"/>
    <w:rPr>
      <w:rFonts w:ascii="Wingdings" w:hAnsi="Wingdings"/>
    </w:rPr>
  </w:style>
  <w:style w:type="paragraph" w:customStyle="1" w:styleId="TableHeading">
    <w:name w:val="Table Heading"/>
    <w:basedOn w:val="HeadingBase"/>
    <w:rsid w:val="005911E0"/>
    <w:pPr>
      <w:keepLines/>
      <w:pBdr>
        <w:bottom w:val="single" w:sz="6" w:space="1" w:color="918585"/>
      </w:pBdr>
      <w:spacing w:before="240"/>
    </w:pPr>
  </w:style>
  <w:style w:type="character" w:customStyle="1" w:styleId="HotSpot">
    <w:name w:val="HotSpot"/>
    <w:rsid w:val="005911E0"/>
    <w:rPr>
      <w:color w:val="0033CC"/>
      <w:u w:val="none"/>
    </w:rPr>
  </w:style>
  <w:style w:type="paragraph" w:customStyle="1" w:styleId="BodyTextRight">
    <w:name w:val="Body Text Right"/>
    <w:basedOn w:val="BodyText"/>
    <w:rsid w:val="005911E0"/>
    <w:pPr>
      <w:spacing w:before="0" w:after="0"/>
      <w:jc w:val="right"/>
    </w:pPr>
  </w:style>
  <w:style w:type="paragraph" w:styleId="Index3">
    <w:name w:val="index 3"/>
    <w:basedOn w:val="ListNumber2"/>
    <w:next w:val="Normal"/>
    <w:semiHidden/>
    <w:rsid w:val="005911E0"/>
    <w:pPr>
      <w:numPr>
        <w:numId w:val="0"/>
      </w:numPr>
      <w:tabs>
        <w:tab w:val="right" w:leader="dot" w:pos="4176"/>
      </w:tabs>
    </w:pPr>
  </w:style>
  <w:style w:type="paragraph" w:styleId="ListNumber2">
    <w:name w:val="List Number 2"/>
    <w:basedOn w:val="List2"/>
    <w:rsid w:val="005911E0"/>
    <w:pPr>
      <w:numPr>
        <w:numId w:val="8"/>
      </w:numPr>
      <w:tabs>
        <w:tab w:val="clear" w:pos="1060"/>
      </w:tabs>
    </w:pPr>
  </w:style>
  <w:style w:type="paragraph" w:customStyle="1" w:styleId="MarginNote">
    <w:name w:val="Margin Note"/>
    <w:basedOn w:val="BodyText"/>
    <w:rsid w:val="00591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1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1E0"/>
    <w:rPr>
      <w:sz w:val="32"/>
    </w:rPr>
  </w:style>
  <w:style w:type="paragraph" w:customStyle="1" w:styleId="HeadingProcedure">
    <w:name w:val="Heading Procedure"/>
    <w:basedOn w:val="HeadingBase"/>
    <w:next w:val="Normal"/>
    <w:rsid w:val="005911E0"/>
    <w:pPr>
      <w:tabs>
        <w:tab w:val="left" w:pos="0"/>
      </w:tabs>
      <w:spacing w:before="120" w:after="60"/>
    </w:pPr>
    <w:rPr>
      <w:i/>
      <w:color w:val="918585"/>
      <w:sz w:val="22"/>
    </w:rPr>
  </w:style>
  <w:style w:type="paragraph" w:customStyle="1" w:styleId="TableBodyText">
    <w:name w:val="Table Body Text"/>
    <w:basedOn w:val="BodyText"/>
    <w:rsid w:val="005911E0"/>
    <w:pPr>
      <w:spacing w:before="60" w:after="60"/>
    </w:pPr>
  </w:style>
  <w:style w:type="paragraph" w:styleId="ListContinue">
    <w:name w:val="List Continue"/>
    <w:basedOn w:val="List"/>
    <w:rsid w:val="005911E0"/>
    <w:pPr>
      <w:ind w:firstLine="0"/>
    </w:pPr>
  </w:style>
  <w:style w:type="paragraph" w:customStyle="1" w:styleId="ListNote">
    <w:name w:val="List Note"/>
    <w:basedOn w:val="List"/>
    <w:rsid w:val="005911E0"/>
    <w:pPr>
      <w:pBdr>
        <w:top w:val="single" w:sz="6" w:space="2" w:color="918585"/>
        <w:bottom w:val="single" w:sz="6" w:space="2" w:color="918585"/>
      </w:pBdr>
      <w:tabs>
        <w:tab w:val="left" w:pos="1021"/>
      </w:tabs>
      <w:ind w:firstLine="0"/>
    </w:pPr>
  </w:style>
  <w:style w:type="paragraph" w:customStyle="1" w:styleId="Warning">
    <w:name w:val="Warning"/>
    <w:basedOn w:val="BodyText"/>
    <w:rsid w:val="005911E0"/>
    <w:pPr>
      <w:shd w:val="clear" w:color="auto" w:fill="D9D9D9"/>
      <w:tabs>
        <w:tab w:val="left" w:pos="992"/>
      </w:tabs>
      <w:ind w:left="119" w:right="119"/>
    </w:pPr>
    <w:rPr>
      <w:sz w:val="20"/>
    </w:rPr>
  </w:style>
  <w:style w:type="paragraph" w:customStyle="1" w:styleId="MarginIcons">
    <w:name w:val="Margin Icons"/>
    <w:basedOn w:val="BodyText"/>
    <w:rsid w:val="00591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1E0"/>
    <w:rPr>
      <w:rFonts w:ascii="Courier New" w:hAnsi="Courier New"/>
    </w:rPr>
  </w:style>
  <w:style w:type="paragraph" w:customStyle="1" w:styleId="NoteBullet">
    <w:name w:val="Note Bullet"/>
    <w:basedOn w:val="Note"/>
    <w:rsid w:val="005911E0"/>
    <w:pPr>
      <w:tabs>
        <w:tab w:val="clear" w:pos="680"/>
      </w:tabs>
      <w:spacing w:before="60" w:after="60"/>
    </w:pPr>
  </w:style>
  <w:style w:type="paragraph" w:customStyle="1" w:styleId="SubHeading2">
    <w:name w:val="SubHeading2"/>
    <w:basedOn w:val="HeadingBase"/>
    <w:rsid w:val="005911E0"/>
    <w:pPr>
      <w:spacing w:before="240" w:after="60"/>
    </w:pPr>
    <w:rPr>
      <w:sz w:val="20"/>
    </w:rPr>
  </w:style>
  <w:style w:type="paragraph" w:customStyle="1" w:styleId="SubHeading1">
    <w:name w:val="SubHeading1"/>
    <w:basedOn w:val="HeadingBase"/>
    <w:rsid w:val="005911E0"/>
    <w:pPr>
      <w:spacing w:before="240" w:after="60"/>
    </w:pPr>
    <w:rPr>
      <w:color w:val="918585"/>
      <w:sz w:val="22"/>
    </w:rPr>
  </w:style>
  <w:style w:type="paragraph" w:customStyle="1" w:styleId="SideHeading">
    <w:name w:val="Side Heading"/>
    <w:basedOn w:val="HeadingBase"/>
    <w:rsid w:val="00591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1E0"/>
    <w:pPr>
      <w:numPr>
        <w:numId w:val="10"/>
      </w:numPr>
    </w:pPr>
  </w:style>
  <w:style w:type="paragraph" w:styleId="PlainText">
    <w:name w:val="Plain Text"/>
    <w:basedOn w:val="Normal"/>
    <w:link w:val="PlainTextChar"/>
    <w:rsid w:val="005911E0"/>
    <w:rPr>
      <w:sz w:val="20"/>
    </w:rPr>
  </w:style>
  <w:style w:type="character" w:customStyle="1" w:styleId="PlainTextChar">
    <w:name w:val="Plain Text Char"/>
    <w:basedOn w:val="DefaultParagraphFont"/>
    <w:link w:val="PlainText"/>
    <w:rsid w:val="005911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1E0"/>
    <w:rPr>
      <w:b/>
      <w:smallCaps/>
    </w:rPr>
  </w:style>
  <w:style w:type="paragraph" w:customStyle="1" w:styleId="TableListNumber">
    <w:name w:val="Table List Number"/>
    <w:basedOn w:val="ListNumber"/>
    <w:rsid w:val="005911E0"/>
    <w:pPr>
      <w:numPr>
        <w:numId w:val="0"/>
      </w:numPr>
    </w:pPr>
  </w:style>
  <w:style w:type="paragraph" w:styleId="TOC4">
    <w:name w:val="toc 4"/>
    <w:basedOn w:val="TOCBase"/>
    <w:next w:val="Normal"/>
    <w:semiHidden/>
    <w:rsid w:val="005911E0"/>
    <w:pPr>
      <w:tabs>
        <w:tab w:val="right" w:leader="dot" w:pos="9071"/>
      </w:tabs>
      <w:ind w:left="1701"/>
    </w:pPr>
  </w:style>
  <w:style w:type="paragraph" w:customStyle="1" w:styleId="ListAlpha">
    <w:name w:val="List Alpha"/>
    <w:basedOn w:val="List"/>
    <w:rsid w:val="005911E0"/>
    <w:pPr>
      <w:numPr>
        <w:numId w:val="7"/>
      </w:numPr>
    </w:pPr>
  </w:style>
  <w:style w:type="paragraph" w:customStyle="1" w:styleId="ListAlpha2">
    <w:name w:val="List Alpha 2"/>
    <w:basedOn w:val="List2"/>
    <w:rsid w:val="005911E0"/>
    <w:pPr>
      <w:numPr>
        <w:numId w:val="6"/>
      </w:numPr>
    </w:pPr>
  </w:style>
  <w:style w:type="paragraph" w:styleId="List2">
    <w:name w:val="List 2"/>
    <w:basedOn w:val="BodyText"/>
    <w:rsid w:val="005911E0"/>
    <w:pPr>
      <w:tabs>
        <w:tab w:val="left" w:pos="680"/>
      </w:tabs>
      <w:spacing w:before="60" w:after="60"/>
      <w:ind w:left="680" w:hanging="340"/>
    </w:pPr>
  </w:style>
  <w:style w:type="paragraph" w:styleId="List3">
    <w:name w:val="List 3"/>
    <w:basedOn w:val="BodyText"/>
    <w:rsid w:val="005911E0"/>
    <w:pPr>
      <w:tabs>
        <w:tab w:val="left" w:pos="1021"/>
      </w:tabs>
      <w:spacing w:before="60" w:after="60"/>
      <w:ind w:left="1020" w:hanging="340"/>
    </w:pPr>
  </w:style>
  <w:style w:type="paragraph" w:styleId="List4">
    <w:name w:val="List 4"/>
    <w:basedOn w:val="BodyText"/>
    <w:rsid w:val="005911E0"/>
    <w:pPr>
      <w:tabs>
        <w:tab w:val="left" w:pos="1361"/>
      </w:tabs>
      <w:spacing w:before="60" w:after="60"/>
      <w:ind w:left="1361" w:hanging="340"/>
    </w:pPr>
  </w:style>
  <w:style w:type="paragraph" w:styleId="List5">
    <w:name w:val="List 5"/>
    <w:basedOn w:val="BodyText"/>
    <w:rsid w:val="005911E0"/>
    <w:pPr>
      <w:tabs>
        <w:tab w:val="left" w:pos="1701"/>
      </w:tabs>
      <w:spacing w:before="60" w:after="60"/>
      <w:ind w:left="1701" w:hanging="340"/>
    </w:pPr>
  </w:style>
  <w:style w:type="paragraph" w:styleId="ListBullet3">
    <w:name w:val="List Bullet 3"/>
    <w:basedOn w:val="List3"/>
    <w:rsid w:val="005911E0"/>
    <w:pPr>
      <w:numPr>
        <w:numId w:val="13"/>
      </w:numPr>
      <w:tabs>
        <w:tab w:val="clear" w:pos="1021"/>
      </w:tabs>
      <w:ind w:left="1037" w:hanging="357"/>
    </w:pPr>
  </w:style>
  <w:style w:type="paragraph" w:styleId="ListBullet4">
    <w:name w:val="List Bullet 4"/>
    <w:basedOn w:val="List4"/>
    <w:rsid w:val="005911E0"/>
    <w:pPr>
      <w:numPr>
        <w:numId w:val="1"/>
      </w:numPr>
    </w:pPr>
  </w:style>
  <w:style w:type="paragraph" w:styleId="ListBullet5">
    <w:name w:val="List Bullet 5"/>
    <w:basedOn w:val="List5"/>
    <w:rsid w:val="005911E0"/>
    <w:pPr>
      <w:numPr>
        <w:numId w:val="2"/>
      </w:numPr>
    </w:pPr>
  </w:style>
  <w:style w:type="paragraph" w:styleId="ListContinue2">
    <w:name w:val="List Continue 2"/>
    <w:basedOn w:val="List2"/>
    <w:rsid w:val="005911E0"/>
    <w:pPr>
      <w:ind w:firstLine="0"/>
    </w:pPr>
  </w:style>
  <w:style w:type="paragraph" w:styleId="ListContinue3">
    <w:name w:val="List Continue 3"/>
    <w:basedOn w:val="List3"/>
    <w:rsid w:val="005911E0"/>
    <w:pPr>
      <w:ind w:left="1021" w:firstLine="0"/>
    </w:pPr>
  </w:style>
  <w:style w:type="paragraph" w:styleId="ListContinue4">
    <w:name w:val="List Continue 4"/>
    <w:basedOn w:val="List4"/>
    <w:rsid w:val="005911E0"/>
    <w:pPr>
      <w:ind w:firstLine="0"/>
    </w:pPr>
  </w:style>
  <w:style w:type="paragraph" w:styleId="ListContinue5">
    <w:name w:val="List Continue 5"/>
    <w:basedOn w:val="List5"/>
    <w:rsid w:val="005911E0"/>
    <w:pPr>
      <w:ind w:firstLine="0"/>
    </w:pPr>
  </w:style>
  <w:style w:type="paragraph" w:styleId="ListNumber3">
    <w:name w:val="List Number 3"/>
    <w:basedOn w:val="List3"/>
    <w:rsid w:val="005911E0"/>
    <w:pPr>
      <w:numPr>
        <w:numId w:val="3"/>
      </w:numPr>
    </w:pPr>
  </w:style>
  <w:style w:type="paragraph" w:styleId="ListNumber4">
    <w:name w:val="List Number 4"/>
    <w:basedOn w:val="List4"/>
    <w:rsid w:val="005911E0"/>
    <w:pPr>
      <w:numPr>
        <w:numId w:val="4"/>
      </w:numPr>
    </w:pPr>
  </w:style>
  <w:style w:type="paragraph" w:styleId="ListNumber5">
    <w:name w:val="List Number 5"/>
    <w:basedOn w:val="List5"/>
    <w:rsid w:val="005911E0"/>
    <w:pPr>
      <w:numPr>
        <w:numId w:val="5"/>
      </w:numPr>
    </w:pPr>
  </w:style>
  <w:style w:type="paragraph" w:styleId="BlockText">
    <w:name w:val="Block Text"/>
    <w:basedOn w:val="Normal"/>
    <w:rsid w:val="005911E0"/>
    <w:pPr>
      <w:spacing w:after="120"/>
      <w:ind w:left="1440" w:right="1440"/>
    </w:pPr>
  </w:style>
  <w:style w:type="character" w:customStyle="1" w:styleId="Subscript">
    <w:name w:val="Subscript"/>
    <w:basedOn w:val="DefaultParagraphFont"/>
    <w:rsid w:val="005911E0"/>
    <w:rPr>
      <w:sz w:val="16"/>
      <w:vertAlign w:val="subscript"/>
    </w:rPr>
  </w:style>
  <w:style w:type="character" w:customStyle="1" w:styleId="Superscript">
    <w:name w:val="Superscript"/>
    <w:basedOn w:val="DefaultParagraphFont"/>
    <w:rsid w:val="005911E0"/>
    <w:rPr>
      <w:sz w:val="16"/>
      <w:vertAlign w:val="superscript"/>
    </w:rPr>
  </w:style>
  <w:style w:type="character" w:customStyle="1" w:styleId="Symbols">
    <w:name w:val="Symbols"/>
    <w:basedOn w:val="DefaultParagraphFont"/>
    <w:rsid w:val="005911E0"/>
    <w:rPr>
      <w:rFonts w:ascii="Symbol" w:hAnsi="Symbol"/>
    </w:rPr>
  </w:style>
  <w:style w:type="character" w:customStyle="1" w:styleId="MenuOptions">
    <w:name w:val="Menu Options"/>
    <w:basedOn w:val="DefaultParagraphFont"/>
    <w:rsid w:val="005911E0"/>
    <w:rPr>
      <w:rFonts w:ascii="Arial Narrow" w:hAnsi="Arial Narrow"/>
      <w:smallCaps/>
    </w:rPr>
  </w:style>
  <w:style w:type="character" w:customStyle="1" w:styleId="Buttons">
    <w:name w:val="Buttons"/>
    <w:basedOn w:val="DefaultParagraphFont"/>
    <w:rsid w:val="005911E0"/>
    <w:rPr>
      <w:b/>
    </w:rPr>
  </w:style>
  <w:style w:type="character" w:customStyle="1" w:styleId="Underlined">
    <w:name w:val="Underlined"/>
    <w:basedOn w:val="DefaultParagraphFont"/>
    <w:rsid w:val="005911E0"/>
    <w:rPr>
      <w:u w:val="single"/>
    </w:rPr>
  </w:style>
  <w:style w:type="paragraph" w:customStyle="1" w:styleId="TableBodyTextRight">
    <w:name w:val="Table Body Text Right"/>
    <w:basedOn w:val="TableBodyText"/>
    <w:rsid w:val="005911E0"/>
    <w:pPr>
      <w:widowControl w:val="0"/>
      <w:autoSpaceDE w:val="0"/>
      <w:autoSpaceDN w:val="0"/>
      <w:adjustRightInd w:val="0"/>
      <w:jc w:val="right"/>
    </w:pPr>
    <w:rPr>
      <w:rFonts w:cs="Arial"/>
      <w:szCs w:val="18"/>
    </w:rPr>
  </w:style>
  <w:style w:type="paragraph" w:customStyle="1" w:styleId="CopyrightText">
    <w:name w:val="Copyright Text"/>
    <w:basedOn w:val="BodyText"/>
    <w:rsid w:val="005911E0"/>
    <w:rPr>
      <w:sz w:val="18"/>
    </w:rPr>
  </w:style>
  <w:style w:type="paragraph" w:customStyle="1" w:styleId="BodySmallRight">
    <w:name w:val="Body Small Right"/>
    <w:basedOn w:val="BodyTextRight"/>
    <w:rsid w:val="005911E0"/>
    <w:rPr>
      <w:sz w:val="18"/>
      <w:szCs w:val="18"/>
    </w:rPr>
  </w:style>
  <w:style w:type="paragraph" w:customStyle="1" w:styleId="MarginEdition">
    <w:name w:val="Margin Edition"/>
    <w:basedOn w:val="MarginNote"/>
    <w:rsid w:val="005911E0"/>
    <w:pPr>
      <w:spacing w:before="0" w:after="0"/>
    </w:pPr>
    <w:rPr>
      <w:rFonts w:ascii="Times New Roman" w:hAnsi="Times New Roman"/>
      <w:color w:val="999999"/>
    </w:rPr>
  </w:style>
  <w:style w:type="paragraph" w:customStyle="1" w:styleId="Spacer">
    <w:name w:val="Spacer"/>
    <w:basedOn w:val="Normal"/>
    <w:rsid w:val="005911E0"/>
    <w:rPr>
      <w:sz w:val="2"/>
      <w:szCs w:val="2"/>
    </w:rPr>
  </w:style>
  <w:style w:type="character" w:customStyle="1" w:styleId="Small">
    <w:name w:val="Small"/>
    <w:basedOn w:val="DefaultParagraphFont"/>
    <w:rsid w:val="005911E0"/>
    <w:rPr>
      <w:sz w:val="16"/>
    </w:rPr>
  </w:style>
  <w:style w:type="paragraph" w:customStyle="1" w:styleId="WideTable">
    <w:name w:val="Wide Table"/>
    <w:basedOn w:val="Normal"/>
    <w:rsid w:val="005911E0"/>
    <w:pPr>
      <w:ind w:left="-1418"/>
    </w:pPr>
    <w:rPr>
      <w:sz w:val="2"/>
      <w:szCs w:val="2"/>
    </w:rPr>
  </w:style>
  <w:style w:type="character" w:styleId="PageNumber">
    <w:name w:val="page number"/>
    <w:basedOn w:val="DefaultParagraphFont"/>
    <w:rsid w:val="005911E0"/>
  </w:style>
  <w:style w:type="paragraph" w:styleId="Quote">
    <w:name w:val="Quote"/>
    <w:basedOn w:val="Heading1"/>
    <w:link w:val="QuoteChar"/>
    <w:qFormat/>
    <w:rsid w:val="005911E0"/>
    <w:rPr>
      <w:b w:val="0"/>
      <w:sz w:val="72"/>
      <w:szCs w:val="72"/>
      <w:lang w:val="en-NZ"/>
    </w:rPr>
  </w:style>
  <w:style w:type="character" w:customStyle="1" w:styleId="QuoteChar">
    <w:name w:val="Quote Char"/>
    <w:basedOn w:val="DefaultParagraphFont"/>
    <w:link w:val="Quote"/>
    <w:rsid w:val="00591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1E0"/>
    <w:pPr>
      <w:pageBreakBefore/>
    </w:pPr>
  </w:style>
  <w:style w:type="paragraph" w:customStyle="1" w:styleId="Border">
    <w:name w:val="Border"/>
    <w:basedOn w:val="Normal"/>
    <w:qFormat/>
    <w:rsid w:val="00591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1E0"/>
    <w:rPr>
      <w:b/>
      <w:bCs/>
      <w:i/>
      <w:iCs/>
      <w:color w:val="auto"/>
    </w:rPr>
  </w:style>
  <w:style w:type="paragraph" w:styleId="IntenseQuote">
    <w:name w:val="Intense Quote"/>
    <w:basedOn w:val="Normal"/>
    <w:next w:val="Normal"/>
    <w:link w:val="IntenseQuoteChar"/>
    <w:uiPriority w:val="30"/>
    <w:qFormat/>
    <w:rsid w:val="00591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1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1E0"/>
    <w:rPr>
      <w:smallCaps/>
      <w:color w:val="auto"/>
      <w:u w:val="single"/>
    </w:rPr>
  </w:style>
  <w:style w:type="character" w:styleId="IntenseReference">
    <w:name w:val="Intense Reference"/>
    <w:basedOn w:val="DefaultParagraphFont"/>
    <w:uiPriority w:val="32"/>
    <w:qFormat/>
    <w:rsid w:val="005911E0"/>
    <w:rPr>
      <w:b/>
      <w:bCs/>
      <w:smallCaps/>
      <w:color w:val="auto"/>
      <w:spacing w:val="5"/>
      <w:u w:val="single"/>
    </w:rPr>
  </w:style>
  <w:style w:type="paragraph" w:customStyle="1" w:styleId="2ColumnHeading">
    <w:name w:val="2Column Heading"/>
    <w:basedOn w:val="BodyText"/>
    <w:qFormat/>
    <w:rsid w:val="005911E0"/>
    <w:pPr>
      <w:spacing w:after="60"/>
      <w:ind w:left="-2268"/>
    </w:pPr>
    <w:rPr>
      <w:b/>
    </w:rPr>
  </w:style>
  <w:style w:type="paragraph" w:customStyle="1" w:styleId="Heading1TOC">
    <w:name w:val="Heading1 TOC"/>
    <w:basedOn w:val="Normal"/>
    <w:qFormat/>
    <w:rsid w:val="005911E0"/>
    <w:pPr>
      <w:spacing w:before="240" w:after="120"/>
    </w:pPr>
    <w:rPr>
      <w:rFonts w:ascii="Times New Roman" w:hAnsi="Times New Roman"/>
      <w:b/>
      <w:sz w:val="32"/>
    </w:rPr>
  </w:style>
  <w:style w:type="paragraph" w:customStyle="1" w:styleId="Heading2TOC">
    <w:name w:val="Heading2 TOC"/>
    <w:basedOn w:val="Normal"/>
    <w:qFormat/>
    <w:rsid w:val="005911E0"/>
    <w:pPr>
      <w:spacing w:before="240" w:after="60"/>
    </w:pPr>
    <w:rPr>
      <w:rFonts w:ascii="Times New Roman" w:hAnsi="Times New Roman"/>
      <w:b/>
      <w:sz w:val="28"/>
    </w:rPr>
  </w:style>
  <w:style w:type="character" w:customStyle="1" w:styleId="Underline">
    <w:name w:val="Underline"/>
    <w:basedOn w:val="DefaultParagraphFont"/>
    <w:qFormat/>
    <w:rsid w:val="005911E0"/>
    <w:rPr>
      <w:u w:val="single"/>
    </w:rPr>
  </w:style>
  <w:style w:type="character" w:customStyle="1" w:styleId="BoldandItalics">
    <w:name w:val="Bold and Italics"/>
    <w:qFormat/>
    <w:rsid w:val="005911E0"/>
    <w:rPr>
      <w:b/>
      <w:i/>
      <w:u w:val="none"/>
    </w:rPr>
  </w:style>
  <w:style w:type="paragraph" w:styleId="BalloonText">
    <w:name w:val="Balloon Text"/>
    <w:basedOn w:val="Normal"/>
    <w:link w:val="BalloonTextChar"/>
    <w:rsid w:val="005911E0"/>
    <w:rPr>
      <w:rFonts w:ascii="Tahoma" w:hAnsi="Tahoma" w:cs="Tahoma"/>
      <w:sz w:val="16"/>
      <w:szCs w:val="16"/>
    </w:rPr>
  </w:style>
  <w:style w:type="character" w:customStyle="1" w:styleId="BalloonTextChar">
    <w:name w:val="Balloon Text Char"/>
    <w:basedOn w:val="DefaultParagraphFont"/>
    <w:link w:val="BalloonText"/>
    <w:rsid w:val="005911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1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8031</Characters>
  <Application>Microsoft Office Word</Application>
  <DocSecurity>0</DocSecurity>
  <Lines>284</Lines>
  <Paragraphs>170</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TLIA1007C Coordinate goods to bond premises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