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593E" w:rsidP="00D1593E">
      <w:pPr>
        <w:pStyle w:val="Title"/>
      </w:pPr>
      <w:r>
        <w:fldChar w:fldCharType="begin"/>
      </w:r>
      <w:r>
        <w:instrText xml:space="preserve"> TITLE   \* MERGEFORMAT </w:instrText>
      </w:r>
      <w:r>
        <w:fldChar w:fldCharType="separate"/>
      </w:r>
      <w:r>
        <w:t>TLIX6053 Coordinate health support operations</w:t>
      </w:r>
      <w:r>
        <w:fldChar w:fldCharType="end"/>
      </w:r>
    </w:p>
    <w:p w:rsidR="00D1593E" w:rsidP="00D1593E">
      <w:pPr>
        <w:pStyle w:val="Version"/>
        <w:sectPr w:rsidSect="00CA3C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3CC1" w:rsidP="00CA3CC1">
      <w:pPr>
        <w:pStyle w:val="SuperHeading"/>
      </w:pPr>
      <w:r w:rsidRPr="00CA3CC1">
        <w:t>TLIX6053 Coordinate health support operations</w:t>
      </w:r>
    </w:p>
    <w:p w:rsidR="00000000" w:rsidRPr="00CA3CC1" w:rsidP="00CA3CC1">
      <w:pPr>
        <w:pStyle w:val="Heading1"/>
      </w:pPr>
      <w:bookmarkStart w:id="1" w:name="O_755418"/>
      <w:bookmarkEnd w:id="1"/>
      <w:r w:rsidRPr="00CA3CC1">
        <w:t>Modification History</w:t>
      </w:r>
    </w:p>
    <w:p w:rsidR="00D1593E" w:rsidP="00D1593E">
      <w:pPr>
        <w:pStyle w:val="BodyText"/>
      </w:pPr>
      <w:r w:rsidRPr="00CA3CC1">
        <w:t>Release 1. This is the first release of this unit of competency in the TLI Transport and Logistics Training Package.</w:t>
      </w:r>
    </w:p>
    <w:p w:rsidR="00000000" w:rsidRPr="00CA3CC1" w:rsidP="00CA3CC1">
      <w:pPr>
        <w:pStyle w:val="Heading1"/>
      </w:pPr>
      <w:bookmarkStart w:id="2" w:name="O_755419"/>
      <w:bookmarkEnd w:id="2"/>
      <w:r w:rsidRPr="00CA3CC1">
        <w:t>Application</w:t>
      </w:r>
    </w:p>
    <w:tbl>
      <w:tblPr>
        <w:tblW w:w="0" w:type="auto"/>
        <w:tblCellMar>
          <w:left w:w="62" w:type="dxa"/>
          <w:right w:w="62" w:type="dxa"/>
        </w:tblCellMar>
        <w:tblLook w:val="0000"/>
      </w:tblPr>
      <w:tblGrid>
        <w:gridCol w:w="9196"/>
      </w:tblGrid>
      <w:tr w:rsidTr="00D159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A3CC1" w:rsidP="00CA3CC1">
            <w:pPr>
              <w:pStyle w:val="BodyText"/>
            </w:pPr>
            <w:r w:rsidRPr="00CA3CC1">
              <w:t>This unit involves the skills and knowledge required to coordinate health suppor</w:t>
            </w:r>
            <w:r w:rsidRPr="00CA3CC1">
              <w:t>t operations in support operations in accordance with relevant organisational policy and procedures.</w:t>
            </w:r>
          </w:p>
          <w:p w:rsidR="00000000" w:rsidRPr="00CA3CC1" w:rsidP="00CA3CC1">
            <w:pPr>
              <w:pStyle w:val="BodyText"/>
            </w:pPr>
            <w:r w:rsidRPr="00CA3CC1">
              <w:t>This unit is applicable to logistics personnel who have specialist health planning skills and are responsible for coordinating logistics support across a v</w:t>
            </w:r>
            <w:r w:rsidRPr="00CA3CC1">
              <w:t>ariety of health elements at an organisational level.</w:t>
            </w:r>
          </w:p>
          <w:p w:rsidR="00000000" w:rsidRPr="00CA3CC1" w:rsidP="00CA3CC1">
            <w:pPr>
              <w:pStyle w:val="BodyText"/>
            </w:pPr>
            <w:r w:rsidRPr="00CA3CC1">
              <w:t>No licensing, legislative or certification requirements apply to this unit at the time of publication.</w:t>
            </w:r>
          </w:p>
        </w:tc>
      </w:tr>
    </w:tbl>
    <w:p w:rsidR="00D1593E" w:rsidP="00CA3CC1">
      <w:pPr>
        <w:pStyle w:val="BodyText"/>
      </w:pPr>
    </w:p>
    <w:p w:rsidR="00D1593E" w:rsidP="00CA3CC1">
      <w:pPr>
        <w:pStyle w:val="BodyText"/>
      </w:pPr>
    </w:p>
    <w:p w:rsidR="00000000" w:rsidRPr="00CA3CC1" w:rsidP="00CA3CC1">
      <w:pPr>
        <w:pStyle w:val="Heading1"/>
      </w:pPr>
      <w:bookmarkStart w:id="3" w:name="O_755420"/>
      <w:bookmarkEnd w:id="3"/>
      <w:r w:rsidRPr="00CA3CC1">
        <w:t>Pre-requisite Unit</w:t>
      </w:r>
    </w:p>
    <w:p w:rsidR="00D1593E" w:rsidP="00D1593E">
      <w:pPr>
        <w:pStyle w:val="BodyText"/>
      </w:pPr>
      <w:r w:rsidRPr="00CA3CC1">
        <w:t>Not applicable.</w:t>
      </w:r>
    </w:p>
    <w:p w:rsidR="00000000" w:rsidRPr="00CA3CC1" w:rsidP="00CA3CC1">
      <w:pPr>
        <w:pStyle w:val="Heading1"/>
      </w:pPr>
      <w:bookmarkStart w:id="4" w:name="O_755421"/>
      <w:bookmarkEnd w:id="4"/>
      <w:r w:rsidRPr="00CA3CC1">
        <w:t>Competency Field</w:t>
      </w:r>
    </w:p>
    <w:p w:rsidR="00D1593E" w:rsidP="00D1593E">
      <w:pPr>
        <w:pStyle w:val="BodyText"/>
      </w:pPr>
      <w:r w:rsidRPr="00CA3CC1">
        <w:t>X – Logis</w:t>
      </w:r>
      <w:r w:rsidRPr="00CA3CC1">
        <w:t>tics</w:t>
      </w:r>
    </w:p>
    <w:p w:rsidR="00000000" w:rsidRPr="00CA3CC1" w:rsidP="00CA3CC1">
      <w:pPr>
        <w:pStyle w:val="Heading1"/>
      </w:pPr>
      <w:bookmarkStart w:id="5" w:name="O_755422"/>
      <w:bookmarkEnd w:id="5"/>
      <w:r w:rsidRPr="00CA3CC1">
        <w:t>Unit Sector</w:t>
      </w:r>
    </w:p>
    <w:p w:rsidR="00D1593E" w:rsidP="00D1593E">
      <w:pPr>
        <w:pStyle w:val="BodyText"/>
      </w:pPr>
      <w:r w:rsidRPr="00CA3CC1">
        <w:t>Not applicable.</w:t>
      </w:r>
    </w:p>
    <w:p w:rsidR="00000000" w:rsidRPr="00CA3CC1" w:rsidP="00CA3CC1">
      <w:pPr>
        <w:pStyle w:val="Heading1"/>
      </w:pPr>
      <w:bookmarkStart w:id="6" w:name="O_755423"/>
      <w:bookmarkEnd w:id="6"/>
      <w:r w:rsidRPr="00CA3CC1">
        <w:t>Elements and Performance Criteria</w:t>
      </w:r>
    </w:p>
    <w:tbl>
      <w:tblPr>
        <w:tblW w:w="0" w:type="auto"/>
        <w:tblCellMar>
          <w:left w:w="62" w:type="dxa"/>
          <w:right w:w="62" w:type="dxa"/>
        </w:tblCellMar>
        <w:tblLook w:val="0000"/>
      </w:tblPr>
      <w:tblGrid>
        <w:gridCol w:w="332"/>
        <w:gridCol w:w="1769"/>
        <w:gridCol w:w="1"/>
        <w:gridCol w:w="552"/>
        <w:gridCol w:w="6542"/>
      </w:tblGrid>
      <w:tr w:rsidTr="00D1593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A3CC1">
            <w:pPr>
              <w:pStyle w:val="BodyText"/>
              <w:rPr>
                <w:lang w:val="en-NZ"/>
              </w:rPr>
            </w:pPr>
            <w:r w:rsidRPr="00CA3CC1">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CA3CC1">
            <w:pPr>
              <w:pStyle w:val="BodyText"/>
              <w:rPr>
                <w:lang w:val="en-NZ"/>
              </w:rPr>
            </w:pPr>
            <w:r w:rsidRPr="00CA3CC1">
              <w:t>Performance criteria describe the performance needed to demonstrate achievement of the element.</w:t>
            </w:r>
          </w:p>
        </w:tc>
      </w:tr>
      <w:tr w:rsidTr="00D1593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A3CC1" w:rsidP="00CA3CC1">
            <w:pPr>
              <w:pStyle w:val="BodyText"/>
            </w:pPr>
            <w:r w:rsidRPr="00CA3CC1">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CA3CC1">
            <w:pPr>
              <w:pStyle w:val="BodyText"/>
              <w:rPr>
                <w:lang w:val="en-NZ"/>
              </w:rPr>
            </w:pPr>
            <w:r w:rsidRPr="00CA3CC1">
              <w:rPr>
                <w:rStyle w:val="SpecialBold"/>
              </w:rPr>
              <w:t xml:space="preserve">Coordinate health information collection to aid health planning and </w:t>
            </w:r>
            <w:r w:rsidRPr="00CA3CC1">
              <w:rPr>
                <w:rStyle w:val="SpecialBold"/>
              </w:rPr>
              <w:t>health support delivery</w:t>
            </w:r>
          </w:p>
        </w:tc>
        <w:tc>
          <w:tcPr>
            <w:tcW w:w="0" w:type="auto"/>
            <w:gridSpan w:val="2"/>
            <w:tcBorders>
              <w:top w:val="nil"/>
              <w:left w:val="nil"/>
              <w:bottom w:val="nil"/>
              <w:right w:val="nil"/>
            </w:tcBorders>
            <w:tcMar>
              <w:top w:w="0" w:type="dxa"/>
              <w:left w:w="62" w:type="dxa"/>
              <w:bottom w:w="0" w:type="dxa"/>
              <w:right w:w="62" w:type="dxa"/>
            </w:tcMar>
          </w:tcPr>
          <w:p w:rsidR="00000000" w:rsidP="00CA3CC1">
            <w:pPr>
              <w:pStyle w:val="BodyText"/>
              <w:rPr>
                <w:lang w:val="en-NZ"/>
              </w:rPr>
            </w:pPr>
            <w:r w:rsidRPr="00CA3CC1">
              <w:t>1.1</w:t>
            </w:r>
          </w:p>
        </w:tc>
        <w:tc>
          <w:tcPr>
            <w:tcW w:w="0" w:type="auto"/>
            <w:tcBorders>
              <w:top w:val="nil"/>
              <w:left w:val="nil"/>
              <w:bottom w:val="nil"/>
              <w:right w:val="nil"/>
            </w:tcBorders>
            <w:tcMar>
              <w:top w:w="0" w:type="dxa"/>
              <w:left w:w="62" w:type="dxa"/>
              <w:bottom w:w="0" w:type="dxa"/>
              <w:right w:w="62" w:type="dxa"/>
            </w:tcMar>
          </w:tcPr>
          <w:p w:rsidR="00000000" w:rsidP="00CA3CC1">
            <w:pPr>
              <w:pStyle w:val="BodyText"/>
              <w:rPr>
                <w:lang w:val="en-NZ"/>
              </w:rPr>
            </w:pPr>
            <w:r w:rsidRPr="00CA3CC1">
              <w:t>Health information requirements are identified to contribute to establishing and maintaining an accurate understanding of current and potential health threats</w:t>
            </w:r>
          </w:p>
        </w:tc>
      </w:tr>
      <w:tr w:rsidTr="00D159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A3CC1">
            <w:pPr>
              <w:pStyle w:val="BodyText"/>
              <w:rPr>
                <w:lang w:val="en-NZ"/>
              </w:rPr>
            </w:pPr>
            <w:r w:rsidRPr="00CA3CC1">
              <w:t>1.2</w:t>
            </w:r>
          </w:p>
        </w:tc>
        <w:tc>
          <w:tcPr>
            <w:tcW w:w="0" w:type="auto"/>
            <w:tcBorders>
              <w:top w:val="nil"/>
              <w:left w:val="nil"/>
              <w:bottom w:val="nil"/>
              <w:right w:val="nil"/>
            </w:tcBorders>
            <w:tcMar>
              <w:top w:w="0" w:type="dxa"/>
              <w:left w:w="62" w:type="dxa"/>
              <w:bottom w:w="0" w:type="dxa"/>
              <w:right w:w="62" w:type="dxa"/>
            </w:tcMar>
          </w:tcPr>
          <w:p w:rsidR="00000000" w:rsidP="00CA3CC1">
            <w:pPr>
              <w:pStyle w:val="BodyText"/>
              <w:rPr>
                <w:lang w:val="en-NZ"/>
              </w:rPr>
            </w:pPr>
            <w:r w:rsidRPr="00CA3CC1">
              <w:t xml:space="preserve">Health elements are liaised with to establish arrangements for collecting and reporting </w:t>
            </w:r>
            <w:r w:rsidRPr="00CA3CC1">
              <w:t>information</w:t>
            </w:r>
          </w:p>
        </w:tc>
      </w:tr>
      <w:tr w:rsidTr="00D159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A3CC1">
            <w:pPr>
              <w:pStyle w:val="BodyText"/>
              <w:rPr>
                <w:lang w:val="en-NZ"/>
              </w:rPr>
            </w:pPr>
            <w:r w:rsidRPr="00CA3CC1">
              <w:t>1.3</w:t>
            </w:r>
          </w:p>
        </w:tc>
        <w:tc>
          <w:tcPr>
            <w:tcW w:w="0" w:type="auto"/>
            <w:tcBorders>
              <w:top w:val="nil"/>
              <w:left w:val="nil"/>
              <w:bottom w:val="nil"/>
              <w:right w:val="nil"/>
            </w:tcBorders>
            <w:tcMar>
              <w:top w:w="0" w:type="dxa"/>
              <w:left w:w="62" w:type="dxa"/>
              <w:bottom w:w="0" w:type="dxa"/>
              <w:right w:w="62" w:type="dxa"/>
            </w:tcMar>
          </w:tcPr>
          <w:p w:rsidR="00000000" w:rsidP="00CA3CC1">
            <w:pPr>
              <w:pStyle w:val="BodyText"/>
              <w:rPr>
                <w:lang w:val="en-NZ"/>
              </w:rPr>
            </w:pPr>
            <w:r w:rsidRPr="00CA3CC1">
              <w:t>Information management systems and information from health elements are utilised to compile and analyse health data and information to identify</w:t>
            </w:r>
            <w:r w:rsidRPr="00CA3CC1">
              <w:t xml:space="preserve"> significant trends or data and develop an understanding of current and emerging health threats</w:t>
            </w:r>
          </w:p>
        </w:tc>
      </w:tr>
      <w:tr w:rsidTr="00D159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A3CC1">
            <w:pPr>
              <w:pStyle w:val="BodyText"/>
              <w:rPr>
                <w:lang w:val="en-NZ"/>
              </w:rPr>
            </w:pPr>
            <w:r w:rsidRPr="00CA3CC1">
              <w:t>1.4</w:t>
            </w:r>
          </w:p>
        </w:tc>
        <w:tc>
          <w:tcPr>
            <w:tcW w:w="0" w:type="auto"/>
            <w:tcBorders>
              <w:top w:val="nil"/>
              <w:left w:val="nil"/>
              <w:bottom w:val="nil"/>
              <w:right w:val="nil"/>
            </w:tcBorders>
            <w:tcMar>
              <w:top w:w="0" w:type="dxa"/>
              <w:left w:w="62" w:type="dxa"/>
              <w:bottom w:w="0" w:type="dxa"/>
              <w:right w:w="62" w:type="dxa"/>
            </w:tcMar>
          </w:tcPr>
          <w:p w:rsidR="00000000" w:rsidP="00CA3CC1">
            <w:pPr>
              <w:pStyle w:val="BodyText"/>
              <w:rPr>
                <w:lang w:val="en-NZ"/>
              </w:rPr>
            </w:pPr>
            <w:r w:rsidRPr="00CA3CC1">
              <w:t>Health estimates are produced and updated based on analysis of health information and direction from health specialists</w:t>
            </w:r>
          </w:p>
        </w:tc>
      </w:tr>
      <w:tr w:rsidTr="00D159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A3CC1">
            <w:pPr>
              <w:pStyle w:val="BodyText"/>
              <w:rPr>
                <w:lang w:val="en-NZ"/>
              </w:rPr>
            </w:pPr>
            <w:r w:rsidRPr="00CA3CC1">
              <w:t>1.5</w:t>
            </w:r>
          </w:p>
        </w:tc>
        <w:tc>
          <w:tcPr>
            <w:tcW w:w="0" w:type="auto"/>
            <w:tcBorders>
              <w:top w:val="nil"/>
              <w:left w:val="nil"/>
              <w:bottom w:val="nil"/>
              <w:right w:val="nil"/>
            </w:tcBorders>
            <w:tcMar>
              <w:top w:w="0" w:type="dxa"/>
              <w:left w:w="62" w:type="dxa"/>
              <w:bottom w:w="0" w:type="dxa"/>
              <w:right w:w="62" w:type="dxa"/>
            </w:tcMar>
          </w:tcPr>
          <w:p w:rsidR="00000000" w:rsidP="00CA3CC1">
            <w:pPr>
              <w:pStyle w:val="BodyText"/>
              <w:rPr>
                <w:lang w:val="en-NZ"/>
              </w:rPr>
            </w:pPr>
            <w:r w:rsidRPr="00CA3CC1">
              <w:t>Health estimates are communicated to stakeholders to enable appropriate employment of health support capabilities</w:t>
            </w:r>
          </w:p>
        </w:tc>
      </w:tr>
      <w:tr w:rsidTr="00D1593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A3CC1" w:rsidP="00CA3CC1">
            <w:pPr>
              <w:pStyle w:val="BodyText"/>
            </w:pPr>
            <w:r w:rsidRPr="00CA3CC1">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CA3CC1">
            <w:pPr>
              <w:pStyle w:val="BodyText"/>
              <w:rPr>
                <w:lang w:val="en-NZ"/>
              </w:rPr>
            </w:pPr>
            <w:r w:rsidRPr="00CA3CC1">
              <w:rPr>
                <w:rStyle w:val="SpecialBold"/>
              </w:rPr>
              <w:t>Undertake casualty regulation in support of operations</w:t>
            </w:r>
          </w:p>
        </w:tc>
        <w:tc>
          <w:tcPr>
            <w:tcW w:w="0" w:type="auto"/>
            <w:gridSpan w:val="2"/>
            <w:tcBorders>
              <w:top w:val="nil"/>
              <w:left w:val="nil"/>
              <w:bottom w:val="nil"/>
              <w:right w:val="nil"/>
            </w:tcBorders>
            <w:tcMar>
              <w:top w:w="0" w:type="dxa"/>
              <w:left w:w="62" w:type="dxa"/>
              <w:bottom w:w="0" w:type="dxa"/>
              <w:right w:w="62" w:type="dxa"/>
            </w:tcMar>
          </w:tcPr>
          <w:p w:rsidR="00000000" w:rsidP="00CA3CC1">
            <w:pPr>
              <w:pStyle w:val="BodyText"/>
              <w:rPr>
                <w:lang w:val="en-NZ"/>
              </w:rPr>
            </w:pPr>
            <w:r w:rsidRPr="00CA3CC1">
              <w:t>2.1</w:t>
            </w:r>
          </w:p>
        </w:tc>
        <w:tc>
          <w:tcPr>
            <w:tcW w:w="0" w:type="auto"/>
            <w:tcBorders>
              <w:top w:val="nil"/>
              <w:left w:val="nil"/>
              <w:bottom w:val="nil"/>
              <w:right w:val="nil"/>
            </w:tcBorders>
            <w:tcMar>
              <w:top w:w="0" w:type="dxa"/>
              <w:left w:w="62" w:type="dxa"/>
              <w:bottom w:w="0" w:type="dxa"/>
              <w:right w:w="62" w:type="dxa"/>
            </w:tcMar>
          </w:tcPr>
          <w:p w:rsidR="00000000" w:rsidP="00CA3CC1">
            <w:pPr>
              <w:pStyle w:val="BodyText"/>
              <w:rPr>
                <w:lang w:val="en-NZ"/>
              </w:rPr>
            </w:pPr>
            <w:r w:rsidRPr="00CA3CC1">
              <w:t>Casualty regulation strategies are determined and implemented to ensure efficien</w:t>
            </w:r>
            <w:r w:rsidRPr="00CA3CC1">
              <w:t>t routing of casualties to appropriate treatment facilities</w:t>
            </w:r>
          </w:p>
        </w:tc>
      </w:tr>
      <w:tr w:rsidTr="00D159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A3CC1">
            <w:pPr>
              <w:pStyle w:val="BodyText"/>
              <w:rPr>
                <w:lang w:val="en-NZ"/>
              </w:rPr>
            </w:pPr>
            <w:r w:rsidRPr="00CA3CC1">
              <w:t>2.2</w:t>
            </w:r>
          </w:p>
        </w:tc>
        <w:tc>
          <w:tcPr>
            <w:tcW w:w="0" w:type="auto"/>
            <w:tcBorders>
              <w:top w:val="nil"/>
              <w:left w:val="nil"/>
              <w:bottom w:val="nil"/>
              <w:right w:val="nil"/>
            </w:tcBorders>
            <w:tcMar>
              <w:top w:w="0" w:type="dxa"/>
              <w:left w:w="62" w:type="dxa"/>
              <w:bottom w:w="0" w:type="dxa"/>
              <w:right w:w="62" w:type="dxa"/>
            </w:tcMar>
          </w:tcPr>
          <w:p w:rsidR="00000000" w:rsidP="00CA3CC1">
            <w:pPr>
              <w:pStyle w:val="BodyText"/>
              <w:rPr>
                <w:lang w:val="en-NZ"/>
              </w:rPr>
            </w:pPr>
            <w:r w:rsidRPr="00CA3CC1">
              <w:t>Effectiveness of casualty regulation strategies is monitored and adapted to ensure strategies reflect environmental and operational situation needs</w:t>
            </w:r>
          </w:p>
        </w:tc>
      </w:tr>
      <w:tr w:rsidTr="00D159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A3CC1">
            <w:pPr>
              <w:pStyle w:val="BodyText"/>
              <w:rPr>
                <w:lang w:val="en-NZ"/>
              </w:rPr>
            </w:pPr>
            <w:r w:rsidRPr="00CA3CC1">
              <w:t>2.3</w:t>
            </w:r>
          </w:p>
        </w:tc>
        <w:tc>
          <w:tcPr>
            <w:tcW w:w="0" w:type="auto"/>
            <w:tcBorders>
              <w:top w:val="nil"/>
              <w:left w:val="nil"/>
              <w:bottom w:val="nil"/>
              <w:right w:val="nil"/>
            </w:tcBorders>
            <w:tcMar>
              <w:top w:w="0" w:type="dxa"/>
              <w:left w:w="62" w:type="dxa"/>
              <w:bottom w:w="0" w:type="dxa"/>
              <w:right w:w="62" w:type="dxa"/>
            </w:tcMar>
          </w:tcPr>
          <w:p w:rsidR="00000000" w:rsidP="00CA3CC1">
            <w:pPr>
              <w:pStyle w:val="BodyText"/>
              <w:rPr>
                <w:lang w:val="en-NZ"/>
              </w:rPr>
            </w:pPr>
            <w:r w:rsidRPr="00CA3CC1">
              <w:t>Casualty evacuation is coordinated to support appropriate movement of casualties around area of operations</w:t>
            </w:r>
          </w:p>
        </w:tc>
      </w:tr>
      <w:tr w:rsidTr="00D1593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A3CC1" w:rsidP="00CA3CC1">
            <w:pPr>
              <w:pStyle w:val="BodyText"/>
            </w:pPr>
            <w:r w:rsidRPr="00CA3CC1">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CA3CC1">
            <w:pPr>
              <w:pStyle w:val="BodyText"/>
              <w:rPr>
                <w:lang w:val="en-NZ"/>
              </w:rPr>
            </w:pPr>
            <w:r w:rsidRPr="00CA3CC1">
              <w:rPr>
                <w:rStyle w:val="SpecialBold"/>
              </w:rPr>
              <w:t>Coordinate supply and support services to health facilities</w:t>
            </w:r>
          </w:p>
        </w:tc>
        <w:tc>
          <w:tcPr>
            <w:tcW w:w="0" w:type="auto"/>
            <w:gridSpan w:val="2"/>
            <w:tcBorders>
              <w:top w:val="nil"/>
              <w:left w:val="nil"/>
              <w:bottom w:val="nil"/>
              <w:right w:val="nil"/>
            </w:tcBorders>
            <w:tcMar>
              <w:top w:w="0" w:type="dxa"/>
              <w:left w:w="62" w:type="dxa"/>
              <w:bottom w:w="0" w:type="dxa"/>
              <w:right w:w="62" w:type="dxa"/>
            </w:tcMar>
          </w:tcPr>
          <w:p w:rsidR="00000000" w:rsidP="00CA3CC1">
            <w:pPr>
              <w:pStyle w:val="BodyText"/>
              <w:rPr>
                <w:lang w:val="en-NZ"/>
              </w:rPr>
            </w:pPr>
            <w:r w:rsidRPr="00CA3CC1">
              <w:t>3.1</w:t>
            </w:r>
          </w:p>
        </w:tc>
        <w:tc>
          <w:tcPr>
            <w:tcW w:w="0" w:type="auto"/>
            <w:tcBorders>
              <w:top w:val="nil"/>
              <w:left w:val="nil"/>
              <w:bottom w:val="nil"/>
              <w:right w:val="nil"/>
            </w:tcBorders>
            <w:tcMar>
              <w:top w:w="0" w:type="dxa"/>
              <w:left w:w="62" w:type="dxa"/>
              <w:bottom w:w="0" w:type="dxa"/>
              <w:right w:w="62" w:type="dxa"/>
            </w:tcMar>
          </w:tcPr>
          <w:p w:rsidR="00000000" w:rsidP="00CA3CC1">
            <w:pPr>
              <w:pStyle w:val="BodyText"/>
              <w:rPr>
                <w:lang w:val="en-NZ"/>
              </w:rPr>
            </w:pPr>
            <w:r w:rsidRPr="00CA3CC1">
              <w:t>Arrangements for removing and disposing health related waste are coordinated</w:t>
            </w:r>
          </w:p>
        </w:tc>
      </w:tr>
      <w:tr w:rsidTr="00D159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A3CC1">
            <w:pPr>
              <w:pStyle w:val="BodyText"/>
              <w:rPr>
                <w:lang w:val="en-NZ"/>
              </w:rPr>
            </w:pPr>
            <w:r w:rsidRPr="00CA3CC1">
              <w:t>3.</w:t>
            </w:r>
            <w:r w:rsidRPr="00CA3CC1">
              <w:t>2</w:t>
            </w:r>
          </w:p>
        </w:tc>
        <w:tc>
          <w:tcPr>
            <w:tcW w:w="0" w:type="auto"/>
            <w:tcBorders>
              <w:top w:val="nil"/>
              <w:left w:val="nil"/>
              <w:bottom w:val="nil"/>
              <w:right w:val="nil"/>
            </w:tcBorders>
            <w:tcMar>
              <w:top w:w="0" w:type="dxa"/>
              <w:left w:w="62" w:type="dxa"/>
              <w:bottom w:w="0" w:type="dxa"/>
              <w:right w:w="62" w:type="dxa"/>
            </w:tcMar>
          </w:tcPr>
          <w:p w:rsidR="00000000" w:rsidP="00CA3CC1">
            <w:pPr>
              <w:pStyle w:val="BodyText"/>
              <w:rPr>
                <w:lang w:val="en-NZ"/>
              </w:rPr>
            </w:pPr>
            <w:r w:rsidRPr="00CA3CC1">
              <w:t>Water resupply to health facilities is monitored to ensure water availability is consistent with health dependency being supported</w:t>
            </w:r>
          </w:p>
        </w:tc>
      </w:tr>
      <w:tr w:rsidTr="00D159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A3CC1">
            <w:pPr>
              <w:pStyle w:val="BodyText"/>
              <w:rPr>
                <w:lang w:val="en-NZ"/>
              </w:rPr>
            </w:pPr>
            <w:r w:rsidRPr="00CA3CC1">
              <w:t>3.3</w:t>
            </w:r>
          </w:p>
        </w:tc>
        <w:tc>
          <w:tcPr>
            <w:tcW w:w="0" w:type="auto"/>
            <w:tcBorders>
              <w:top w:val="nil"/>
              <w:left w:val="nil"/>
              <w:bottom w:val="nil"/>
              <w:right w:val="nil"/>
            </w:tcBorders>
            <w:tcMar>
              <w:top w:w="0" w:type="dxa"/>
              <w:left w:w="62" w:type="dxa"/>
              <w:bottom w:w="0" w:type="dxa"/>
              <w:right w:w="62" w:type="dxa"/>
            </w:tcMar>
          </w:tcPr>
          <w:p w:rsidR="00000000" w:rsidP="00CA3CC1">
            <w:pPr>
              <w:pStyle w:val="BodyText"/>
              <w:rPr>
                <w:lang w:val="en-NZ"/>
              </w:rPr>
            </w:pPr>
            <w:r w:rsidRPr="00CA3CC1">
              <w:t>Laundry support to health facilities is coordinated to ensure linen and clothing availability is consistent with health dependency being supported</w:t>
            </w:r>
          </w:p>
        </w:tc>
      </w:tr>
      <w:tr w:rsidTr="00D159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A3CC1">
            <w:pPr>
              <w:pStyle w:val="BodyText"/>
              <w:rPr>
                <w:lang w:val="en-NZ"/>
              </w:rPr>
            </w:pPr>
            <w:r w:rsidRPr="00CA3CC1">
              <w:t>3.4</w:t>
            </w:r>
          </w:p>
        </w:tc>
        <w:tc>
          <w:tcPr>
            <w:tcW w:w="0" w:type="auto"/>
            <w:tcBorders>
              <w:top w:val="nil"/>
              <w:left w:val="nil"/>
              <w:bottom w:val="nil"/>
              <w:right w:val="nil"/>
            </w:tcBorders>
            <w:tcMar>
              <w:top w:w="0" w:type="dxa"/>
              <w:left w:w="62" w:type="dxa"/>
              <w:bottom w:w="0" w:type="dxa"/>
              <w:right w:w="62" w:type="dxa"/>
            </w:tcMar>
          </w:tcPr>
          <w:p w:rsidR="00000000" w:rsidP="00CA3CC1">
            <w:pPr>
              <w:pStyle w:val="BodyText"/>
              <w:rPr>
                <w:lang w:val="en-NZ"/>
              </w:rPr>
            </w:pPr>
            <w:r w:rsidRPr="00CA3CC1">
              <w:t>Mortuary support to health facilities is coordinated to ensure remains storage is consistent with oper</w:t>
            </w:r>
            <w:r w:rsidRPr="00CA3CC1">
              <w:t>ational need and operational plan for handling and repatriating human remains</w:t>
            </w:r>
          </w:p>
        </w:tc>
      </w:tr>
      <w:tr w:rsidTr="00D159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A3CC1">
            <w:pPr>
              <w:pStyle w:val="BodyText"/>
              <w:rPr>
                <w:lang w:val="en-NZ"/>
              </w:rPr>
            </w:pPr>
            <w:r w:rsidRPr="00CA3CC1">
              <w:t>3.5</w:t>
            </w:r>
          </w:p>
        </w:tc>
        <w:tc>
          <w:tcPr>
            <w:tcW w:w="0" w:type="auto"/>
            <w:tcBorders>
              <w:top w:val="nil"/>
              <w:left w:val="nil"/>
              <w:bottom w:val="nil"/>
              <w:right w:val="nil"/>
            </w:tcBorders>
            <w:tcMar>
              <w:top w:w="0" w:type="dxa"/>
              <w:left w:w="62" w:type="dxa"/>
              <w:bottom w:w="0" w:type="dxa"/>
              <w:right w:w="62" w:type="dxa"/>
            </w:tcMar>
          </w:tcPr>
          <w:p w:rsidR="00000000" w:rsidP="00CA3CC1">
            <w:pPr>
              <w:pStyle w:val="BodyText"/>
              <w:rPr>
                <w:lang w:val="en-NZ"/>
              </w:rPr>
            </w:pPr>
            <w:r w:rsidRPr="00CA3CC1">
              <w:t>Medical and dental supply arrangements are monitored to ensure perishable and/or disposable items are supplied consistent with health dependency being supported, and ident</w:t>
            </w:r>
            <w:r w:rsidRPr="00CA3CC1">
              <w:t>ified and forecasted usage rates</w:t>
            </w:r>
          </w:p>
        </w:tc>
      </w:tr>
      <w:tr w:rsidTr="00D159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A3CC1">
            <w:pPr>
              <w:pStyle w:val="BodyText"/>
              <w:rPr>
                <w:lang w:val="en-NZ"/>
              </w:rPr>
            </w:pPr>
            <w:r w:rsidRPr="00CA3CC1">
              <w:t>3.6</w:t>
            </w:r>
          </w:p>
        </w:tc>
        <w:tc>
          <w:tcPr>
            <w:tcW w:w="0" w:type="auto"/>
            <w:tcBorders>
              <w:top w:val="nil"/>
              <w:left w:val="nil"/>
              <w:bottom w:val="nil"/>
              <w:right w:val="nil"/>
            </w:tcBorders>
            <w:tcMar>
              <w:top w:w="0" w:type="dxa"/>
              <w:left w:w="62" w:type="dxa"/>
              <w:bottom w:w="0" w:type="dxa"/>
              <w:right w:w="62" w:type="dxa"/>
            </w:tcMar>
          </w:tcPr>
          <w:p w:rsidR="00000000" w:rsidP="00CA3CC1">
            <w:pPr>
              <w:pStyle w:val="BodyText"/>
              <w:rPr>
                <w:lang w:val="en-NZ"/>
              </w:rPr>
            </w:pPr>
            <w:r w:rsidRPr="00CA3CC1">
              <w:t>Procurement, transportation and supply of whole blood is coordinated to ensure surgical elements have sufficient quantities of blood to meet current and potential health care</w:t>
            </w:r>
          </w:p>
        </w:tc>
      </w:tr>
      <w:tr w:rsidTr="00D1593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A3CC1" w:rsidP="00CA3CC1">
            <w:pPr>
              <w:pStyle w:val="BodyText"/>
            </w:pPr>
            <w:r w:rsidRPr="00CA3CC1">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CA3CC1">
            <w:pPr>
              <w:pStyle w:val="BodyText"/>
              <w:rPr>
                <w:lang w:val="en-NZ"/>
              </w:rPr>
            </w:pPr>
            <w:r w:rsidRPr="00CA3CC1">
              <w:rPr>
                <w:rStyle w:val="SpecialBold"/>
              </w:rPr>
              <w:t>Coordinate health administration</w:t>
            </w:r>
          </w:p>
        </w:tc>
        <w:tc>
          <w:tcPr>
            <w:tcW w:w="0" w:type="auto"/>
            <w:gridSpan w:val="2"/>
            <w:tcBorders>
              <w:top w:val="nil"/>
              <w:left w:val="nil"/>
              <w:bottom w:val="nil"/>
              <w:right w:val="nil"/>
            </w:tcBorders>
            <w:tcMar>
              <w:top w:w="0" w:type="dxa"/>
              <w:left w:w="62" w:type="dxa"/>
              <w:bottom w:w="0" w:type="dxa"/>
              <w:right w:w="62" w:type="dxa"/>
            </w:tcMar>
          </w:tcPr>
          <w:p w:rsidR="00000000" w:rsidP="00CA3CC1">
            <w:pPr>
              <w:pStyle w:val="BodyText"/>
              <w:rPr>
                <w:lang w:val="en-NZ"/>
              </w:rPr>
            </w:pPr>
            <w:r w:rsidRPr="00CA3CC1">
              <w:t>4.1</w:t>
            </w:r>
          </w:p>
        </w:tc>
        <w:tc>
          <w:tcPr>
            <w:tcW w:w="0" w:type="auto"/>
            <w:tcBorders>
              <w:top w:val="nil"/>
              <w:left w:val="nil"/>
              <w:bottom w:val="nil"/>
              <w:right w:val="nil"/>
            </w:tcBorders>
            <w:tcMar>
              <w:top w:w="0" w:type="dxa"/>
              <w:left w:w="62" w:type="dxa"/>
              <w:bottom w:w="0" w:type="dxa"/>
              <w:right w:w="62" w:type="dxa"/>
            </w:tcMar>
          </w:tcPr>
          <w:p w:rsidR="00000000" w:rsidP="00CA3CC1">
            <w:pPr>
              <w:pStyle w:val="BodyText"/>
              <w:rPr>
                <w:lang w:val="en-NZ"/>
              </w:rPr>
            </w:pPr>
            <w:r w:rsidRPr="00CA3CC1">
              <w:t>Accurate records of organisational clinical workload and patient care statistics are maintained to provide a basis for analysis and service improvement</w:t>
            </w:r>
          </w:p>
        </w:tc>
      </w:tr>
      <w:tr w:rsidTr="00D159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A3CC1">
            <w:pPr>
              <w:pStyle w:val="BodyText"/>
              <w:rPr>
                <w:lang w:val="en-NZ"/>
              </w:rPr>
            </w:pPr>
            <w:r w:rsidRPr="00CA3CC1">
              <w:t>4.2</w:t>
            </w:r>
          </w:p>
        </w:tc>
        <w:tc>
          <w:tcPr>
            <w:tcW w:w="0" w:type="auto"/>
            <w:tcBorders>
              <w:top w:val="nil"/>
              <w:left w:val="nil"/>
              <w:bottom w:val="nil"/>
              <w:right w:val="nil"/>
            </w:tcBorders>
            <w:tcMar>
              <w:top w:w="0" w:type="dxa"/>
              <w:left w:w="62" w:type="dxa"/>
              <w:bottom w:w="0" w:type="dxa"/>
              <w:right w:w="62" w:type="dxa"/>
            </w:tcMar>
          </w:tcPr>
          <w:p w:rsidR="00000000" w:rsidP="00CA3CC1">
            <w:pPr>
              <w:pStyle w:val="BodyText"/>
              <w:rPr>
                <w:lang w:val="en-NZ"/>
              </w:rPr>
            </w:pPr>
            <w:r w:rsidRPr="00CA3CC1">
              <w:t>Medical reports and returns are prepared and issued to provide an accurate picture of health stat</w:t>
            </w:r>
            <w:r w:rsidRPr="00CA3CC1">
              <w:t>us</w:t>
            </w:r>
          </w:p>
        </w:tc>
      </w:tr>
      <w:tr w:rsidTr="00D159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A3CC1">
            <w:pPr>
              <w:pStyle w:val="BodyText"/>
              <w:rPr>
                <w:lang w:val="en-NZ"/>
              </w:rPr>
            </w:pPr>
            <w:r w:rsidRPr="00CA3CC1">
              <w:t>4.3</w:t>
            </w:r>
          </w:p>
        </w:tc>
        <w:tc>
          <w:tcPr>
            <w:tcW w:w="0" w:type="auto"/>
            <w:tcBorders>
              <w:top w:val="nil"/>
              <w:left w:val="nil"/>
              <w:bottom w:val="nil"/>
              <w:right w:val="nil"/>
            </w:tcBorders>
            <w:tcMar>
              <w:top w:w="0" w:type="dxa"/>
              <w:left w:w="62" w:type="dxa"/>
              <w:bottom w:w="0" w:type="dxa"/>
              <w:right w:w="62" w:type="dxa"/>
            </w:tcMar>
          </w:tcPr>
          <w:p w:rsidR="00000000" w:rsidP="00CA3CC1">
            <w:pPr>
              <w:pStyle w:val="BodyText"/>
              <w:rPr>
                <w:lang w:val="en-NZ"/>
              </w:rPr>
            </w:pPr>
            <w:r w:rsidRPr="00CA3CC1">
              <w:t>Advice is prepared and provided on health administration matters to health elements to ensure delivery of health care and handling of health administrative matters are in accordance with organisational policy and procedure</w:t>
            </w:r>
          </w:p>
        </w:tc>
      </w:tr>
      <w:tr w:rsidTr="00D159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A3CC1">
            <w:pPr>
              <w:pStyle w:val="BodyText"/>
              <w:rPr>
                <w:lang w:val="en-NZ"/>
              </w:rPr>
            </w:pPr>
            <w:r w:rsidRPr="00CA3CC1">
              <w:t>4.4</w:t>
            </w:r>
          </w:p>
        </w:tc>
        <w:tc>
          <w:tcPr>
            <w:tcW w:w="0" w:type="auto"/>
            <w:tcBorders>
              <w:top w:val="nil"/>
              <w:left w:val="nil"/>
              <w:bottom w:val="nil"/>
              <w:right w:val="nil"/>
            </w:tcBorders>
            <w:tcMar>
              <w:top w:w="0" w:type="dxa"/>
              <w:left w:w="62" w:type="dxa"/>
              <w:bottom w:w="0" w:type="dxa"/>
              <w:right w:w="62" w:type="dxa"/>
            </w:tcMar>
          </w:tcPr>
          <w:p w:rsidR="00000000" w:rsidP="00CA3CC1">
            <w:pPr>
              <w:pStyle w:val="BodyText"/>
              <w:rPr>
                <w:lang w:val="en-NZ"/>
              </w:rPr>
            </w:pPr>
            <w:r w:rsidRPr="00CA3CC1">
              <w:t>Casualty notification and report updates are prepared and issued to notify and provide updates on casualty status to family or other interested parties</w:t>
            </w:r>
          </w:p>
        </w:tc>
      </w:tr>
      <w:tr w:rsidTr="00D159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A3CC1">
            <w:pPr>
              <w:pStyle w:val="BodyText"/>
              <w:rPr>
                <w:lang w:val="en-NZ"/>
              </w:rPr>
            </w:pPr>
            <w:r w:rsidRPr="00CA3CC1">
              <w:t>4.5</w:t>
            </w:r>
          </w:p>
        </w:tc>
        <w:tc>
          <w:tcPr>
            <w:tcW w:w="0" w:type="auto"/>
            <w:tcBorders>
              <w:top w:val="nil"/>
              <w:left w:val="nil"/>
              <w:bottom w:val="nil"/>
              <w:right w:val="nil"/>
            </w:tcBorders>
            <w:tcMar>
              <w:top w:w="0" w:type="dxa"/>
              <w:left w:w="62" w:type="dxa"/>
              <w:bottom w:w="0" w:type="dxa"/>
              <w:right w:w="62" w:type="dxa"/>
            </w:tcMar>
          </w:tcPr>
          <w:p w:rsidR="00000000" w:rsidP="00CA3CC1">
            <w:pPr>
              <w:pStyle w:val="BodyText"/>
              <w:rPr>
                <w:lang w:val="en-NZ"/>
              </w:rPr>
            </w:pPr>
            <w:r w:rsidRPr="00CA3CC1">
              <w:t xml:space="preserve">Relevant agencies are liaised with to seek advice on casualty welfare and administration, and to </w:t>
            </w:r>
            <w:r w:rsidRPr="00CA3CC1">
              <w:t>ensure health support provided is in accordance with organisational policy and procedures</w:t>
            </w:r>
          </w:p>
        </w:tc>
      </w:tr>
      <w:tr w:rsidTr="00D1593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A3CC1">
            <w:pPr>
              <w:pStyle w:val="BodyText"/>
              <w:rPr>
                <w:lang w:val="en-NZ"/>
              </w:rPr>
            </w:pPr>
            <w:r w:rsidRPr="00CA3CC1">
              <w:t>4.6</w:t>
            </w:r>
          </w:p>
        </w:tc>
        <w:tc>
          <w:tcPr>
            <w:tcW w:w="0" w:type="auto"/>
            <w:tcBorders>
              <w:top w:val="nil"/>
              <w:left w:val="nil"/>
              <w:bottom w:val="nil"/>
              <w:right w:val="nil"/>
            </w:tcBorders>
            <w:tcMar>
              <w:top w:w="0" w:type="dxa"/>
              <w:left w:w="62" w:type="dxa"/>
              <w:bottom w:w="0" w:type="dxa"/>
              <w:right w:w="62" w:type="dxa"/>
            </w:tcMar>
          </w:tcPr>
          <w:p w:rsidR="00000000" w:rsidRPr="00CA3CC1" w:rsidP="00CA3CC1">
            <w:pPr>
              <w:pStyle w:val="BodyText"/>
            </w:pPr>
            <w:r w:rsidRPr="00CA3CC1">
              <w:t>Health support operations are monitored to ensure health support provided is in accordance with organisational policy and procedures</w:t>
            </w:r>
          </w:p>
        </w:tc>
      </w:tr>
    </w:tbl>
    <w:p w:rsidR="00D1593E" w:rsidP="00CA3CC1">
      <w:pPr>
        <w:pStyle w:val="BodyText"/>
      </w:pPr>
    </w:p>
    <w:p w:rsidR="00D1593E" w:rsidP="00CA3CC1">
      <w:pPr>
        <w:pStyle w:val="BodyText"/>
      </w:pPr>
    </w:p>
    <w:p w:rsidR="00000000" w:rsidRPr="00CA3CC1" w:rsidP="00CA3CC1">
      <w:pPr>
        <w:pStyle w:val="Heading1"/>
      </w:pPr>
      <w:bookmarkStart w:id="7" w:name="O_755424"/>
      <w:bookmarkEnd w:id="7"/>
      <w:r w:rsidRPr="00CA3CC1">
        <w:t>Founda</w:t>
      </w:r>
      <w:r w:rsidRPr="00CA3CC1">
        <w:t>tion Skills</w:t>
      </w:r>
    </w:p>
    <w:tbl>
      <w:tblPr>
        <w:tblW w:w="9498" w:type="dxa"/>
        <w:tblLayout w:type="fixed"/>
        <w:tblCellMar>
          <w:left w:w="62" w:type="dxa"/>
          <w:right w:w="62" w:type="dxa"/>
        </w:tblCellMar>
        <w:tblLook w:val="0000"/>
      </w:tblPr>
      <w:tblGrid>
        <w:gridCol w:w="9498"/>
      </w:tblGrid>
      <w:tr w:rsidTr="00CA3CC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A3CC1" w:rsidP="00CA3CC1">
            <w:pPr>
              <w:pStyle w:val="BodyText"/>
            </w:pPr>
            <w:r w:rsidRPr="00CA3CC1">
              <w:t>Foundation skills essential to performance are explicit in the performance criteria of this unit of competency.</w:t>
            </w:r>
          </w:p>
        </w:tc>
      </w:tr>
    </w:tbl>
    <w:p w:rsidR="00D1593E" w:rsidP="00CA3CC1">
      <w:pPr>
        <w:pStyle w:val="BodyText"/>
      </w:pPr>
    </w:p>
    <w:p w:rsidR="00D1593E" w:rsidP="00CA3CC1">
      <w:pPr>
        <w:pStyle w:val="BodyText"/>
      </w:pPr>
    </w:p>
    <w:p w:rsidR="00000000" w:rsidRPr="00CA3CC1" w:rsidP="00CA3CC1">
      <w:pPr>
        <w:pStyle w:val="Heading1"/>
      </w:pPr>
      <w:bookmarkStart w:id="8" w:name="O_755425"/>
      <w:bookmarkEnd w:id="8"/>
      <w:r w:rsidRPr="00CA3CC1">
        <w:t>Range of Conditions</w:t>
      </w:r>
    </w:p>
    <w:p w:rsidR="00000000" w:rsidRPr="00CA3CC1" w:rsidP="00D1593E">
      <w:pPr>
        <w:pStyle w:val="BodyText"/>
      </w:pPr>
      <w:r w:rsidRPr="00CA3CC1">
        <w:t>Range is restricted to essential operating conditions and any other variables essential to the work environment.</w:t>
      </w:r>
    </w:p>
    <w:p w:rsidR="00D1593E" w:rsidP="00D1593E">
      <w:pPr>
        <w:pStyle w:val="BodyText"/>
      </w:pPr>
      <w:r w:rsidRPr="00CA3CC1">
        <w:t>Non-essential conditions can be found in the Companion Volume Implementation Guide.</w:t>
      </w:r>
    </w:p>
    <w:p w:rsidR="00000000" w:rsidRPr="00CA3CC1" w:rsidP="00CA3CC1">
      <w:pPr>
        <w:pStyle w:val="Heading1"/>
      </w:pPr>
      <w:bookmarkStart w:id="9" w:name="O_755426"/>
      <w:bookmarkEnd w:id="9"/>
      <w:r w:rsidRPr="00CA3CC1">
        <w:t>Unit Mapping Information</w:t>
      </w:r>
    </w:p>
    <w:p w:rsidR="00D1593E" w:rsidP="00D1593E">
      <w:pPr>
        <w:pStyle w:val="BodyText"/>
      </w:pPr>
      <w:r w:rsidRPr="00CA3CC1">
        <w:t>This unit replac</w:t>
      </w:r>
      <w:r w:rsidRPr="00CA3CC1">
        <w:t>es and is equivalent to TLIX6053A Coordinate health support operations.</w:t>
      </w:r>
    </w:p>
    <w:p w:rsidR="00000000" w:rsidRPr="00CA3CC1" w:rsidP="00CA3CC1">
      <w:pPr>
        <w:pStyle w:val="Heading1"/>
      </w:pPr>
      <w:bookmarkStart w:id="10" w:name="O_755433"/>
      <w:bookmarkEnd w:id="10"/>
      <w:r w:rsidRPr="00CA3CC1">
        <w:t>Links</w:t>
      </w:r>
    </w:p>
    <w:p w:rsidR="00000000" w:rsidRPr="00CA3CC1" w:rsidP="00D1593E">
      <w:pPr>
        <w:pStyle w:val="BodyText"/>
      </w:pPr>
      <w:r w:rsidRPr="00CA3CC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B79F2">
        <w:rPr>
          <w:rStyle w:val="Hyperlink"/>
        </w:rPr>
        <w:t>https://vetnet.gov.au/Pages/TrainingDocs.aspx?q=df441c6e-213d-43e3-874c-0b3f7036d851</w:t>
      </w:r>
      <w:r>
        <w:fldChar w:fldCharType="end"/>
      </w:r>
    </w:p>
    <w:p w:rsidR="00000000" w:rsidRPr="00CA3CC1" w:rsidP="00CA3CC1"/>
    <w:sectPr w:rsidSect="00CA3C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C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CC1" w:rsidRPr="00D1593E" w:rsidP="00D159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C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93E" w:rsidP="00CA3C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593E" w:rsidP="00CA3CC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1593E" w:rsidP="00CA3C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C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9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3CC1" w:rsidRPr="00D1593E" w:rsidP="00D159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C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93E" w:rsidRPr="002D2AF8" w:rsidP="00CA3CC1">
    <w:pPr>
      <w:pStyle w:val="Header"/>
      <w:framePr w:wrap="around"/>
    </w:pPr>
    <w:r>
      <w:fldChar w:fldCharType="begin"/>
    </w:r>
    <w:r>
      <w:instrText xml:space="preserve"> TITLE   \* MERGEFORMAT </w:instrText>
    </w:r>
    <w:r>
      <w:fldChar w:fldCharType="separate"/>
    </w:r>
    <w:r>
      <w:t>TLIX6053 Coordinate health support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D1593E" w:rsidP="00CA3C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C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3CC1"/>
    <w:pPr>
      <w:spacing w:before="360" w:after="60"/>
      <w:outlineLvl w:val="0"/>
    </w:pPr>
    <w:rPr>
      <w:sz w:val="32"/>
    </w:rPr>
  </w:style>
  <w:style w:type="paragraph" w:styleId="Heading2">
    <w:name w:val="heading 2"/>
    <w:basedOn w:val="HeadingBase"/>
    <w:next w:val="BodyText"/>
    <w:link w:val="Heading2Char"/>
    <w:qFormat/>
    <w:rsid w:val="00CA3CC1"/>
    <w:pPr>
      <w:keepLines/>
      <w:spacing w:before="240" w:after="120"/>
      <w:outlineLvl w:val="1"/>
    </w:pPr>
    <w:rPr>
      <w:sz w:val="28"/>
      <w:szCs w:val="40"/>
    </w:rPr>
  </w:style>
  <w:style w:type="paragraph" w:styleId="Heading3">
    <w:name w:val="heading 3"/>
    <w:basedOn w:val="HeadingBase"/>
    <w:next w:val="BodyText"/>
    <w:link w:val="Heading3Char"/>
    <w:qFormat/>
    <w:rsid w:val="00CA3CC1"/>
    <w:pPr>
      <w:spacing w:before="180" w:after="120"/>
      <w:outlineLvl w:val="2"/>
    </w:pPr>
    <w:rPr>
      <w:spacing w:val="-10"/>
      <w:kern w:val="32"/>
    </w:rPr>
  </w:style>
  <w:style w:type="paragraph" w:styleId="Heading4">
    <w:name w:val="heading 4"/>
    <w:basedOn w:val="HeadingBase"/>
    <w:next w:val="BodyText"/>
    <w:link w:val="Heading4Char"/>
    <w:qFormat/>
    <w:rsid w:val="00CA3CC1"/>
    <w:pPr>
      <w:spacing w:before="160" w:after="120"/>
      <w:outlineLvl w:val="3"/>
    </w:pPr>
    <w:rPr>
      <w:sz w:val="22"/>
    </w:rPr>
  </w:style>
  <w:style w:type="paragraph" w:styleId="Heading5">
    <w:name w:val="heading 5"/>
    <w:basedOn w:val="HeadingBase"/>
    <w:next w:val="Normal"/>
    <w:link w:val="Heading5Char"/>
    <w:qFormat/>
    <w:rsid w:val="00CA3CC1"/>
    <w:pPr>
      <w:spacing w:before="80"/>
      <w:outlineLvl w:val="4"/>
    </w:pPr>
    <w:rPr>
      <w:color w:val="918585"/>
      <w:sz w:val="20"/>
    </w:rPr>
  </w:style>
  <w:style w:type="paragraph" w:styleId="Heading6">
    <w:name w:val="heading 6"/>
    <w:basedOn w:val="HeadingBase"/>
    <w:next w:val="Normal"/>
    <w:link w:val="Heading6Char"/>
    <w:qFormat/>
    <w:rsid w:val="00CA3CC1"/>
    <w:pPr>
      <w:spacing w:before="60"/>
      <w:outlineLvl w:val="5"/>
    </w:pPr>
    <w:rPr>
      <w:color w:val="918585"/>
      <w:sz w:val="20"/>
    </w:rPr>
  </w:style>
  <w:style w:type="paragraph" w:styleId="Heading7">
    <w:name w:val="heading 7"/>
    <w:basedOn w:val="Normal"/>
    <w:next w:val="Normal"/>
    <w:link w:val="Heading7Char"/>
    <w:qFormat/>
    <w:rsid w:val="00CA3CC1"/>
    <w:pPr>
      <w:ind w:left="720"/>
      <w:outlineLvl w:val="6"/>
    </w:pPr>
    <w:rPr>
      <w:i/>
    </w:rPr>
  </w:style>
  <w:style w:type="paragraph" w:styleId="Heading8">
    <w:name w:val="heading 8"/>
    <w:basedOn w:val="Normal"/>
    <w:next w:val="Normal"/>
    <w:link w:val="Heading8Char"/>
    <w:qFormat/>
    <w:rsid w:val="00CA3CC1"/>
    <w:pPr>
      <w:ind w:left="720"/>
      <w:outlineLvl w:val="7"/>
    </w:pPr>
    <w:rPr>
      <w:i/>
    </w:rPr>
  </w:style>
  <w:style w:type="paragraph" w:styleId="Heading9">
    <w:name w:val="heading 9"/>
    <w:basedOn w:val="Normal"/>
    <w:next w:val="Normal"/>
    <w:link w:val="Heading9Char"/>
    <w:qFormat/>
    <w:rsid w:val="00CA3CC1"/>
    <w:pPr>
      <w:ind w:left="720"/>
      <w:outlineLvl w:val="8"/>
    </w:pPr>
    <w:rPr>
      <w:i/>
    </w:rPr>
  </w:style>
  <w:style w:type="character" w:default="1" w:styleId="DefaultParagraphFont">
    <w:name w:val="Default Paragraph Font"/>
    <w:uiPriority w:val="1"/>
    <w:unhideWhenUsed/>
    <w:rsid w:val="00CA3C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3CC1"/>
  </w:style>
  <w:style w:type="character" w:customStyle="1" w:styleId="Heading1Char">
    <w:name w:val="Heading 1 Char"/>
    <w:basedOn w:val="DefaultParagraphFont"/>
    <w:link w:val="Heading1"/>
    <w:rsid w:val="00CA3CC1"/>
    <w:rPr>
      <w:rFonts w:ascii="Times New Roman" w:eastAsia="Times New Roman" w:hAnsi="Times New Roman" w:cs="Times New Roman"/>
      <w:b/>
      <w:sz w:val="32"/>
      <w:szCs w:val="20"/>
      <w:lang w:eastAsia="en-US"/>
    </w:rPr>
  </w:style>
  <w:style w:type="paragraph" w:styleId="BodyText">
    <w:name w:val="Body Text"/>
    <w:basedOn w:val="Normal"/>
    <w:link w:val="BodyTextChar"/>
    <w:rsid w:val="00CA3C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3CC1"/>
    <w:rPr>
      <w:rFonts w:ascii="Times New Roman" w:eastAsia="Times New Roman" w:hAnsi="Times New Roman" w:cs="Times New Roman"/>
      <w:sz w:val="24"/>
      <w:lang w:eastAsia="en-US"/>
    </w:rPr>
  </w:style>
  <w:style w:type="character" w:customStyle="1" w:styleId="SpecialBold">
    <w:name w:val="Special Bold"/>
    <w:basedOn w:val="DefaultParagraphFont"/>
    <w:rsid w:val="00CA3CC1"/>
    <w:rPr>
      <w:b/>
      <w:spacing w:val="0"/>
    </w:rPr>
  </w:style>
  <w:style w:type="paragraph" w:customStyle="1" w:styleId="SuperHeading">
    <w:name w:val="SuperHeading"/>
    <w:basedOn w:val="Normal"/>
    <w:rsid w:val="00CA3CC1"/>
    <w:pPr>
      <w:spacing w:before="240" w:after="120"/>
      <w:outlineLvl w:val="0"/>
    </w:pPr>
    <w:rPr>
      <w:rFonts w:ascii="Times New Roman" w:hAnsi="Times New Roman"/>
      <w:b/>
      <w:sz w:val="32"/>
    </w:rPr>
  </w:style>
  <w:style w:type="paragraph" w:customStyle="1" w:styleId="AllowPageBreak">
    <w:name w:val="AllowPageBreak"/>
    <w:rsid w:val="00CA3C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3C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3C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3C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3C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3C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3C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3C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3CC1"/>
    <w:rPr>
      <w:rFonts w:ascii="Courier New" w:eastAsia="Times New Roman" w:hAnsi="Courier New" w:cs="Times New Roman"/>
      <w:i/>
      <w:szCs w:val="20"/>
      <w:lang w:eastAsia="en-US"/>
    </w:rPr>
  </w:style>
  <w:style w:type="paragraph" w:customStyle="1" w:styleId="HeadingBase">
    <w:name w:val="Heading Base"/>
    <w:rsid w:val="00CA3C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3CC1"/>
    <w:pPr>
      <w:tabs>
        <w:tab w:val="right" w:leader="dot" w:pos="9072"/>
      </w:tabs>
      <w:ind w:left="567"/>
    </w:pPr>
    <w:rPr>
      <w:szCs w:val="22"/>
    </w:rPr>
  </w:style>
  <w:style w:type="paragraph" w:customStyle="1" w:styleId="TOCBase">
    <w:name w:val="TOC Base"/>
    <w:rsid w:val="00CA3C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3CC1"/>
    <w:pPr>
      <w:tabs>
        <w:tab w:val="right" w:leader="dot" w:pos="9072"/>
      </w:tabs>
      <w:spacing w:before="40" w:after="40"/>
      <w:ind w:left="284"/>
    </w:pPr>
    <w:rPr>
      <w:rFonts w:ascii="Times New Roman" w:hAnsi="Times New Roman"/>
    </w:rPr>
  </w:style>
  <w:style w:type="paragraph" w:styleId="TOC1">
    <w:name w:val="toc 1"/>
    <w:basedOn w:val="TOCBase"/>
    <w:next w:val="Normal"/>
    <w:rsid w:val="00CA3C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3C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3CC1"/>
    <w:rPr>
      <w:rFonts w:ascii="Times New Roman" w:eastAsia="Times New Roman" w:hAnsi="Times New Roman" w:cs="Times New Roman"/>
      <w:sz w:val="16"/>
      <w:lang w:eastAsia="en-US"/>
    </w:rPr>
  </w:style>
  <w:style w:type="paragraph" w:styleId="Title">
    <w:name w:val="Title"/>
    <w:basedOn w:val="HeadingBase"/>
    <w:link w:val="TitleChar"/>
    <w:qFormat/>
    <w:rsid w:val="00CA3CC1"/>
    <w:pPr>
      <w:spacing w:before="5040"/>
      <w:jc w:val="center"/>
    </w:pPr>
    <w:rPr>
      <w:sz w:val="48"/>
      <w:szCs w:val="72"/>
      <w:lang w:val="en-US"/>
    </w:rPr>
  </w:style>
  <w:style w:type="character" w:customStyle="1" w:styleId="TitleChar">
    <w:name w:val="Title Char"/>
    <w:basedOn w:val="DefaultParagraphFont"/>
    <w:link w:val="Title"/>
    <w:rsid w:val="00CA3C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3CC1"/>
    <w:pPr>
      <w:tabs>
        <w:tab w:val="left" w:pos="3600"/>
        <w:tab w:val="left" w:pos="3958"/>
      </w:tabs>
    </w:pPr>
  </w:style>
  <w:style w:type="paragraph" w:styleId="List">
    <w:name w:val="List"/>
    <w:basedOn w:val="BodyText"/>
    <w:next w:val="BodyText"/>
    <w:rsid w:val="00CA3CC1"/>
    <w:pPr>
      <w:tabs>
        <w:tab w:val="left" w:pos="340"/>
      </w:tabs>
      <w:spacing w:before="60" w:after="60"/>
      <w:ind w:left="340" w:hanging="340"/>
    </w:pPr>
  </w:style>
  <w:style w:type="paragraph" w:styleId="ListBullet">
    <w:name w:val="List Bullet"/>
    <w:basedOn w:val="List"/>
    <w:rsid w:val="00CA3CC1"/>
    <w:pPr>
      <w:numPr>
        <w:numId w:val="10"/>
      </w:numPr>
      <w:tabs>
        <w:tab w:val="clear" w:pos="340"/>
      </w:tabs>
      <w:spacing w:before="40" w:after="40"/>
    </w:pPr>
  </w:style>
  <w:style w:type="paragraph" w:customStyle="1" w:styleId="Note">
    <w:name w:val="Note"/>
    <w:basedOn w:val="BodyText"/>
    <w:rsid w:val="00CA3C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3CC1"/>
    <w:pPr>
      <w:framePr w:wrap="auto" w:hAnchor="text" w:y="6049"/>
    </w:pPr>
    <w:rPr>
      <w:color w:val="000000"/>
      <w:sz w:val="40"/>
    </w:rPr>
  </w:style>
  <w:style w:type="paragraph" w:customStyle="1" w:styleId="TOCTitle">
    <w:name w:val="TOCTitle"/>
    <w:basedOn w:val="Heading1"/>
    <w:rsid w:val="00CA3CC1"/>
    <w:pPr>
      <w:spacing w:after="240"/>
      <w:jc w:val="center"/>
      <w:outlineLvl w:val="9"/>
    </w:pPr>
    <w:rPr>
      <w:caps/>
    </w:rPr>
  </w:style>
  <w:style w:type="paragraph" w:customStyle="1" w:styleId="Version">
    <w:name w:val="Version"/>
    <w:rsid w:val="00CA3C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3CC1"/>
    <w:pPr>
      <w:numPr>
        <w:numId w:val="11"/>
      </w:numPr>
      <w:tabs>
        <w:tab w:val="clear" w:pos="680"/>
      </w:tabs>
    </w:pPr>
  </w:style>
  <w:style w:type="paragraph" w:styleId="Index1">
    <w:name w:val="index 1"/>
    <w:basedOn w:val="Normal"/>
    <w:next w:val="Normal"/>
    <w:semiHidden/>
    <w:rsid w:val="00CA3CC1"/>
    <w:pPr>
      <w:keepNext w:val="0"/>
      <w:tabs>
        <w:tab w:val="right" w:pos="4176"/>
      </w:tabs>
      <w:ind w:left="198" w:hanging="198"/>
    </w:pPr>
    <w:rPr>
      <w:rFonts w:ascii="Garamond" w:hAnsi="Garamond"/>
    </w:rPr>
  </w:style>
  <w:style w:type="paragraph" w:styleId="IndexHeading">
    <w:name w:val="index heading"/>
    <w:basedOn w:val="Normal"/>
    <w:next w:val="Index1"/>
    <w:semiHidden/>
    <w:rsid w:val="00CA3CC1"/>
    <w:pPr>
      <w:spacing w:before="120" w:after="120"/>
    </w:pPr>
    <w:rPr>
      <w:rFonts w:ascii="Arial" w:hAnsi="Arial"/>
      <w:b/>
      <w:color w:val="918585"/>
      <w:sz w:val="24"/>
    </w:rPr>
  </w:style>
  <w:style w:type="paragraph" w:styleId="Header">
    <w:name w:val="header"/>
    <w:basedOn w:val="Normal"/>
    <w:link w:val="HeaderChar"/>
    <w:rsid w:val="00CA3C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3CC1"/>
    <w:rPr>
      <w:rFonts w:ascii="Times New Roman" w:eastAsia="Times New Roman" w:hAnsi="Times New Roman" w:cs="Times New Roman"/>
      <w:sz w:val="16"/>
      <w:szCs w:val="20"/>
      <w:lang w:val="en-GB" w:eastAsia="en-US"/>
    </w:rPr>
  </w:style>
  <w:style w:type="paragraph" w:customStyle="1" w:styleId="Chapter">
    <w:name w:val="Chapter"/>
    <w:basedOn w:val="Normal"/>
    <w:rsid w:val="00CA3CC1"/>
    <w:pPr>
      <w:spacing w:before="240"/>
    </w:pPr>
    <w:rPr>
      <w:rFonts w:ascii="Times New Roman" w:hAnsi="Times New Roman"/>
      <w:smallCaps/>
      <w:spacing w:val="80"/>
      <w:sz w:val="28"/>
    </w:rPr>
  </w:style>
  <w:style w:type="paragraph" w:customStyle="1" w:styleId="InChapter">
    <w:name w:val="InChapter"/>
    <w:basedOn w:val="Heading3"/>
    <w:rsid w:val="00CA3CC1"/>
    <w:pPr>
      <w:spacing w:after="240"/>
      <w:outlineLvl w:val="9"/>
    </w:pPr>
    <w:rPr>
      <w:noProof/>
    </w:rPr>
  </w:style>
  <w:style w:type="paragraph" w:styleId="Index2">
    <w:name w:val="index 2"/>
    <w:basedOn w:val="Normal"/>
    <w:next w:val="Normal"/>
    <w:semiHidden/>
    <w:rsid w:val="00CA3CC1"/>
    <w:pPr>
      <w:tabs>
        <w:tab w:val="right" w:pos="4176"/>
      </w:tabs>
      <w:ind w:left="568" w:hanging="284"/>
    </w:pPr>
    <w:rPr>
      <w:rFonts w:ascii="Garamond" w:hAnsi="Garamond"/>
    </w:rPr>
  </w:style>
  <w:style w:type="paragraph" w:customStyle="1" w:styleId="Byline">
    <w:name w:val="Byline"/>
    <w:rsid w:val="00CA3C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3CC1"/>
    <w:pPr>
      <w:tabs>
        <w:tab w:val="clear" w:pos="3600"/>
        <w:tab w:val="clear" w:pos="3958"/>
      </w:tabs>
      <w:jc w:val="right"/>
    </w:pPr>
  </w:style>
  <w:style w:type="character" w:styleId="Emphasis">
    <w:name w:val="Emphasis"/>
    <w:basedOn w:val="DefaultParagraphFont"/>
    <w:qFormat/>
    <w:rsid w:val="00CA3CC1"/>
    <w:rPr>
      <w:i/>
    </w:rPr>
  </w:style>
  <w:style w:type="paragraph" w:styleId="Caption">
    <w:name w:val="caption"/>
    <w:basedOn w:val="BodyText"/>
    <w:next w:val="Normal"/>
    <w:qFormat/>
    <w:rsid w:val="00CA3CC1"/>
    <w:pPr>
      <w:framePr w:w="2268" w:hSpace="181" w:vSpace="181" w:wrap="around" w:vAnchor="text" w:hAnchor="page" w:x="1135" w:y="285" w:anchorLock="1"/>
    </w:pPr>
    <w:rPr>
      <w:i/>
    </w:rPr>
  </w:style>
  <w:style w:type="paragraph" w:customStyle="1" w:styleId="MiniTOCTitle">
    <w:name w:val="MiniTOCTitle"/>
    <w:basedOn w:val="Heading4"/>
    <w:rsid w:val="00CA3CC1"/>
    <w:pPr>
      <w:spacing w:before="240"/>
      <w:outlineLvl w:val="9"/>
    </w:pPr>
    <w:rPr>
      <w:noProof/>
      <w:sz w:val="24"/>
    </w:rPr>
  </w:style>
  <w:style w:type="paragraph" w:customStyle="1" w:styleId="MiniTOCItem">
    <w:name w:val="MiniTOCItem"/>
    <w:basedOn w:val="ListBullet"/>
    <w:rsid w:val="00CA3CC1"/>
    <w:pPr>
      <w:numPr>
        <w:numId w:val="0"/>
      </w:numPr>
      <w:tabs>
        <w:tab w:val="right" w:leader="dot" w:pos="6521"/>
      </w:tabs>
      <w:spacing w:before="0" w:after="0"/>
    </w:pPr>
  </w:style>
  <w:style w:type="paragraph" w:customStyle="1" w:styleId="TOFTitle">
    <w:name w:val="TOFTitle"/>
    <w:basedOn w:val="TOCTitle"/>
    <w:rsid w:val="00CA3CC1"/>
  </w:style>
  <w:style w:type="paragraph" w:styleId="TableofFigures">
    <w:name w:val="table of figures"/>
    <w:basedOn w:val="Normal"/>
    <w:next w:val="Normal"/>
    <w:semiHidden/>
    <w:rsid w:val="00CA3CC1"/>
    <w:pPr>
      <w:tabs>
        <w:tab w:val="right" w:leader="dot" w:pos="9072"/>
      </w:tabs>
      <w:ind w:left="970" w:hanging="403"/>
    </w:pPr>
    <w:rPr>
      <w:rFonts w:ascii="Times New Roman" w:hAnsi="Times New Roman"/>
      <w:b/>
    </w:rPr>
  </w:style>
  <w:style w:type="paragraph" w:styleId="ListNumber">
    <w:name w:val="List Number"/>
    <w:basedOn w:val="List"/>
    <w:rsid w:val="00CA3CC1"/>
    <w:pPr>
      <w:numPr>
        <w:numId w:val="13"/>
      </w:numPr>
      <w:tabs>
        <w:tab w:val="clear" w:pos="340"/>
      </w:tabs>
    </w:pPr>
  </w:style>
  <w:style w:type="character" w:customStyle="1" w:styleId="WingdingSymbols">
    <w:name w:val="Wingding Symbols"/>
    <w:rsid w:val="00CA3CC1"/>
    <w:rPr>
      <w:rFonts w:ascii="Wingdings" w:hAnsi="Wingdings"/>
    </w:rPr>
  </w:style>
  <w:style w:type="paragraph" w:customStyle="1" w:styleId="TableHeading">
    <w:name w:val="Table Heading"/>
    <w:basedOn w:val="HeadingBase"/>
    <w:rsid w:val="00CA3CC1"/>
    <w:pPr>
      <w:keepLines/>
      <w:pBdr>
        <w:bottom w:val="single" w:sz="6" w:space="1" w:color="918585"/>
      </w:pBdr>
      <w:spacing w:before="240"/>
    </w:pPr>
  </w:style>
  <w:style w:type="character" w:customStyle="1" w:styleId="HotSpot">
    <w:name w:val="HotSpot"/>
    <w:rsid w:val="00CA3CC1"/>
    <w:rPr>
      <w:color w:val="0033CC"/>
      <w:u w:val="none"/>
    </w:rPr>
  </w:style>
  <w:style w:type="paragraph" w:customStyle="1" w:styleId="BodyTextRight">
    <w:name w:val="Body Text Right"/>
    <w:basedOn w:val="BodyText"/>
    <w:rsid w:val="00CA3CC1"/>
    <w:pPr>
      <w:spacing w:before="0" w:after="0"/>
      <w:jc w:val="right"/>
    </w:pPr>
  </w:style>
  <w:style w:type="paragraph" w:styleId="Index3">
    <w:name w:val="index 3"/>
    <w:basedOn w:val="ListNumber2"/>
    <w:next w:val="Normal"/>
    <w:semiHidden/>
    <w:rsid w:val="00CA3CC1"/>
    <w:pPr>
      <w:numPr>
        <w:numId w:val="0"/>
      </w:numPr>
      <w:tabs>
        <w:tab w:val="right" w:leader="dot" w:pos="4176"/>
      </w:tabs>
    </w:pPr>
  </w:style>
  <w:style w:type="paragraph" w:styleId="ListNumber2">
    <w:name w:val="List Number 2"/>
    <w:basedOn w:val="List2"/>
    <w:rsid w:val="00CA3CC1"/>
    <w:pPr>
      <w:numPr>
        <w:numId w:val="8"/>
      </w:numPr>
      <w:tabs>
        <w:tab w:val="clear" w:pos="1060"/>
      </w:tabs>
    </w:pPr>
  </w:style>
  <w:style w:type="paragraph" w:customStyle="1" w:styleId="MarginNote">
    <w:name w:val="Margin Note"/>
    <w:basedOn w:val="BodyText"/>
    <w:rsid w:val="00CA3C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3C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3C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3CC1"/>
    <w:rPr>
      <w:sz w:val="32"/>
    </w:rPr>
  </w:style>
  <w:style w:type="paragraph" w:customStyle="1" w:styleId="HeadingProcedure">
    <w:name w:val="Heading Procedure"/>
    <w:basedOn w:val="HeadingBase"/>
    <w:next w:val="Normal"/>
    <w:rsid w:val="00CA3CC1"/>
    <w:pPr>
      <w:tabs>
        <w:tab w:val="left" w:pos="0"/>
      </w:tabs>
      <w:spacing w:before="120" w:after="60"/>
    </w:pPr>
    <w:rPr>
      <w:i/>
      <w:color w:val="918585"/>
      <w:sz w:val="22"/>
    </w:rPr>
  </w:style>
  <w:style w:type="paragraph" w:customStyle="1" w:styleId="TableBodyText">
    <w:name w:val="Table Body Text"/>
    <w:basedOn w:val="BodyText"/>
    <w:rsid w:val="00CA3CC1"/>
    <w:pPr>
      <w:spacing w:before="60" w:after="60"/>
    </w:pPr>
  </w:style>
  <w:style w:type="paragraph" w:styleId="ListContinue">
    <w:name w:val="List Continue"/>
    <w:basedOn w:val="List"/>
    <w:rsid w:val="00CA3CC1"/>
    <w:pPr>
      <w:ind w:firstLine="0"/>
    </w:pPr>
  </w:style>
  <w:style w:type="paragraph" w:customStyle="1" w:styleId="ListNote">
    <w:name w:val="List Note"/>
    <w:basedOn w:val="List"/>
    <w:rsid w:val="00CA3CC1"/>
    <w:pPr>
      <w:pBdr>
        <w:top w:val="single" w:sz="6" w:space="2" w:color="918585"/>
        <w:bottom w:val="single" w:sz="6" w:space="2" w:color="918585"/>
      </w:pBdr>
      <w:tabs>
        <w:tab w:val="left" w:pos="1021"/>
      </w:tabs>
      <w:ind w:firstLine="0"/>
    </w:pPr>
  </w:style>
  <w:style w:type="paragraph" w:customStyle="1" w:styleId="Warning">
    <w:name w:val="Warning"/>
    <w:basedOn w:val="BodyText"/>
    <w:rsid w:val="00CA3CC1"/>
    <w:pPr>
      <w:shd w:val="clear" w:color="auto" w:fill="D9D9D9"/>
      <w:tabs>
        <w:tab w:val="left" w:pos="992"/>
      </w:tabs>
      <w:ind w:left="119" w:right="119"/>
    </w:pPr>
    <w:rPr>
      <w:sz w:val="20"/>
    </w:rPr>
  </w:style>
  <w:style w:type="paragraph" w:customStyle="1" w:styleId="MarginIcons">
    <w:name w:val="Margin Icons"/>
    <w:basedOn w:val="BodyText"/>
    <w:rsid w:val="00CA3C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3CC1"/>
    <w:rPr>
      <w:rFonts w:ascii="Courier New" w:hAnsi="Courier New"/>
    </w:rPr>
  </w:style>
  <w:style w:type="paragraph" w:customStyle="1" w:styleId="NoteBullet">
    <w:name w:val="Note Bullet"/>
    <w:basedOn w:val="Note"/>
    <w:rsid w:val="00CA3CC1"/>
    <w:pPr>
      <w:tabs>
        <w:tab w:val="clear" w:pos="680"/>
      </w:tabs>
      <w:spacing w:before="60" w:after="60"/>
    </w:pPr>
  </w:style>
  <w:style w:type="paragraph" w:customStyle="1" w:styleId="SubHeading2">
    <w:name w:val="SubHeading2"/>
    <w:basedOn w:val="HeadingBase"/>
    <w:rsid w:val="00CA3CC1"/>
    <w:pPr>
      <w:spacing w:before="240" w:after="60"/>
    </w:pPr>
    <w:rPr>
      <w:sz w:val="20"/>
    </w:rPr>
  </w:style>
  <w:style w:type="paragraph" w:customStyle="1" w:styleId="SubHeading1">
    <w:name w:val="SubHeading1"/>
    <w:basedOn w:val="HeadingBase"/>
    <w:rsid w:val="00CA3CC1"/>
    <w:pPr>
      <w:spacing w:before="240" w:after="60"/>
    </w:pPr>
    <w:rPr>
      <w:color w:val="918585"/>
      <w:sz w:val="22"/>
    </w:rPr>
  </w:style>
  <w:style w:type="paragraph" w:customStyle="1" w:styleId="SideHeading">
    <w:name w:val="Side Heading"/>
    <w:basedOn w:val="HeadingBase"/>
    <w:rsid w:val="00CA3C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3CC1"/>
    <w:pPr>
      <w:numPr>
        <w:numId w:val="9"/>
      </w:numPr>
    </w:pPr>
  </w:style>
  <w:style w:type="paragraph" w:styleId="PlainText">
    <w:name w:val="Plain Text"/>
    <w:basedOn w:val="Normal"/>
    <w:link w:val="PlainTextChar"/>
    <w:rsid w:val="00CA3CC1"/>
    <w:rPr>
      <w:sz w:val="20"/>
    </w:rPr>
  </w:style>
  <w:style w:type="character" w:customStyle="1" w:styleId="PlainTextChar">
    <w:name w:val="Plain Text Char"/>
    <w:basedOn w:val="DefaultParagraphFont"/>
    <w:link w:val="PlainText"/>
    <w:rsid w:val="00CA3CC1"/>
    <w:rPr>
      <w:rFonts w:ascii="Courier New" w:eastAsia="Times New Roman" w:hAnsi="Courier New" w:cs="Times New Roman"/>
      <w:sz w:val="20"/>
      <w:szCs w:val="20"/>
      <w:lang w:eastAsia="en-US"/>
    </w:rPr>
  </w:style>
  <w:style w:type="character" w:customStyle="1" w:styleId="MenuOption">
    <w:name w:val="Menu Option"/>
    <w:basedOn w:val="DefaultParagraphFont"/>
    <w:rsid w:val="00CA3CC1"/>
    <w:rPr>
      <w:b/>
      <w:smallCaps/>
    </w:rPr>
  </w:style>
  <w:style w:type="paragraph" w:customStyle="1" w:styleId="TableListNumber">
    <w:name w:val="Table List Number"/>
    <w:basedOn w:val="ListNumber"/>
    <w:rsid w:val="00CA3CC1"/>
    <w:pPr>
      <w:numPr>
        <w:numId w:val="0"/>
      </w:numPr>
    </w:pPr>
  </w:style>
  <w:style w:type="paragraph" w:styleId="TOC4">
    <w:name w:val="toc 4"/>
    <w:basedOn w:val="TOCBase"/>
    <w:next w:val="Normal"/>
    <w:semiHidden/>
    <w:rsid w:val="00CA3CC1"/>
    <w:pPr>
      <w:tabs>
        <w:tab w:val="right" w:leader="dot" w:pos="9071"/>
      </w:tabs>
      <w:ind w:left="1701"/>
    </w:pPr>
  </w:style>
  <w:style w:type="paragraph" w:customStyle="1" w:styleId="ListAlpha">
    <w:name w:val="List Alpha"/>
    <w:basedOn w:val="List"/>
    <w:rsid w:val="00CA3CC1"/>
    <w:pPr>
      <w:numPr>
        <w:numId w:val="7"/>
      </w:numPr>
    </w:pPr>
  </w:style>
  <w:style w:type="paragraph" w:customStyle="1" w:styleId="ListAlpha2">
    <w:name w:val="List Alpha 2"/>
    <w:basedOn w:val="List2"/>
    <w:rsid w:val="00CA3CC1"/>
    <w:pPr>
      <w:numPr>
        <w:numId w:val="6"/>
      </w:numPr>
    </w:pPr>
  </w:style>
  <w:style w:type="paragraph" w:styleId="List2">
    <w:name w:val="List 2"/>
    <w:basedOn w:val="BodyText"/>
    <w:rsid w:val="00CA3CC1"/>
    <w:pPr>
      <w:tabs>
        <w:tab w:val="left" w:pos="680"/>
      </w:tabs>
      <w:spacing w:before="60" w:after="60"/>
      <w:ind w:left="680" w:hanging="340"/>
    </w:pPr>
  </w:style>
  <w:style w:type="paragraph" w:styleId="List3">
    <w:name w:val="List 3"/>
    <w:basedOn w:val="BodyText"/>
    <w:rsid w:val="00CA3CC1"/>
    <w:pPr>
      <w:tabs>
        <w:tab w:val="left" w:pos="1021"/>
      </w:tabs>
      <w:spacing w:before="60" w:after="60"/>
      <w:ind w:left="1020" w:hanging="340"/>
    </w:pPr>
  </w:style>
  <w:style w:type="paragraph" w:styleId="List4">
    <w:name w:val="List 4"/>
    <w:basedOn w:val="BodyText"/>
    <w:rsid w:val="00CA3CC1"/>
    <w:pPr>
      <w:tabs>
        <w:tab w:val="left" w:pos="1361"/>
      </w:tabs>
      <w:spacing w:before="60" w:after="60"/>
      <w:ind w:left="1361" w:hanging="340"/>
    </w:pPr>
  </w:style>
  <w:style w:type="paragraph" w:styleId="List5">
    <w:name w:val="List 5"/>
    <w:basedOn w:val="BodyText"/>
    <w:rsid w:val="00CA3CC1"/>
    <w:pPr>
      <w:tabs>
        <w:tab w:val="left" w:pos="1701"/>
      </w:tabs>
      <w:spacing w:before="60" w:after="60"/>
      <w:ind w:left="1701" w:hanging="340"/>
    </w:pPr>
  </w:style>
  <w:style w:type="paragraph" w:styleId="ListBullet3">
    <w:name w:val="List Bullet 3"/>
    <w:basedOn w:val="List3"/>
    <w:rsid w:val="00CA3CC1"/>
    <w:pPr>
      <w:numPr>
        <w:numId w:val="12"/>
      </w:numPr>
      <w:tabs>
        <w:tab w:val="clear" w:pos="1021"/>
      </w:tabs>
      <w:ind w:left="1037" w:hanging="357"/>
    </w:pPr>
  </w:style>
  <w:style w:type="paragraph" w:styleId="ListBullet4">
    <w:name w:val="List Bullet 4"/>
    <w:basedOn w:val="List4"/>
    <w:rsid w:val="00CA3CC1"/>
    <w:pPr>
      <w:numPr>
        <w:numId w:val="1"/>
      </w:numPr>
      <w:tabs>
        <w:tab w:val="clear" w:pos="1361"/>
      </w:tabs>
    </w:pPr>
  </w:style>
  <w:style w:type="paragraph" w:styleId="ListBullet5">
    <w:name w:val="List Bullet 5"/>
    <w:basedOn w:val="List5"/>
    <w:rsid w:val="00CA3CC1"/>
    <w:pPr>
      <w:numPr>
        <w:numId w:val="2"/>
      </w:numPr>
    </w:pPr>
  </w:style>
  <w:style w:type="paragraph" w:styleId="ListContinue2">
    <w:name w:val="List Continue 2"/>
    <w:basedOn w:val="List2"/>
    <w:rsid w:val="00CA3CC1"/>
    <w:pPr>
      <w:ind w:firstLine="0"/>
    </w:pPr>
  </w:style>
  <w:style w:type="paragraph" w:styleId="ListContinue3">
    <w:name w:val="List Continue 3"/>
    <w:basedOn w:val="List3"/>
    <w:rsid w:val="00CA3CC1"/>
    <w:pPr>
      <w:ind w:left="1021" w:firstLine="0"/>
    </w:pPr>
  </w:style>
  <w:style w:type="paragraph" w:styleId="ListContinue4">
    <w:name w:val="List Continue 4"/>
    <w:basedOn w:val="List4"/>
    <w:rsid w:val="00CA3CC1"/>
    <w:pPr>
      <w:ind w:firstLine="0"/>
    </w:pPr>
  </w:style>
  <w:style w:type="paragraph" w:styleId="ListContinue5">
    <w:name w:val="List Continue 5"/>
    <w:basedOn w:val="List5"/>
    <w:rsid w:val="00CA3CC1"/>
    <w:pPr>
      <w:ind w:firstLine="0"/>
    </w:pPr>
  </w:style>
  <w:style w:type="paragraph" w:styleId="ListNumber3">
    <w:name w:val="List Number 3"/>
    <w:basedOn w:val="List3"/>
    <w:rsid w:val="00CA3CC1"/>
    <w:pPr>
      <w:numPr>
        <w:numId w:val="3"/>
      </w:numPr>
    </w:pPr>
  </w:style>
  <w:style w:type="paragraph" w:styleId="ListNumber4">
    <w:name w:val="List Number 4"/>
    <w:basedOn w:val="List4"/>
    <w:rsid w:val="00CA3CC1"/>
    <w:pPr>
      <w:numPr>
        <w:numId w:val="4"/>
      </w:numPr>
    </w:pPr>
  </w:style>
  <w:style w:type="paragraph" w:styleId="ListNumber5">
    <w:name w:val="List Number 5"/>
    <w:basedOn w:val="List5"/>
    <w:rsid w:val="00CA3CC1"/>
    <w:pPr>
      <w:numPr>
        <w:numId w:val="5"/>
      </w:numPr>
    </w:pPr>
  </w:style>
  <w:style w:type="paragraph" w:styleId="BlockText">
    <w:name w:val="Block Text"/>
    <w:basedOn w:val="Normal"/>
    <w:rsid w:val="00CA3CC1"/>
    <w:pPr>
      <w:spacing w:after="120"/>
      <w:ind w:left="1440" w:right="1440"/>
    </w:pPr>
  </w:style>
  <w:style w:type="character" w:customStyle="1" w:styleId="Subscript">
    <w:name w:val="Subscript"/>
    <w:basedOn w:val="DefaultParagraphFont"/>
    <w:rsid w:val="00CA3CC1"/>
    <w:rPr>
      <w:sz w:val="16"/>
      <w:vertAlign w:val="subscript"/>
    </w:rPr>
  </w:style>
  <w:style w:type="character" w:customStyle="1" w:styleId="Superscript">
    <w:name w:val="Superscript"/>
    <w:basedOn w:val="DefaultParagraphFont"/>
    <w:rsid w:val="00CA3CC1"/>
    <w:rPr>
      <w:sz w:val="16"/>
      <w:vertAlign w:val="superscript"/>
    </w:rPr>
  </w:style>
  <w:style w:type="character" w:customStyle="1" w:styleId="Symbols">
    <w:name w:val="Symbols"/>
    <w:basedOn w:val="DefaultParagraphFont"/>
    <w:rsid w:val="00CA3CC1"/>
    <w:rPr>
      <w:rFonts w:ascii="Symbol" w:hAnsi="Symbol"/>
    </w:rPr>
  </w:style>
  <w:style w:type="character" w:customStyle="1" w:styleId="MenuOptions">
    <w:name w:val="Menu Options"/>
    <w:basedOn w:val="DefaultParagraphFont"/>
    <w:rsid w:val="00CA3CC1"/>
    <w:rPr>
      <w:rFonts w:ascii="Arial Narrow" w:hAnsi="Arial Narrow"/>
      <w:smallCaps/>
    </w:rPr>
  </w:style>
  <w:style w:type="character" w:customStyle="1" w:styleId="Buttons">
    <w:name w:val="Buttons"/>
    <w:basedOn w:val="DefaultParagraphFont"/>
    <w:rsid w:val="00CA3CC1"/>
    <w:rPr>
      <w:b/>
    </w:rPr>
  </w:style>
  <w:style w:type="character" w:customStyle="1" w:styleId="Underlined">
    <w:name w:val="Underlined"/>
    <w:basedOn w:val="DefaultParagraphFont"/>
    <w:rsid w:val="00CA3CC1"/>
    <w:rPr>
      <w:u w:val="single"/>
    </w:rPr>
  </w:style>
  <w:style w:type="paragraph" w:customStyle="1" w:styleId="TableBodyTextRight">
    <w:name w:val="Table Body Text Right"/>
    <w:basedOn w:val="TableBodyText"/>
    <w:rsid w:val="00CA3CC1"/>
    <w:pPr>
      <w:widowControl w:val="0"/>
      <w:autoSpaceDE w:val="0"/>
      <w:autoSpaceDN w:val="0"/>
      <w:adjustRightInd w:val="0"/>
      <w:jc w:val="right"/>
    </w:pPr>
    <w:rPr>
      <w:rFonts w:cs="Arial"/>
      <w:szCs w:val="18"/>
    </w:rPr>
  </w:style>
  <w:style w:type="paragraph" w:customStyle="1" w:styleId="CopyrightText">
    <w:name w:val="Copyright Text"/>
    <w:basedOn w:val="BodyText"/>
    <w:rsid w:val="00CA3CC1"/>
    <w:rPr>
      <w:sz w:val="18"/>
    </w:rPr>
  </w:style>
  <w:style w:type="paragraph" w:customStyle="1" w:styleId="BodySmallRight">
    <w:name w:val="Body Small Right"/>
    <w:basedOn w:val="BodyTextRight"/>
    <w:rsid w:val="00CA3CC1"/>
    <w:rPr>
      <w:sz w:val="18"/>
      <w:szCs w:val="18"/>
    </w:rPr>
  </w:style>
  <w:style w:type="paragraph" w:customStyle="1" w:styleId="MarginEdition">
    <w:name w:val="Margin Edition"/>
    <w:basedOn w:val="MarginNote"/>
    <w:rsid w:val="00CA3CC1"/>
    <w:pPr>
      <w:spacing w:before="0" w:after="0"/>
    </w:pPr>
    <w:rPr>
      <w:rFonts w:ascii="Times New Roman" w:hAnsi="Times New Roman"/>
      <w:color w:val="999999"/>
    </w:rPr>
  </w:style>
  <w:style w:type="paragraph" w:customStyle="1" w:styleId="Spacer">
    <w:name w:val="Spacer"/>
    <w:basedOn w:val="Normal"/>
    <w:rsid w:val="00CA3CC1"/>
    <w:rPr>
      <w:sz w:val="2"/>
      <w:szCs w:val="2"/>
    </w:rPr>
  </w:style>
  <w:style w:type="character" w:customStyle="1" w:styleId="Small">
    <w:name w:val="Small"/>
    <w:basedOn w:val="DefaultParagraphFont"/>
    <w:rsid w:val="00CA3CC1"/>
    <w:rPr>
      <w:sz w:val="16"/>
    </w:rPr>
  </w:style>
  <w:style w:type="paragraph" w:customStyle="1" w:styleId="WideTable">
    <w:name w:val="Wide Table"/>
    <w:basedOn w:val="Normal"/>
    <w:rsid w:val="00CA3CC1"/>
    <w:pPr>
      <w:ind w:left="-1418"/>
    </w:pPr>
    <w:rPr>
      <w:sz w:val="2"/>
      <w:szCs w:val="2"/>
    </w:rPr>
  </w:style>
  <w:style w:type="character" w:styleId="PageNumber">
    <w:name w:val="page number"/>
    <w:basedOn w:val="DefaultParagraphFont"/>
    <w:rsid w:val="00CA3CC1"/>
  </w:style>
  <w:style w:type="paragraph" w:styleId="Quote">
    <w:name w:val="Quote"/>
    <w:basedOn w:val="Heading1"/>
    <w:link w:val="QuoteChar"/>
    <w:qFormat/>
    <w:rsid w:val="00CA3CC1"/>
    <w:rPr>
      <w:b w:val="0"/>
      <w:sz w:val="72"/>
      <w:szCs w:val="72"/>
      <w:lang w:val="en-NZ"/>
    </w:rPr>
  </w:style>
  <w:style w:type="character" w:customStyle="1" w:styleId="QuoteChar">
    <w:name w:val="Quote Char"/>
    <w:basedOn w:val="DefaultParagraphFont"/>
    <w:link w:val="Quote"/>
    <w:rsid w:val="00CA3C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3CC1"/>
    <w:pPr>
      <w:pageBreakBefore/>
    </w:pPr>
  </w:style>
  <w:style w:type="paragraph" w:customStyle="1" w:styleId="Border">
    <w:name w:val="Border"/>
    <w:basedOn w:val="Normal"/>
    <w:qFormat/>
    <w:rsid w:val="00CA3C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3CC1"/>
    <w:rPr>
      <w:b/>
      <w:bCs/>
      <w:i/>
      <w:iCs/>
      <w:color w:val="auto"/>
    </w:rPr>
  </w:style>
  <w:style w:type="paragraph" w:styleId="IntenseQuote">
    <w:name w:val="Intense Quote"/>
    <w:basedOn w:val="Normal"/>
    <w:next w:val="Normal"/>
    <w:link w:val="IntenseQuoteChar"/>
    <w:uiPriority w:val="30"/>
    <w:qFormat/>
    <w:rsid w:val="00CA3C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3C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3CC1"/>
    <w:rPr>
      <w:smallCaps/>
      <w:color w:val="auto"/>
      <w:u w:val="single"/>
    </w:rPr>
  </w:style>
  <w:style w:type="character" w:styleId="IntenseReference">
    <w:name w:val="Intense Reference"/>
    <w:basedOn w:val="DefaultParagraphFont"/>
    <w:uiPriority w:val="32"/>
    <w:qFormat/>
    <w:rsid w:val="00CA3CC1"/>
    <w:rPr>
      <w:b/>
      <w:bCs/>
      <w:smallCaps/>
      <w:color w:val="auto"/>
      <w:spacing w:val="5"/>
      <w:u w:val="single"/>
    </w:rPr>
  </w:style>
  <w:style w:type="paragraph" w:customStyle="1" w:styleId="2ColumnHeading">
    <w:name w:val="2Column Heading"/>
    <w:basedOn w:val="BodyText"/>
    <w:qFormat/>
    <w:rsid w:val="00CA3CC1"/>
    <w:pPr>
      <w:spacing w:after="60"/>
      <w:ind w:left="-2268"/>
    </w:pPr>
    <w:rPr>
      <w:b/>
    </w:rPr>
  </w:style>
  <w:style w:type="paragraph" w:customStyle="1" w:styleId="Heading1TOC">
    <w:name w:val="Heading1 TOC"/>
    <w:basedOn w:val="Normal"/>
    <w:qFormat/>
    <w:rsid w:val="00CA3CC1"/>
    <w:pPr>
      <w:spacing w:before="240" w:after="120"/>
    </w:pPr>
    <w:rPr>
      <w:rFonts w:ascii="Times New Roman" w:hAnsi="Times New Roman"/>
      <w:b/>
      <w:sz w:val="32"/>
    </w:rPr>
  </w:style>
  <w:style w:type="paragraph" w:customStyle="1" w:styleId="Heading2TOC">
    <w:name w:val="Heading2 TOC"/>
    <w:basedOn w:val="Normal"/>
    <w:qFormat/>
    <w:rsid w:val="00CA3CC1"/>
    <w:pPr>
      <w:spacing w:before="240" w:after="60"/>
    </w:pPr>
    <w:rPr>
      <w:rFonts w:ascii="Times New Roman" w:hAnsi="Times New Roman"/>
      <w:b/>
      <w:sz w:val="28"/>
    </w:rPr>
  </w:style>
  <w:style w:type="character" w:customStyle="1" w:styleId="Underline">
    <w:name w:val="Underline"/>
    <w:basedOn w:val="DefaultParagraphFont"/>
    <w:qFormat/>
    <w:rsid w:val="00CA3CC1"/>
    <w:rPr>
      <w:u w:val="single"/>
    </w:rPr>
  </w:style>
  <w:style w:type="character" w:customStyle="1" w:styleId="BoldandItalics">
    <w:name w:val="Bold and Italics"/>
    <w:qFormat/>
    <w:rsid w:val="00CA3CC1"/>
    <w:rPr>
      <w:b/>
      <w:i/>
      <w:u w:val="none"/>
    </w:rPr>
  </w:style>
  <w:style w:type="paragraph" w:styleId="BalloonText">
    <w:name w:val="Balloon Text"/>
    <w:basedOn w:val="Normal"/>
    <w:link w:val="BalloonTextChar"/>
    <w:rsid w:val="00CA3CC1"/>
    <w:rPr>
      <w:rFonts w:ascii="Tahoma" w:hAnsi="Tahoma" w:cs="Tahoma"/>
      <w:sz w:val="16"/>
      <w:szCs w:val="16"/>
    </w:rPr>
  </w:style>
  <w:style w:type="character" w:customStyle="1" w:styleId="BalloonTextChar">
    <w:name w:val="Balloon Text Char"/>
    <w:basedOn w:val="DefaultParagraphFont"/>
    <w:link w:val="BalloonText"/>
    <w:rsid w:val="00CA3C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3C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3C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3CC1"/>
    <w:rPr>
      <w:b/>
      <w:color w:val="660033"/>
      <w:spacing w:val="0"/>
    </w:rPr>
  </w:style>
  <w:style w:type="paragraph" w:customStyle="1" w:styleId="Nameditemlist">
    <w:name w:val="Named item list"/>
    <w:basedOn w:val="BodyText"/>
    <w:qFormat/>
    <w:rsid w:val="00CA3CC1"/>
    <w:pPr>
      <w:tabs>
        <w:tab w:val="left" w:pos="2835"/>
      </w:tabs>
      <w:ind w:left="2835" w:hanging="2835"/>
    </w:pPr>
  </w:style>
  <w:style w:type="paragraph" w:customStyle="1" w:styleId="BodyTextnopadding">
    <w:name w:val="Body Text no padding"/>
    <w:basedOn w:val="BodyText"/>
    <w:qFormat/>
    <w:rsid w:val="00CA3CC1"/>
    <w:pPr>
      <w:spacing w:before="0" w:after="0"/>
    </w:pPr>
  </w:style>
  <w:style w:type="paragraph" w:customStyle="1" w:styleId="BodyTextBold">
    <w:name w:val="Body Text Bold"/>
    <w:basedOn w:val="BodyText"/>
    <w:qFormat/>
    <w:rsid w:val="00CA3CC1"/>
    <w:rPr>
      <w:b/>
    </w:rPr>
  </w:style>
  <w:style w:type="character" w:styleId="Hyperlink">
    <w:name w:val="Hyperlink"/>
    <w:basedOn w:val="DefaultParagraphFont"/>
    <w:uiPriority w:val="99"/>
    <w:unhideWhenUsed/>
    <w:rsid w:val="00D159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706</Words>
  <Characters>4466</Characters>
  <Application>Microsoft Office Word</Application>
  <DocSecurity>0</DocSecurity>
  <Lines>171</Lines>
  <Paragraphs>90</Paragraphs>
  <ScaleCrop>false</ScaleCrop>
  <Company>Author-it Software Corporation Ltd.</Company>
  <LinksUpToDate>false</LinksUpToDate>
  <CharactersWithSpaces>5082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TLIX6053 Coordinate health support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2022-10-25T04:46:00Z</dcterms:created>
  <dcterms:modified xsi:type="dcterms:W3CDTF">2022-10-25T04:46:00Z</dcterms:modified>
</cp:coreProperties>
</file>