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1917" w:rsidP="002019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TLIX6049 Undertake provisioning in support of deployed operations</w:t>
      </w:r>
      <w:r>
        <w:fldChar w:fldCharType="end"/>
      </w:r>
    </w:p>
    <w:p w:rsidR="00201917" w:rsidP="00201917">
      <w:pPr>
        <w:pStyle w:val="Version"/>
        <w:sectPr w:rsidSect="00057D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7D29" w:rsidP="00057D29">
      <w:pPr>
        <w:pStyle w:val="SuperHeading"/>
      </w:pPr>
      <w:r w:rsidRPr="00057D29">
        <w:t>TLIX6049 Undertake provisioning in support of deployed operations</w:t>
      </w:r>
    </w:p>
    <w:p w:rsidR="00000000" w:rsidRPr="00057D29" w:rsidP="00057D29">
      <w:pPr>
        <w:pStyle w:val="Heading1"/>
      </w:pPr>
      <w:bookmarkStart w:id="1" w:name="O_755323"/>
      <w:bookmarkEnd w:id="1"/>
      <w:r w:rsidRPr="00057D29">
        <w:t>Modification History</w:t>
      </w:r>
    </w:p>
    <w:p w:rsidR="00201917" w:rsidP="00201917">
      <w:pPr>
        <w:pStyle w:val="BodyText"/>
      </w:pPr>
      <w:r w:rsidRPr="00057D29">
        <w:t>Release 1. This is the first release of this unit of competency in the TLI Transport and Logistics Training Package.</w:t>
      </w:r>
    </w:p>
    <w:p w:rsidR="00000000" w:rsidRPr="00057D29" w:rsidP="00057D29">
      <w:pPr>
        <w:pStyle w:val="Heading1"/>
      </w:pPr>
      <w:bookmarkStart w:id="2" w:name="O_755324"/>
      <w:bookmarkEnd w:id="2"/>
      <w:r w:rsidRPr="00057D29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019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D29" w:rsidP="00057D29">
            <w:pPr>
              <w:pStyle w:val="BodyText"/>
            </w:pPr>
            <w:r w:rsidRPr="00057D29">
              <w:t xml:space="preserve">This unit involves the skills and knowledge required to undertake provisioning for deployed elements of an organisation in support of operations, in accordance with relevant organisational policy and procedures. </w:t>
            </w:r>
          </w:p>
          <w:p w:rsidR="00000000" w:rsidRPr="00057D29" w:rsidP="00057D29">
            <w:pPr>
              <w:pStyle w:val="BodyText"/>
            </w:pPr>
            <w:r w:rsidRPr="00057D29">
              <w:t>The application of this unit in the workpla</w:t>
            </w:r>
            <w:r w:rsidRPr="00057D29">
              <w:t>ce includes planning and controlling necessary stockholding levels of all items of supply. Supply provisioning is a quantitative analysis and involves detailed mathematical calculations of supply factors such as known usage rates and time factors.</w:t>
            </w:r>
          </w:p>
          <w:p w:rsidR="00000000" w:rsidRPr="00057D29" w:rsidP="00057D29">
            <w:pPr>
              <w:pStyle w:val="BodyText"/>
            </w:pPr>
            <w:r w:rsidRPr="00057D29">
              <w:t>This uni</w:t>
            </w:r>
            <w:r w:rsidRPr="00057D29">
              <w:t>t is typically applicable to senior logistics personnel responsible for planning and coordinating logistics supply support at an organisational level.</w:t>
            </w:r>
          </w:p>
          <w:p w:rsidR="00000000" w:rsidRPr="00057D29" w:rsidP="00057D29">
            <w:pPr>
              <w:pStyle w:val="BodyText"/>
            </w:pPr>
            <w:r w:rsidRPr="00057D29">
              <w:t>No licensing, legislative or certification requirements apply to this unit at the time of publication.</w:t>
            </w:r>
          </w:p>
        </w:tc>
      </w:tr>
    </w:tbl>
    <w:p w:rsidR="00201917" w:rsidP="00057D29">
      <w:pPr>
        <w:pStyle w:val="BodyText"/>
      </w:pPr>
    </w:p>
    <w:p w:rsidR="00201917" w:rsidP="00057D29">
      <w:pPr>
        <w:pStyle w:val="BodyText"/>
      </w:pPr>
    </w:p>
    <w:p w:rsidR="00000000" w:rsidRPr="00057D29" w:rsidP="00057D29">
      <w:pPr>
        <w:pStyle w:val="Heading1"/>
      </w:pPr>
      <w:bookmarkStart w:id="3" w:name="O_755325"/>
      <w:bookmarkEnd w:id="3"/>
      <w:r w:rsidRPr="00057D29">
        <w:t>Pre-requisite Unit</w:t>
      </w:r>
    </w:p>
    <w:p w:rsidR="00201917" w:rsidP="00201917">
      <w:pPr>
        <w:pStyle w:val="BodyText"/>
      </w:pPr>
      <w:r w:rsidRPr="00057D29">
        <w:t>Not applicable.</w:t>
      </w:r>
    </w:p>
    <w:p w:rsidR="00000000" w:rsidRPr="00057D29" w:rsidP="00057D29">
      <w:pPr>
        <w:pStyle w:val="Heading1"/>
      </w:pPr>
      <w:bookmarkStart w:id="4" w:name="O_755326"/>
      <w:bookmarkEnd w:id="4"/>
      <w:r w:rsidRPr="00057D29">
        <w:t>Competency Field</w:t>
      </w:r>
    </w:p>
    <w:p w:rsidR="00201917" w:rsidP="00201917">
      <w:pPr>
        <w:pStyle w:val="BodyText"/>
      </w:pPr>
      <w:r w:rsidRPr="00057D29">
        <w:t>X – Logistics</w:t>
      </w:r>
    </w:p>
    <w:p w:rsidR="00000000" w:rsidRPr="00057D29" w:rsidP="00057D29">
      <w:pPr>
        <w:pStyle w:val="Heading1"/>
      </w:pPr>
      <w:bookmarkStart w:id="5" w:name="O_755327"/>
      <w:bookmarkEnd w:id="5"/>
      <w:r w:rsidRPr="00057D29">
        <w:t>Unit Sector</w:t>
      </w:r>
    </w:p>
    <w:p w:rsidR="00201917" w:rsidP="00201917">
      <w:pPr>
        <w:pStyle w:val="BodyText"/>
      </w:pPr>
      <w:r w:rsidRPr="00057D29">
        <w:t>Not applicable.</w:t>
      </w:r>
    </w:p>
    <w:p w:rsidR="00000000" w:rsidRPr="00057D29" w:rsidP="00057D29">
      <w:pPr>
        <w:pStyle w:val="Heading1"/>
      </w:pPr>
      <w:bookmarkStart w:id="6" w:name="O_755328"/>
      <w:bookmarkEnd w:id="6"/>
      <w:r w:rsidRPr="00057D2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3"/>
        <w:gridCol w:w="1769"/>
        <w:gridCol w:w="553"/>
        <w:gridCol w:w="6541"/>
      </w:tblGrid>
      <w:tr w:rsidTr="002019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29">
            <w:pPr>
              <w:pStyle w:val="BodyText"/>
              <w:rPr>
                <w:lang w:val="en-NZ"/>
              </w:rPr>
            </w:pPr>
            <w:r w:rsidRPr="00057D29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29">
            <w:pPr>
              <w:pStyle w:val="BodyText"/>
              <w:rPr>
                <w:lang w:val="en-NZ"/>
              </w:rPr>
            </w:pPr>
            <w:r w:rsidRPr="00057D29">
              <w:t>Performance criteria describe the performance needed to demonstrate achievement of the element.</w:t>
            </w:r>
          </w:p>
        </w:tc>
      </w:tr>
      <w:tr w:rsidTr="002019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D29" w:rsidP="00057D29">
            <w:pPr>
              <w:pStyle w:val="BodyText"/>
            </w:pPr>
            <w:r w:rsidRPr="00057D29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29">
            <w:pPr>
              <w:pStyle w:val="BodyText"/>
              <w:rPr>
                <w:lang w:val="en-NZ"/>
              </w:rPr>
            </w:pPr>
            <w:r w:rsidRPr="00057D29">
              <w:rPr>
                <w:rStyle w:val="SpecialBold"/>
              </w:rPr>
              <w:t>Analyse operational requirement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29">
            <w:pPr>
              <w:pStyle w:val="BodyText"/>
              <w:rPr>
                <w:lang w:val="en-NZ"/>
              </w:rPr>
            </w:pPr>
            <w:r w:rsidRPr="00057D29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29">
            <w:pPr>
              <w:pStyle w:val="BodyText"/>
              <w:rPr>
                <w:lang w:val="en-NZ"/>
              </w:rPr>
            </w:pPr>
            <w:r w:rsidRPr="00057D29">
              <w:t>Operational requirement is analysed to establish provisioning requirements</w:t>
            </w:r>
          </w:p>
        </w:tc>
      </w:tr>
      <w:tr w:rsidTr="002019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29">
            <w:pPr>
              <w:pStyle w:val="BodyText"/>
              <w:rPr>
                <w:lang w:val="en-NZ"/>
              </w:rPr>
            </w:pPr>
            <w:r w:rsidRPr="00057D29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29">
            <w:pPr>
              <w:pStyle w:val="BodyText"/>
              <w:rPr>
                <w:lang w:val="en-NZ"/>
              </w:rPr>
            </w:pPr>
            <w:r w:rsidRPr="00057D29">
              <w:t>Operational factors are analysed to identify variables to be considered in provisioning</w:t>
            </w:r>
          </w:p>
        </w:tc>
      </w:tr>
      <w:tr w:rsidTr="002019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29">
            <w:pPr>
              <w:pStyle w:val="BodyText"/>
              <w:rPr>
                <w:lang w:val="en-NZ"/>
              </w:rPr>
            </w:pPr>
            <w:r w:rsidRPr="00057D29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29">
            <w:pPr>
              <w:pStyle w:val="BodyText"/>
              <w:rPr>
                <w:lang w:val="en-NZ"/>
              </w:rPr>
            </w:pPr>
            <w:r w:rsidRPr="00057D29">
              <w:t>Technical supply factors are analysed to identify variables to be considered in provisioning</w:t>
            </w:r>
          </w:p>
        </w:tc>
      </w:tr>
      <w:tr w:rsidTr="002019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29">
            <w:pPr>
              <w:pStyle w:val="BodyText"/>
              <w:rPr>
                <w:lang w:val="en-NZ"/>
              </w:rPr>
            </w:pPr>
            <w:r w:rsidRPr="00057D29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29">
            <w:pPr>
              <w:pStyle w:val="BodyText"/>
              <w:rPr>
                <w:lang w:val="en-NZ"/>
              </w:rPr>
            </w:pPr>
            <w:r w:rsidRPr="00057D29">
              <w:t>Liaison with other logistics planners is undertaken to inform</w:t>
            </w:r>
            <w:r w:rsidRPr="00057D29">
              <w:t xml:space="preserve"> specialist supply aspects of provisioning requirement</w:t>
            </w:r>
          </w:p>
        </w:tc>
      </w:tr>
      <w:tr w:rsidTr="002019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D29" w:rsidP="00057D29">
            <w:pPr>
              <w:pStyle w:val="BodyText"/>
            </w:pPr>
            <w:r w:rsidRPr="00057D29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29">
            <w:pPr>
              <w:pStyle w:val="BodyText"/>
              <w:rPr>
                <w:lang w:val="en-NZ"/>
              </w:rPr>
            </w:pPr>
            <w:r w:rsidRPr="00057D29">
              <w:rPr>
                <w:rStyle w:val="SpecialBold"/>
              </w:rPr>
              <w:t>Calculate provisioning requirement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29">
            <w:pPr>
              <w:pStyle w:val="BodyText"/>
              <w:rPr>
                <w:lang w:val="en-NZ"/>
              </w:rPr>
            </w:pPr>
            <w:r w:rsidRPr="00057D29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29">
            <w:pPr>
              <w:pStyle w:val="BodyText"/>
              <w:rPr>
                <w:lang w:val="en-NZ"/>
              </w:rPr>
            </w:pPr>
            <w:r w:rsidRPr="00057D29">
              <w:t>Stockholding factors are determined and analysed to provide a basis for provisioning calculation</w:t>
            </w:r>
          </w:p>
        </w:tc>
      </w:tr>
      <w:tr w:rsidTr="002019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29">
            <w:pPr>
              <w:pStyle w:val="BodyText"/>
              <w:rPr>
                <w:lang w:val="en-NZ"/>
              </w:rPr>
            </w:pPr>
            <w:r w:rsidRPr="00057D29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29">
            <w:pPr>
              <w:pStyle w:val="BodyText"/>
              <w:rPr>
                <w:lang w:val="en-NZ"/>
              </w:rPr>
            </w:pPr>
            <w:r w:rsidRPr="00057D29">
              <w:t>Time factors are determined and analysed to establish duration of supply and lead time required for provisioning</w:t>
            </w:r>
          </w:p>
        </w:tc>
      </w:tr>
      <w:tr w:rsidTr="002019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29">
            <w:pPr>
              <w:pStyle w:val="BodyText"/>
              <w:rPr>
                <w:lang w:val="en-NZ"/>
              </w:rPr>
            </w:pPr>
            <w:r w:rsidRPr="00057D29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29">
            <w:pPr>
              <w:pStyle w:val="BodyText"/>
              <w:rPr>
                <w:lang w:val="en-NZ"/>
              </w:rPr>
            </w:pPr>
            <w:r w:rsidRPr="00057D29">
              <w:t>Usage rates are calculated to define frequency and quantity of stock to be consumed by dependencies</w:t>
            </w:r>
          </w:p>
        </w:tc>
      </w:tr>
      <w:tr w:rsidTr="002019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29">
            <w:pPr>
              <w:pStyle w:val="BodyText"/>
              <w:rPr>
                <w:lang w:val="en-NZ"/>
              </w:rPr>
            </w:pPr>
            <w:r w:rsidRPr="00057D29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29">
            <w:pPr>
              <w:pStyle w:val="BodyText"/>
              <w:rPr>
                <w:lang w:val="en-NZ"/>
              </w:rPr>
            </w:pPr>
            <w:r w:rsidRPr="00057D29">
              <w:t>Total liability period is calculated to establish period dependencies will be required to provide initial self-sustainment before routine replenishment is available</w:t>
            </w:r>
          </w:p>
        </w:tc>
      </w:tr>
      <w:tr w:rsidTr="002019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29">
            <w:pPr>
              <w:pStyle w:val="BodyText"/>
              <w:rPr>
                <w:lang w:val="en-NZ"/>
              </w:rPr>
            </w:pPr>
            <w:r w:rsidRPr="00057D29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29">
            <w:pPr>
              <w:pStyle w:val="BodyText"/>
              <w:rPr>
                <w:lang w:val="en-NZ"/>
              </w:rPr>
            </w:pPr>
            <w:r w:rsidRPr="00057D29">
              <w:t>Assets and liabilities are identified through analysis of stockholding and time fact</w:t>
            </w:r>
            <w:r w:rsidRPr="00057D29">
              <w:t>ors in accordance with organisational policy and procedure</w:t>
            </w:r>
          </w:p>
        </w:tc>
      </w:tr>
      <w:tr w:rsidTr="002019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29">
            <w:pPr>
              <w:pStyle w:val="BodyText"/>
              <w:rPr>
                <w:lang w:val="en-NZ"/>
              </w:rPr>
            </w:pPr>
            <w:r w:rsidRPr="00057D29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29">
            <w:pPr>
              <w:pStyle w:val="BodyText"/>
              <w:rPr>
                <w:lang w:val="en-NZ"/>
              </w:rPr>
            </w:pPr>
            <w:r w:rsidRPr="00057D29">
              <w:t>Surpluses or deficiencies are calculated based on established assets and liabilities</w:t>
            </w:r>
          </w:p>
        </w:tc>
      </w:tr>
      <w:tr w:rsidTr="002019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D29" w:rsidP="00057D29">
            <w:pPr>
              <w:pStyle w:val="BodyText"/>
            </w:pPr>
            <w:r w:rsidRPr="00057D29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29">
            <w:pPr>
              <w:pStyle w:val="BodyText"/>
              <w:rPr>
                <w:lang w:val="en-NZ"/>
              </w:rPr>
            </w:pPr>
            <w:r w:rsidRPr="00057D29">
              <w:rPr>
                <w:rStyle w:val="SpecialBold"/>
              </w:rPr>
              <w:t>Develop and report provisioning requirement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29">
            <w:pPr>
              <w:pStyle w:val="BodyText"/>
              <w:rPr>
                <w:lang w:val="en-NZ"/>
              </w:rPr>
            </w:pPr>
            <w:r w:rsidRPr="00057D29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29">
            <w:pPr>
              <w:pStyle w:val="BodyText"/>
              <w:rPr>
                <w:lang w:val="en-NZ"/>
              </w:rPr>
            </w:pPr>
            <w:r w:rsidRPr="00057D29">
              <w:t>Provisioning data is created based upon analysis and p</w:t>
            </w:r>
            <w:r w:rsidRPr="00057D29">
              <w:t>rovisioning calculations</w:t>
            </w:r>
          </w:p>
        </w:tc>
      </w:tr>
      <w:tr w:rsidTr="002019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29">
            <w:pPr>
              <w:pStyle w:val="BodyText"/>
              <w:rPr>
                <w:lang w:val="en-NZ"/>
              </w:rPr>
            </w:pPr>
            <w:r w:rsidRPr="00057D29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29">
            <w:pPr>
              <w:pStyle w:val="BodyText"/>
              <w:rPr>
                <w:lang w:val="en-NZ"/>
              </w:rPr>
            </w:pPr>
            <w:r w:rsidRPr="00057D29">
              <w:t>Provisioning requirement is adjusted in accordance with changing operational need</w:t>
            </w:r>
          </w:p>
        </w:tc>
      </w:tr>
      <w:tr w:rsidTr="002019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7D29">
            <w:pPr>
              <w:pStyle w:val="BodyText"/>
              <w:rPr>
                <w:lang w:val="en-NZ"/>
              </w:rPr>
            </w:pPr>
            <w:r w:rsidRPr="00057D29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7D29" w:rsidP="00057D29">
            <w:pPr>
              <w:pStyle w:val="BodyText"/>
            </w:pPr>
            <w:r w:rsidRPr="00057D29">
              <w:t>Provisioning requirement is communicated to stakeholders</w:t>
            </w:r>
          </w:p>
        </w:tc>
      </w:tr>
    </w:tbl>
    <w:p w:rsidR="00201917" w:rsidP="00057D29">
      <w:pPr>
        <w:pStyle w:val="BodyText"/>
      </w:pPr>
    </w:p>
    <w:p w:rsidR="00201917" w:rsidP="00057D29">
      <w:pPr>
        <w:pStyle w:val="BodyText"/>
      </w:pPr>
    </w:p>
    <w:p w:rsidR="00000000" w:rsidRPr="00057D29" w:rsidP="00057D29">
      <w:pPr>
        <w:pStyle w:val="Heading1"/>
      </w:pPr>
      <w:bookmarkStart w:id="7" w:name="O_755329"/>
      <w:bookmarkEnd w:id="7"/>
      <w:r w:rsidRPr="00057D29">
        <w:t>Foundation Skills</w:t>
      </w:r>
    </w:p>
    <w:p w:rsidR="00201917" w:rsidP="00201917">
      <w:pPr>
        <w:pStyle w:val="BodyText"/>
      </w:pPr>
      <w:r w:rsidRPr="00057D29">
        <w:t>Foundation skills essential to performance are explicit in the performance criteria of this unit of competency.</w:t>
      </w:r>
    </w:p>
    <w:p w:rsidR="00000000" w:rsidRPr="00057D29" w:rsidP="00057D29">
      <w:pPr>
        <w:pStyle w:val="Heading1"/>
      </w:pPr>
      <w:bookmarkStart w:id="8" w:name="O_755330"/>
      <w:bookmarkEnd w:id="8"/>
      <w:r w:rsidRPr="00057D29">
        <w:t>Range of Conditions</w:t>
      </w:r>
    </w:p>
    <w:p w:rsidR="00000000" w:rsidRPr="00057D29" w:rsidP="00201917">
      <w:pPr>
        <w:pStyle w:val="BodyText"/>
      </w:pPr>
      <w:r w:rsidRPr="00057D29">
        <w:t>Range is restricted to essential operating conditions and any other variables essential to the work enviro</w:t>
      </w:r>
      <w:r w:rsidRPr="00057D29">
        <w:t>nment.</w:t>
      </w:r>
    </w:p>
    <w:p w:rsidR="00201917" w:rsidP="00201917">
      <w:pPr>
        <w:pStyle w:val="BodyText"/>
      </w:pPr>
      <w:r w:rsidRPr="00057D29">
        <w:t>Non-essential conditions can be found in the Companion Volume Implementation Guide.</w:t>
      </w:r>
    </w:p>
    <w:p w:rsidR="00000000" w:rsidRPr="00057D29" w:rsidP="00057D29">
      <w:pPr>
        <w:pStyle w:val="Heading1"/>
      </w:pPr>
      <w:bookmarkStart w:id="9" w:name="O_755331"/>
      <w:bookmarkEnd w:id="9"/>
      <w:r w:rsidRPr="00057D29">
        <w:t>Unit Mapping Information</w:t>
      </w:r>
    </w:p>
    <w:p w:rsidR="00201917" w:rsidP="00201917">
      <w:pPr>
        <w:pStyle w:val="BodyText"/>
      </w:pPr>
      <w:r w:rsidRPr="00057D29">
        <w:t>This unit replaces and is equivalent to TLIX6049A Undertake provisioning in support of deployed operations.</w:t>
      </w:r>
    </w:p>
    <w:p w:rsidR="00000000" w:rsidRPr="00057D29" w:rsidP="00057D29">
      <w:pPr>
        <w:pStyle w:val="Heading1"/>
      </w:pPr>
      <w:bookmarkStart w:id="10" w:name="O_755338"/>
      <w:bookmarkEnd w:id="10"/>
      <w:r w:rsidRPr="00057D29">
        <w:t>Links</w:t>
      </w:r>
    </w:p>
    <w:p w:rsidR="00000000" w:rsidRPr="00057D29" w:rsidP="00201917">
      <w:pPr>
        <w:pStyle w:val="BodyText"/>
      </w:pPr>
      <w:r w:rsidRPr="00057D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664A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57D29" w:rsidP="00057D29"/>
    <w:sectPr w:rsidSect="00057D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D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D29" w:rsidRPr="00201917" w:rsidP="002019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D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917" w:rsidP="00057D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1917" w:rsidP="00057D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01917" w:rsidP="00057D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D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9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7D29" w:rsidRPr="00201917" w:rsidP="002019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D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917" w:rsidRPr="002D2AF8" w:rsidP="00057D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TLIX6049 Undertake provisioning in support of deployed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201917" w:rsidP="00057D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D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7D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7D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7D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7D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7D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7D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7D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7D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7D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7D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7D29"/>
  </w:style>
  <w:style w:type="character" w:customStyle="1" w:styleId="Heading1Char">
    <w:name w:val="Heading 1 Char"/>
    <w:basedOn w:val="DefaultParagraphFont"/>
    <w:link w:val="Heading1"/>
    <w:rsid w:val="00057D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7D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7D2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57D29"/>
    <w:rPr>
      <w:b/>
      <w:spacing w:val="0"/>
    </w:rPr>
  </w:style>
  <w:style w:type="paragraph" w:customStyle="1" w:styleId="SuperHeading">
    <w:name w:val="SuperHeading"/>
    <w:basedOn w:val="Normal"/>
    <w:rsid w:val="00057D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7D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7D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7D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7D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7D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7D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7D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7D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7D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7D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7D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7D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7D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7D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7D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7D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7D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7D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7D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7D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57D2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57D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7D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7D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7D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7D2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7D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7D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7D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7D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7D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7D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7D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7D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7D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7D29"/>
    <w:rPr>
      <w:i/>
    </w:rPr>
  </w:style>
  <w:style w:type="paragraph" w:styleId="Caption">
    <w:name w:val="caption"/>
    <w:basedOn w:val="BodyText"/>
    <w:next w:val="Normal"/>
    <w:qFormat/>
    <w:rsid w:val="00057D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7D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7D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7D29"/>
  </w:style>
  <w:style w:type="paragraph" w:styleId="TableofFigures">
    <w:name w:val="table of figures"/>
    <w:basedOn w:val="Normal"/>
    <w:next w:val="Normal"/>
    <w:semiHidden/>
    <w:rsid w:val="00057D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7D2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57D29"/>
    <w:rPr>
      <w:rFonts w:ascii="Wingdings" w:hAnsi="Wingdings"/>
    </w:rPr>
  </w:style>
  <w:style w:type="paragraph" w:customStyle="1" w:styleId="TableHeading">
    <w:name w:val="Table Heading"/>
    <w:basedOn w:val="HeadingBase"/>
    <w:rsid w:val="00057D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7D29"/>
    <w:rPr>
      <w:color w:val="0033CC"/>
      <w:u w:val="none"/>
    </w:rPr>
  </w:style>
  <w:style w:type="paragraph" w:customStyle="1" w:styleId="BodyTextRight">
    <w:name w:val="Body Text Right"/>
    <w:basedOn w:val="BodyText"/>
    <w:rsid w:val="00057D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7D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7D2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7D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7D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7D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7D29"/>
    <w:rPr>
      <w:sz w:val="32"/>
    </w:rPr>
  </w:style>
  <w:style w:type="paragraph" w:customStyle="1" w:styleId="HeadingProcedure">
    <w:name w:val="Heading Procedure"/>
    <w:basedOn w:val="HeadingBase"/>
    <w:next w:val="Normal"/>
    <w:rsid w:val="00057D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7D29"/>
    <w:pPr>
      <w:spacing w:before="60" w:after="60"/>
    </w:pPr>
  </w:style>
  <w:style w:type="paragraph" w:styleId="ListContinue">
    <w:name w:val="List Continue"/>
    <w:basedOn w:val="List"/>
    <w:rsid w:val="00057D29"/>
    <w:pPr>
      <w:ind w:firstLine="0"/>
    </w:pPr>
  </w:style>
  <w:style w:type="paragraph" w:customStyle="1" w:styleId="ListNote">
    <w:name w:val="List Note"/>
    <w:basedOn w:val="List"/>
    <w:rsid w:val="00057D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7D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7D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7D29"/>
    <w:rPr>
      <w:rFonts w:ascii="Courier New" w:hAnsi="Courier New"/>
    </w:rPr>
  </w:style>
  <w:style w:type="paragraph" w:customStyle="1" w:styleId="NoteBullet">
    <w:name w:val="Note Bullet"/>
    <w:basedOn w:val="Note"/>
    <w:rsid w:val="00057D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7D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7D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7D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7D2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57D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7D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7D29"/>
    <w:rPr>
      <w:b/>
      <w:smallCaps/>
    </w:rPr>
  </w:style>
  <w:style w:type="paragraph" w:customStyle="1" w:styleId="TableListNumber">
    <w:name w:val="Table List Number"/>
    <w:basedOn w:val="ListNumber"/>
    <w:rsid w:val="00057D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7D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7D29"/>
    <w:pPr>
      <w:numPr>
        <w:numId w:val="7"/>
      </w:numPr>
    </w:pPr>
  </w:style>
  <w:style w:type="paragraph" w:customStyle="1" w:styleId="ListAlpha2">
    <w:name w:val="List Alpha 2"/>
    <w:basedOn w:val="List2"/>
    <w:rsid w:val="00057D29"/>
    <w:pPr>
      <w:numPr>
        <w:numId w:val="6"/>
      </w:numPr>
    </w:pPr>
  </w:style>
  <w:style w:type="paragraph" w:styleId="List2">
    <w:name w:val="List 2"/>
    <w:basedOn w:val="BodyText"/>
    <w:rsid w:val="00057D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7D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7D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7D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7D2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7D2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57D29"/>
    <w:pPr>
      <w:numPr>
        <w:numId w:val="2"/>
      </w:numPr>
    </w:pPr>
  </w:style>
  <w:style w:type="paragraph" w:styleId="ListContinue2">
    <w:name w:val="List Continue 2"/>
    <w:basedOn w:val="List2"/>
    <w:rsid w:val="00057D29"/>
    <w:pPr>
      <w:ind w:firstLine="0"/>
    </w:pPr>
  </w:style>
  <w:style w:type="paragraph" w:styleId="ListContinue3">
    <w:name w:val="List Continue 3"/>
    <w:basedOn w:val="List3"/>
    <w:rsid w:val="00057D29"/>
    <w:pPr>
      <w:ind w:left="1021" w:firstLine="0"/>
    </w:pPr>
  </w:style>
  <w:style w:type="paragraph" w:styleId="ListContinue4">
    <w:name w:val="List Continue 4"/>
    <w:basedOn w:val="List4"/>
    <w:rsid w:val="00057D29"/>
    <w:pPr>
      <w:ind w:firstLine="0"/>
    </w:pPr>
  </w:style>
  <w:style w:type="paragraph" w:styleId="ListContinue5">
    <w:name w:val="List Continue 5"/>
    <w:basedOn w:val="List5"/>
    <w:rsid w:val="00057D29"/>
    <w:pPr>
      <w:ind w:firstLine="0"/>
    </w:pPr>
  </w:style>
  <w:style w:type="paragraph" w:styleId="ListNumber3">
    <w:name w:val="List Number 3"/>
    <w:basedOn w:val="List3"/>
    <w:rsid w:val="00057D29"/>
    <w:pPr>
      <w:numPr>
        <w:numId w:val="3"/>
      </w:numPr>
    </w:pPr>
  </w:style>
  <w:style w:type="paragraph" w:styleId="ListNumber4">
    <w:name w:val="List Number 4"/>
    <w:basedOn w:val="List4"/>
    <w:rsid w:val="00057D29"/>
    <w:pPr>
      <w:numPr>
        <w:numId w:val="4"/>
      </w:numPr>
    </w:pPr>
  </w:style>
  <w:style w:type="paragraph" w:styleId="ListNumber5">
    <w:name w:val="List Number 5"/>
    <w:basedOn w:val="List5"/>
    <w:rsid w:val="00057D29"/>
    <w:pPr>
      <w:numPr>
        <w:numId w:val="5"/>
      </w:numPr>
    </w:pPr>
  </w:style>
  <w:style w:type="paragraph" w:styleId="BlockText">
    <w:name w:val="Block Text"/>
    <w:basedOn w:val="Normal"/>
    <w:rsid w:val="00057D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7D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7D29"/>
    <w:rPr>
      <w:sz w:val="16"/>
      <w:vertAlign w:val="superscript"/>
    </w:rPr>
  </w:style>
  <w:style w:type="character" w:customStyle="1" w:styleId="Symbols">
    <w:name w:val="Symbols"/>
    <w:basedOn w:val="DefaultParagraphFont"/>
    <w:rsid w:val="00057D29"/>
    <w:rPr>
      <w:rFonts w:ascii="Symbol" w:hAnsi="Symbol"/>
    </w:rPr>
  </w:style>
  <w:style w:type="character" w:customStyle="1" w:styleId="MenuOptions">
    <w:name w:val="Menu Options"/>
    <w:basedOn w:val="DefaultParagraphFont"/>
    <w:rsid w:val="00057D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7D29"/>
    <w:rPr>
      <w:b/>
    </w:rPr>
  </w:style>
  <w:style w:type="character" w:customStyle="1" w:styleId="Underlined">
    <w:name w:val="Underlined"/>
    <w:basedOn w:val="DefaultParagraphFont"/>
    <w:rsid w:val="00057D29"/>
    <w:rPr>
      <w:u w:val="single"/>
    </w:rPr>
  </w:style>
  <w:style w:type="paragraph" w:customStyle="1" w:styleId="TableBodyTextRight">
    <w:name w:val="Table Body Text Right"/>
    <w:basedOn w:val="TableBodyText"/>
    <w:rsid w:val="00057D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7D29"/>
    <w:rPr>
      <w:sz w:val="18"/>
    </w:rPr>
  </w:style>
  <w:style w:type="paragraph" w:customStyle="1" w:styleId="BodySmallRight">
    <w:name w:val="Body Small Right"/>
    <w:basedOn w:val="BodyTextRight"/>
    <w:rsid w:val="00057D29"/>
    <w:rPr>
      <w:sz w:val="18"/>
      <w:szCs w:val="18"/>
    </w:rPr>
  </w:style>
  <w:style w:type="paragraph" w:customStyle="1" w:styleId="MarginEdition">
    <w:name w:val="Margin Edition"/>
    <w:basedOn w:val="MarginNote"/>
    <w:rsid w:val="00057D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7D29"/>
    <w:rPr>
      <w:sz w:val="2"/>
      <w:szCs w:val="2"/>
    </w:rPr>
  </w:style>
  <w:style w:type="character" w:customStyle="1" w:styleId="Small">
    <w:name w:val="Small"/>
    <w:basedOn w:val="DefaultParagraphFont"/>
    <w:rsid w:val="00057D29"/>
    <w:rPr>
      <w:sz w:val="16"/>
    </w:rPr>
  </w:style>
  <w:style w:type="paragraph" w:customStyle="1" w:styleId="WideTable">
    <w:name w:val="Wide Table"/>
    <w:basedOn w:val="Normal"/>
    <w:rsid w:val="00057D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7D29"/>
  </w:style>
  <w:style w:type="paragraph" w:styleId="Quote">
    <w:name w:val="Quote"/>
    <w:basedOn w:val="Heading1"/>
    <w:link w:val="QuoteChar"/>
    <w:qFormat/>
    <w:rsid w:val="00057D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7D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7D29"/>
    <w:pPr>
      <w:pageBreakBefore/>
    </w:pPr>
  </w:style>
  <w:style w:type="paragraph" w:customStyle="1" w:styleId="Border">
    <w:name w:val="Border"/>
    <w:basedOn w:val="Normal"/>
    <w:qFormat/>
    <w:rsid w:val="00057D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7D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7D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7D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7D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7D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7D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7D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7D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7D29"/>
    <w:rPr>
      <w:u w:val="single"/>
    </w:rPr>
  </w:style>
  <w:style w:type="character" w:customStyle="1" w:styleId="BoldandItalics">
    <w:name w:val="Bold and Italics"/>
    <w:qFormat/>
    <w:rsid w:val="00057D29"/>
    <w:rPr>
      <w:b/>
      <w:i/>
      <w:u w:val="none"/>
    </w:rPr>
  </w:style>
  <w:style w:type="paragraph" w:styleId="BalloonText">
    <w:name w:val="Balloon Text"/>
    <w:basedOn w:val="Normal"/>
    <w:link w:val="BalloonTextChar"/>
    <w:rsid w:val="00057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7D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7D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7D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7D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7D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7D29"/>
    <w:pPr>
      <w:spacing w:before="0" w:after="0"/>
    </w:pPr>
  </w:style>
  <w:style w:type="paragraph" w:customStyle="1" w:styleId="BodyTextBold">
    <w:name w:val="Body Text Bold"/>
    <w:basedOn w:val="BodyText"/>
    <w:qFormat/>
    <w:rsid w:val="00057D29"/>
    <w:rPr>
      <w:b/>
    </w:rPr>
  </w:style>
  <w:style w:type="character" w:styleId="Hyperlink">
    <w:name w:val="Hyperlink"/>
    <w:basedOn w:val="DefaultParagraphFont"/>
    <w:uiPriority w:val="99"/>
    <w:unhideWhenUsed/>
    <w:rsid w:val="002019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484</Words>
  <Characters>3145</Characters>
  <Application>Microsoft Office Word</Application>
  <DocSecurity>0</DocSecurity>
  <Lines>125</Lines>
  <Paragraphs>72</Paragraphs>
  <ScaleCrop>false</ScaleCrop>
  <Company>Author-it Software Corporation Ltd.</Company>
  <LinksUpToDate>false</LinksUpToDate>
  <CharactersWithSpaces>3557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TLIX6049 Undertake provisioning in support of deployed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2022-10-25T05:50:00Z</dcterms:created>
  <dcterms:modified xsi:type="dcterms:W3CDTF">2022-10-25T05:50:00Z</dcterms:modified>
</cp:coreProperties>
</file>