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A612B" w:rsidP="00CA612B">
      <w:pPr>
        <w:pStyle w:val="Title"/>
      </w:pPr>
      <w:r>
        <w:fldChar w:fldCharType="begin"/>
      </w:r>
      <w:r>
        <w:instrText xml:space="preserve"> TITLE   \* MERGEFORMAT </w:instrText>
      </w:r>
      <w:r>
        <w:fldChar w:fldCharType="separate"/>
      </w:r>
      <w:r>
        <w:t>TLIX6049 Undertake provisioning in support of deployed operations</w:t>
      </w:r>
      <w:r>
        <w:fldChar w:fldCharType="end"/>
      </w:r>
    </w:p>
    <w:p w:rsidR="00CA612B" w:rsidP="00CA612B">
      <w:pPr>
        <w:pStyle w:val="Version"/>
        <w:sectPr w:rsidSect="002110E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110E7" w:rsidP="002110E7">
      <w:pPr>
        <w:pStyle w:val="SuperHeading"/>
      </w:pPr>
      <w:r w:rsidRPr="002110E7">
        <w:t>TLIX6049 Undertake provisioning in support of deployed operations</w:t>
      </w:r>
    </w:p>
    <w:p w:rsidR="00000000" w:rsidRPr="002110E7" w:rsidP="002110E7">
      <w:pPr>
        <w:pStyle w:val="Heading1"/>
      </w:pPr>
      <w:bookmarkStart w:id="1" w:name="O_755323"/>
      <w:bookmarkEnd w:id="1"/>
      <w:r w:rsidRPr="002110E7">
        <w:t>Modification History</w:t>
      </w:r>
    </w:p>
    <w:p w:rsidR="00CA612B" w:rsidP="00CA612B">
      <w:pPr>
        <w:pStyle w:val="BodyText"/>
      </w:pPr>
      <w:r w:rsidRPr="002110E7">
        <w:t>Release 1. This is the first release of this unit of competency in the TLI Transport and Logistics Training Package.</w:t>
      </w:r>
    </w:p>
    <w:p w:rsidR="00000000" w:rsidRPr="002110E7" w:rsidP="002110E7">
      <w:pPr>
        <w:pStyle w:val="Heading1"/>
      </w:pPr>
      <w:bookmarkStart w:id="2" w:name="O_755324"/>
      <w:bookmarkEnd w:id="2"/>
      <w:r w:rsidRPr="002110E7">
        <w:t>Application</w:t>
      </w:r>
    </w:p>
    <w:tbl>
      <w:tblPr>
        <w:tblW w:w="0" w:type="auto"/>
        <w:tblCellMar>
          <w:left w:w="62" w:type="dxa"/>
          <w:right w:w="62" w:type="dxa"/>
        </w:tblCellMar>
        <w:tblLook w:val="0000"/>
      </w:tblPr>
      <w:tblGrid>
        <w:gridCol w:w="9196"/>
      </w:tblGrid>
      <w:tr w:rsidTr="00CA612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2110E7" w:rsidP="002110E7">
            <w:pPr>
              <w:pStyle w:val="BodyText"/>
            </w:pPr>
            <w:r w:rsidRPr="002110E7">
              <w:t xml:space="preserve">This unit involves the skills and knowledge required to undertake provisioning for deployed elements of an organisation in support of operations, in accordance with relevant organisational policy and procedures. </w:t>
            </w:r>
          </w:p>
          <w:p w:rsidR="00000000" w:rsidRPr="002110E7" w:rsidP="002110E7">
            <w:pPr>
              <w:pStyle w:val="BodyText"/>
            </w:pPr>
            <w:r w:rsidRPr="002110E7">
              <w:t>The application of this unit in the workpla</w:t>
            </w:r>
            <w:r w:rsidRPr="002110E7">
              <w:t>ce includes planning and controlling necessary stockholding levels of all items of supply. Supply provisioning is a quantitative analysis and involves detailed mathematical calculations of supply factors such as known usage rates and time factors.</w:t>
            </w:r>
          </w:p>
          <w:p w:rsidR="00000000" w:rsidRPr="002110E7" w:rsidP="002110E7">
            <w:pPr>
              <w:pStyle w:val="BodyText"/>
            </w:pPr>
            <w:r w:rsidRPr="002110E7">
              <w:t>This uni</w:t>
            </w:r>
            <w:r w:rsidRPr="002110E7">
              <w:t>t is typically applicable to senior logistics personnel responsible for planning and coordinating logistics supply support at an organisational level.</w:t>
            </w:r>
          </w:p>
          <w:p w:rsidR="00000000" w:rsidRPr="002110E7" w:rsidP="002110E7">
            <w:pPr>
              <w:pStyle w:val="BodyText"/>
            </w:pPr>
            <w:r w:rsidRPr="002110E7">
              <w:t>No licensing, legislative or certification requirements apply to this unit at the time of publication.</w:t>
            </w:r>
          </w:p>
        </w:tc>
      </w:tr>
    </w:tbl>
    <w:p w:rsidR="00CA612B" w:rsidP="002110E7">
      <w:pPr>
        <w:pStyle w:val="BodyText"/>
      </w:pPr>
    </w:p>
    <w:p w:rsidR="00CA612B" w:rsidP="002110E7">
      <w:pPr>
        <w:pStyle w:val="BodyText"/>
      </w:pPr>
    </w:p>
    <w:p w:rsidR="00000000" w:rsidRPr="002110E7" w:rsidP="002110E7">
      <w:pPr>
        <w:pStyle w:val="Heading1"/>
      </w:pPr>
      <w:bookmarkStart w:id="3" w:name="O_755325"/>
      <w:bookmarkEnd w:id="3"/>
      <w:r w:rsidRPr="002110E7">
        <w:t>Pre-requisite Unit</w:t>
      </w:r>
    </w:p>
    <w:p w:rsidR="00CA612B" w:rsidP="00CA612B">
      <w:pPr>
        <w:pStyle w:val="BodyText"/>
      </w:pPr>
      <w:r w:rsidRPr="002110E7">
        <w:t>Not applicable.</w:t>
      </w:r>
    </w:p>
    <w:p w:rsidR="00000000" w:rsidRPr="002110E7" w:rsidP="002110E7">
      <w:pPr>
        <w:pStyle w:val="Heading1"/>
      </w:pPr>
      <w:bookmarkStart w:id="4" w:name="O_755326"/>
      <w:bookmarkEnd w:id="4"/>
      <w:r w:rsidRPr="002110E7">
        <w:t>Competency Field</w:t>
      </w:r>
    </w:p>
    <w:p w:rsidR="00CA612B" w:rsidP="00CA612B">
      <w:pPr>
        <w:pStyle w:val="BodyText"/>
      </w:pPr>
      <w:r w:rsidRPr="002110E7">
        <w:t>X – Logistics</w:t>
      </w:r>
    </w:p>
    <w:p w:rsidR="00000000" w:rsidRPr="002110E7" w:rsidP="002110E7">
      <w:pPr>
        <w:pStyle w:val="Heading1"/>
      </w:pPr>
      <w:bookmarkStart w:id="5" w:name="O_755327"/>
      <w:bookmarkEnd w:id="5"/>
      <w:r w:rsidRPr="002110E7">
        <w:t>Unit Sector</w:t>
      </w:r>
    </w:p>
    <w:p w:rsidR="00CA612B" w:rsidP="00CA612B">
      <w:pPr>
        <w:pStyle w:val="BodyText"/>
      </w:pPr>
      <w:r w:rsidRPr="002110E7">
        <w:t>Not applicable.</w:t>
      </w:r>
    </w:p>
    <w:p w:rsidR="00000000" w:rsidRPr="002110E7" w:rsidP="002110E7">
      <w:pPr>
        <w:pStyle w:val="Heading1"/>
      </w:pPr>
      <w:bookmarkStart w:id="6" w:name="O_755328"/>
      <w:bookmarkEnd w:id="6"/>
      <w:r w:rsidRPr="002110E7">
        <w:t>Elements and Performance Criteria</w:t>
      </w:r>
    </w:p>
    <w:tbl>
      <w:tblPr>
        <w:tblW w:w="0" w:type="auto"/>
        <w:tblCellMar>
          <w:left w:w="62" w:type="dxa"/>
          <w:right w:w="62" w:type="dxa"/>
        </w:tblCellMar>
        <w:tblLook w:val="0000"/>
      </w:tblPr>
      <w:tblGrid>
        <w:gridCol w:w="333"/>
        <w:gridCol w:w="1769"/>
        <w:gridCol w:w="553"/>
        <w:gridCol w:w="6541"/>
      </w:tblGrid>
      <w:tr w:rsidTr="00CA612B">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2110E7">
            <w:pPr>
              <w:pStyle w:val="BodyText"/>
              <w:rPr>
                <w:lang w:val="en-NZ"/>
              </w:rPr>
            </w:pPr>
            <w:r w:rsidRPr="002110E7">
              <w:t>Elements describe the essential outcomes.</w:t>
            </w:r>
          </w:p>
        </w:tc>
        <w:tc>
          <w:tcPr>
            <w:tcW w:w="0" w:type="auto"/>
            <w:gridSpan w:val="2"/>
            <w:tcBorders>
              <w:top w:val="nil"/>
              <w:left w:val="nil"/>
              <w:bottom w:val="nil"/>
              <w:right w:val="nil"/>
            </w:tcBorders>
            <w:tcMar>
              <w:top w:w="0" w:type="dxa"/>
              <w:left w:w="62" w:type="dxa"/>
              <w:bottom w:w="0" w:type="dxa"/>
              <w:right w:w="62" w:type="dxa"/>
            </w:tcMar>
          </w:tcPr>
          <w:p w:rsidR="00000000" w:rsidP="002110E7">
            <w:pPr>
              <w:pStyle w:val="BodyText"/>
              <w:rPr>
                <w:lang w:val="en-NZ"/>
              </w:rPr>
            </w:pPr>
            <w:r w:rsidRPr="002110E7">
              <w:t>Performance criteria describe the performance needed to demonstrate achievement of the element.</w:t>
            </w:r>
          </w:p>
        </w:tc>
      </w:tr>
      <w:tr w:rsidTr="00CA612B">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2110E7" w:rsidP="002110E7">
            <w:pPr>
              <w:pStyle w:val="BodyText"/>
            </w:pPr>
            <w:r w:rsidRPr="002110E7">
              <w:rPr>
                <w:rStyle w:val="SpecialBold"/>
              </w:rPr>
              <w:t>1</w:t>
            </w:r>
          </w:p>
        </w:tc>
        <w:tc>
          <w:tcPr>
            <w:tcW w:w="0" w:type="auto"/>
            <w:vMerge w:val="restart"/>
            <w:tcBorders>
              <w:top w:val="nil"/>
              <w:left w:val="nil"/>
              <w:bottom w:val="nil"/>
              <w:right w:val="nil"/>
            </w:tcBorders>
            <w:tcMar>
              <w:top w:w="0" w:type="dxa"/>
              <w:left w:w="62" w:type="dxa"/>
              <w:bottom w:w="0" w:type="dxa"/>
              <w:right w:w="62" w:type="dxa"/>
            </w:tcMar>
          </w:tcPr>
          <w:p w:rsidR="00000000" w:rsidP="002110E7">
            <w:pPr>
              <w:pStyle w:val="BodyText"/>
              <w:rPr>
                <w:lang w:val="en-NZ"/>
              </w:rPr>
            </w:pPr>
            <w:r w:rsidRPr="002110E7">
              <w:rPr>
                <w:rStyle w:val="SpecialBold"/>
              </w:rPr>
              <w:t>Analyse operational requirement</w:t>
            </w:r>
          </w:p>
        </w:tc>
        <w:tc>
          <w:tcPr>
            <w:tcW w:w="0" w:type="auto"/>
            <w:tcBorders>
              <w:top w:val="nil"/>
              <w:left w:val="nil"/>
              <w:bottom w:val="nil"/>
              <w:right w:val="nil"/>
            </w:tcBorders>
            <w:tcMar>
              <w:top w:w="0" w:type="dxa"/>
              <w:left w:w="62" w:type="dxa"/>
              <w:bottom w:w="0" w:type="dxa"/>
              <w:right w:w="62" w:type="dxa"/>
            </w:tcMar>
          </w:tcPr>
          <w:p w:rsidR="00000000" w:rsidP="002110E7">
            <w:pPr>
              <w:pStyle w:val="BodyText"/>
              <w:rPr>
                <w:lang w:val="en-NZ"/>
              </w:rPr>
            </w:pPr>
            <w:r w:rsidRPr="002110E7">
              <w:t>1.1</w:t>
            </w:r>
          </w:p>
        </w:tc>
        <w:tc>
          <w:tcPr>
            <w:tcW w:w="0" w:type="auto"/>
            <w:tcBorders>
              <w:top w:val="nil"/>
              <w:left w:val="nil"/>
              <w:bottom w:val="nil"/>
              <w:right w:val="nil"/>
            </w:tcBorders>
            <w:tcMar>
              <w:top w:w="0" w:type="dxa"/>
              <w:left w:w="62" w:type="dxa"/>
              <w:bottom w:w="0" w:type="dxa"/>
              <w:right w:w="62" w:type="dxa"/>
            </w:tcMar>
          </w:tcPr>
          <w:p w:rsidR="00000000" w:rsidP="002110E7">
            <w:pPr>
              <w:pStyle w:val="BodyText"/>
              <w:rPr>
                <w:lang w:val="en-NZ"/>
              </w:rPr>
            </w:pPr>
            <w:r w:rsidRPr="002110E7">
              <w:t>Operational requirement is analysed to establish provisioning requirements</w:t>
            </w:r>
          </w:p>
        </w:tc>
      </w:tr>
      <w:tr w:rsidTr="00CA612B">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2110E7">
            <w:pPr>
              <w:pStyle w:val="BodyText"/>
              <w:rPr>
                <w:lang w:val="en-NZ"/>
              </w:rPr>
            </w:pPr>
            <w:r w:rsidRPr="002110E7">
              <w:t>1.2</w:t>
            </w:r>
          </w:p>
        </w:tc>
        <w:tc>
          <w:tcPr>
            <w:tcW w:w="0" w:type="auto"/>
            <w:tcBorders>
              <w:top w:val="nil"/>
              <w:left w:val="nil"/>
              <w:bottom w:val="nil"/>
              <w:right w:val="nil"/>
            </w:tcBorders>
            <w:tcMar>
              <w:top w:w="0" w:type="dxa"/>
              <w:left w:w="62" w:type="dxa"/>
              <w:bottom w:w="0" w:type="dxa"/>
              <w:right w:w="62" w:type="dxa"/>
            </w:tcMar>
          </w:tcPr>
          <w:p w:rsidR="00000000" w:rsidP="002110E7">
            <w:pPr>
              <w:pStyle w:val="BodyText"/>
              <w:rPr>
                <w:lang w:val="en-NZ"/>
              </w:rPr>
            </w:pPr>
            <w:r w:rsidRPr="002110E7">
              <w:t>Operational factors are analysed to identify variables to be considered in provisioning</w:t>
            </w:r>
          </w:p>
        </w:tc>
      </w:tr>
      <w:tr w:rsidTr="00CA612B">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2110E7">
            <w:pPr>
              <w:pStyle w:val="BodyText"/>
              <w:rPr>
                <w:lang w:val="en-NZ"/>
              </w:rPr>
            </w:pPr>
            <w:r w:rsidRPr="002110E7">
              <w:t>1.3</w:t>
            </w:r>
          </w:p>
        </w:tc>
        <w:tc>
          <w:tcPr>
            <w:tcW w:w="0" w:type="auto"/>
            <w:tcBorders>
              <w:top w:val="nil"/>
              <w:left w:val="nil"/>
              <w:bottom w:val="nil"/>
              <w:right w:val="nil"/>
            </w:tcBorders>
            <w:tcMar>
              <w:top w:w="0" w:type="dxa"/>
              <w:left w:w="62" w:type="dxa"/>
              <w:bottom w:w="0" w:type="dxa"/>
              <w:right w:w="62" w:type="dxa"/>
            </w:tcMar>
          </w:tcPr>
          <w:p w:rsidR="00000000" w:rsidP="002110E7">
            <w:pPr>
              <w:pStyle w:val="BodyText"/>
              <w:rPr>
                <w:lang w:val="en-NZ"/>
              </w:rPr>
            </w:pPr>
            <w:r w:rsidRPr="002110E7">
              <w:t>Technical supply factors are analysed to identify variables to be considered in provisioning</w:t>
            </w:r>
          </w:p>
        </w:tc>
      </w:tr>
      <w:tr w:rsidTr="00CA612B">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2110E7">
            <w:pPr>
              <w:pStyle w:val="BodyText"/>
              <w:rPr>
                <w:lang w:val="en-NZ"/>
              </w:rPr>
            </w:pPr>
            <w:r w:rsidRPr="002110E7">
              <w:t>1.4</w:t>
            </w:r>
          </w:p>
        </w:tc>
        <w:tc>
          <w:tcPr>
            <w:tcW w:w="0" w:type="auto"/>
            <w:tcBorders>
              <w:top w:val="nil"/>
              <w:left w:val="nil"/>
              <w:bottom w:val="nil"/>
              <w:right w:val="nil"/>
            </w:tcBorders>
            <w:tcMar>
              <w:top w:w="0" w:type="dxa"/>
              <w:left w:w="62" w:type="dxa"/>
              <w:bottom w:w="0" w:type="dxa"/>
              <w:right w:w="62" w:type="dxa"/>
            </w:tcMar>
          </w:tcPr>
          <w:p w:rsidR="00000000" w:rsidP="002110E7">
            <w:pPr>
              <w:pStyle w:val="BodyText"/>
              <w:rPr>
                <w:lang w:val="en-NZ"/>
              </w:rPr>
            </w:pPr>
            <w:r w:rsidRPr="002110E7">
              <w:t>Liaison with other logistics planners is undertaken to inform</w:t>
            </w:r>
            <w:r w:rsidRPr="002110E7">
              <w:t xml:space="preserve"> specialist supply aspects of provisioning requirement</w:t>
            </w:r>
          </w:p>
        </w:tc>
      </w:tr>
      <w:tr w:rsidTr="00CA612B">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2110E7" w:rsidP="002110E7">
            <w:pPr>
              <w:pStyle w:val="BodyText"/>
            </w:pPr>
            <w:r w:rsidRPr="002110E7">
              <w:rPr>
                <w:rStyle w:val="SpecialBold"/>
              </w:rPr>
              <w:t>2</w:t>
            </w:r>
          </w:p>
        </w:tc>
        <w:tc>
          <w:tcPr>
            <w:tcW w:w="0" w:type="auto"/>
            <w:vMerge w:val="restart"/>
            <w:tcBorders>
              <w:top w:val="nil"/>
              <w:left w:val="nil"/>
              <w:bottom w:val="nil"/>
              <w:right w:val="nil"/>
            </w:tcBorders>
            <w:tcMar>
              <w:top w:w="0" w:type="dxa"/>
              <w:left w:w="62" w:type="dxa"/>
              <w:bottom w:w="0" w:type="dxa"/>
              <w:right w:w="62" w:type="dxa"/>
            </w:tcMar>
          </w:tcPr>
          <w:p w:rsidR="00000000" w:rsidP="002110E7">
            <w:pPr>
              <w:pStyle w:val="BodyText"/>
              <w:rPr>
                <w:lang w:val="en-NZ"/>
              </w:rPr>
            </w:pPr>
            <w:r w:rsidRPr="002110E7">
              <w:rPr>
                <w:rStyle w:val="SpecialBold"/>
              </w:rPr>
              <w:t>Calculate provisioning requirement</w:t>
            </w:r>
          </w:p>
        </w:tc>
        <w:tc>
          <w:tcPr>
            <w:tcW w:w="0" w:type="auto"/>
            <w:tcBorders>
              <w:top w:val="nil"/>
              <w:left w:val="nil"/>
              <w:bottom w:val="nil"/>
              <w:right w:val="nil"/>
            </w:tcBorders>
            <w:tcMar>
              <w:top w:w="0" w:type="dxa"/>
              <w:left w:w="62" w:type="dxa"/>
              <w:bottom w:w="0" w:type="dxa"/>
              <w:right w:w="62" w:type="dxa"/>
            </w:tcMar>
          </w:tcPr>
          <w:p w:rsidR="00000000" w:rsidP="002110E7">
            <w:pPr>
              <w:pStyle w:val="BodyText"/>
              <w:rPr>
                <w:lang w:val="en-NZ"/>
              </w:rPr>
            </w:pPr>
            <w:r w:rsidRPr="002110E7">
              <w:t>2.1</w:t>
            </w:r>
          </w:p>
        </w:tc>
        <w:tc>
          <w:tcPr>
            <w:tcW w:w="0" w:type="auto"/>
            <w:tcBorders>
              <w:top w:val="nil"/>
              <w:left w:val="nil"/>
              <w:bottom w:val="nil"/>
              <w:right w:val="nil"/>
            </w:tcBorders>
            <w:tcMar>
              <w:top w:w="0" w:type="dxa"/>
              <w:left w:w="62" w:type="dxa"/>
              <w:bottom w:w="0" w:type="dxa"/>
              <w:right w:w="62" w:type="dxa"/>
            </w:tcMar>
          </w:tcPr>
          <w:p w:rsidR="00000000" w:rsidP="002110E7">
            <w:pPr>
              <w:pStyle w:val="BodyText"/>
              <w:rPr>
                <w:lang w:val="en-NZ"/>
              </w:rPr>
            </w:pPr>
            <w:r w:rsidRPr="002110E7">
              <w:t>Stockholding factors are determined and analysed to provide a basis for provisioning calculation</w:t>
            </w:r>
          </w:p>
        </w:tc>
      </w:tr>
      <w:tr w:rsidTr="00CA612B">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2110E7">
            <w:pPr>
              <w:pStyle w:val="BodyText"/>
              <w:rPr>
                <w:lang w:val="en-NZ"/>
              </w:rPr>
            </w:pPr>
            <w:r w:rsidRPr="002110E7">
              <w:t>2.2</w:t>
            </w:r>
          </w:p>
        </w:tc>
        <w:tc>
          <w:tcPr>
            <w:tcW w:w="0" w:type="auto"/>
            <w:tcBorders>
              <w:top w:val="nil"/>
              <w:left w:val="nil"/>
              <w:bottom w:val="nil"/>
              <w:right w:val="nil"/>
            </w:tcBorders>
            <w:tcMar>
              <w:top w:w="0" w:type="dxa"/>
              <w:left w:w="62" w:type="dxa"/>
              <w:bottom w:w="0" w:type="dxa"/>
              <w:right w:w="62" w:type="dxa"/>
            </w:tcMar>
          </w:tcPr>
          <w:p w:rsidR="00000000" w:rsidP="002110E7">
            <w:pPr>
              <w:pStyle w:val="BodyText"/>
              <w:rPr>
                <w:lang w:val="en-NZ"/>
              </w:rPr>
            </w:pPr>
            <w:r w:rsidRPr="002110E7">
              <w:t>Time factors are determined and analysed to establish duration of supply and lead time required for provisioning</w:t>
            </w:r>
          </w:p>
        </w:tc>
      </w:tr>
      <w:tr w:rsidTr="00CA612B">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2110E7">
            <w:pPr>
              <w:pStyle w:val="BodyText"/>
              <w:rPr>
                <w:lang w:val="en-NZ"/>
              </w:rPr>
            </w:pPr>
            <w:r w:rsidRPr="002110E7">
              <w:t>2.3</w:t>
            </w:r>
          </w:p>
        </w:tc>
        <w:tc>
          <w:tcPr>
            <w:tcW w:w="0" w:type="auto"/>
            <w:tcBorders>
              <w:top w:val="nil"/>
              <w:left w:val="nil"/>
              <w:bottom w:val="nil"/>
              <w:right w:val="nil"/>
            </w:tcBorders>
            <w:tcMar>
              <w:top w:w="0" w:type="dxa"/>
              <w:left w:w="62" w:type="dxa"/>
              <w:bottom w:w="0" w:type="dxa"/>
              <w:right w:w="62" w:type="dxa"/>
            </w:tcMar>
          </w:tcPr>
          <w:p w:rsidR="00000000" w:rsidP="002110E7">
            <w:pPr>
              <w:pStyle w:val="BodyText"/>
              <w:rPr>
                <w:lang w:val="en-NZ"/>
              </w:rPr>
            </w:pPr>
            <w:r w:rsidRPr="002110E7">
              <w:t>Usage rates are calculated to define frequency and quantity of stock to be consumed by dependencies</w:t>
            </w:r>
          </w:p>
        </w:tc>
      </w:tr>
      <w:tr w:rsidTr="00CA612B">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2110E7">
            <w:pPr>
              <w:pStyle w:val="BodyText"/>
              <w:rPr>
                <w:lang w:val="en-NZ"/>
              </w:rPr>
            </w:pPr>
            <w:r w:rsidRPr="002110E7">
              <w:t>2.4</w:t>
            </w:r>
          </w:p>
        </w:tc>
        <w:tc>
          <w:tcPr>
            <w:tcW w:w="0" w:type="auto"/>
            <w:tcBorders>
              <w:top w:val="nil"/>
              <w:left w:val="nil"/>
              <w:bottom w:val="nil"/>
              <w:right w:val="nil"/>
            </w:tcBorders>
            <w:tcMar>
              <w:top w:w="0" w:type="dxa"/>
              <w:left w:w="62" w:type="dxa"/>
              <w:bottom w:w="0" w:type="dxa"/>
              <w:right w:w="62" w:type="dxa"/>
            </w:tcMar>
          </w:tcPr>
          <w:p w:rsidR="00000000" w:rsidP="002110E7">
            <w:pPr>
              <w:pStyle w:val="BodyText"/>
              <w:rPr>
                <w:lang w:val="en-NZ"/>
              </w:rPr>
            </w:pPr>
            <w:r w:rsidRPr="002110E7">
              <w:t>Total liability period is calculated to establish period dependencies will be required to provide initial self-sustainment before routine replenishment is available</w:t>
            </w:r>
          </w:p>
        </w:tc>
      </w:tr>
      <w:tr w:rsidTr="00CA612B">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2110E7">
            <w:pPr>
              <w:pStyle w:val="BodyText"/>
              <w:rPr>
                <w:lang w:val="en-NZ"/>
              </w:rPr>
            </w:pPr>
            <w:r w:rsidRPr="002110E7">
              <w:t>2.5</w:t>
            </w:r>
          </w:p>
        </w:tc>
        <w:tc>
          <w:tcPr>
            <w:tcW w:w="0" w:type="auto"/>
            <w:tcBorders>
              <w:top w:val="nil"/>
              <w:left w:val="nil"/>
              <w:bottom w:val="nil"/>
              <w:right w:val="nil"/>
            </w:tcBorders>
            <w:tcMar>
              <w:top w:w="0" w:type="dxa"/>
              <w:left w:w="62" w:type="dxa"/>
              <w:bottom w:w="0" w:type="dxa"/>
              <w:right w:w="62" w:type="dxa"/>
            </w:tcMar>
          </w:tcPr>
          <w:p w:rsidR="00000000" w:rsidP="002110E7">
            <w:pPr>
              <w:pStyle w:val="BodyText"/>
              <w:rPr>
                <w:lang w:val="en-NZ"/>
              </w:rPr>
            </w:pPr>
            <w:r w:rsidRPr="002110E7">
              <w:t>Assets and liabilities are identified through analysis of stockholding and time fact</w:t>
            </w:r>
            <w:r w:rsidRPr="002110E7">
              <w:t>ors in accordance with organisational policy and procedure</w:t>
            </w:r>
          </w:p>
        </w:tc>
      </w:tr>
      <w:tr w:rsidTr="00CA612B">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2110E7">
            <w:pPr>
              <w:pStyle w:val="BodyText"/>
              <w:rPr>
                <w:lang w:val="en-NZ"/>
              </w:rPr>
            </w:pPr>
            <w:r w:rsidRPr="002110E7">
              <w:t>2.6</w:t>
            </w:r>
          </w:p>
        </w:tc>
        <w:tc>
          <w:tcPr>
            <w:tcW w:w="0" w:type="auto"/>
            <w:tcBorders>
              <w:top w:val="nil"/>
              <w:left w:val="nil"/>
              <w:bottom w:val="nil"/>
              <w:right w:val="nil"/>
            </w:tcBorders>
            <w:tcMar>
              <w:top w:w="0" w:type="dxa"/>
              <w:left w:w="62" w:type="dxa"/>
              <w:bottom w:w="0" w:type="dxa"/>
              <w:right w:w="62" w:type="dxa"/>
            </w:tcMar>
          </w:tcPr>
          <w:p w:rsidR="00000000" w:rsidP="002110E7">
            <w:pPr>
              <w:pStyle w:val="BodyText"/>
              <w:rPr>
                <w:lang w:val="en-NZ"/>
              </w:rPr>
            </w:pPr>
            <w:r w:rsidRPr="002110E7">
              <w:t>Surpluses or deficiencies are calculated based on established assets and liabilities</w:t>
            </w:r>
          </w:p>
        </w:tc>
      </w:tr>
      <w:tr w:rsidTr="00CA612B">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2110E7" w:rsidP="002110E7">
            <w:pPr>
              <w:pStyle w:val="BodyText"/>
            </w:pPr>
            <w:r w:rsidRPr="002110E7">
              <w:rPr>
                <w:rStyle w:val="SpecialBold"/>
              </w:rPr>
              <w:t>3</w:t>
            </w:r>
          </w:p>
        </w:tc>
        <w:tc>
          <w:tcPr>
            <w:tcW w:w="0" w:type="auto"/>
            <w:vMerge w:val="restart"/>
            <w:tcBorders>
              <w:top w:val="nil"/>
              <w:left w:val="nil"/>
              <w:bottom w:val="nil"/>
              <w:right w:val="nil"/>
            </w:tcBorders>
            <w:tcMar>
              <w:top w:w="0" w:type="dxa"/>
              <w:left w:w="62" w:type="dxa"/>
              <w:bottom w:w="0" w:type="dxa"/>
              <w:right w:w="62" w:type="dxa"/>
            </w:tcMar>
          </w:tcPr>
          <w:p w:rsidR="00000000" w:rsidP="002110E7">
            <w:pPr>
              <w:pStyle w:val="BodyText"/>
              <w:rPr>
                <w:lang w:val="en-NZ"/>
              </w:rPr>
            </w:pPr>
            <w:r w:rsidRPr="002110E7">
              <w:rPr>
                <w:rStyle w:val="SpecialBold"/>
              </w:rPr>
              <w:t>Develop and report provisioning requirement</w:t>
            </w:r>
          </w:p>
        </w:tc>
        <w:tc>
          <w:tcPr>
            <w:tcW w:w="0" w:type="auto"/>
            <w:tcBorders>
              <w:top w:val="nil"/>
              <w:left w:val="nil"/>
              <w:bottom w:val="nil"/>
              <w:right w:val="nil"/>
            </w:tcBorders>
            <w:tcMar>
              <w:top w:w="0" w:type="dxa"/>
              <w:left w:w="62" w:type="dxa"/>
              <w:bottom w:w="0" w:type="dxa"/>
              <w:right w:w="62" w:type="dxa"/>
            </w:tcMar>
          </w:tcPr>
          <w:p w:rsidR="00000000" w:rsidP="002110E7">
            <w:pPr>
              <w:pStyle w:val="BodyText"/>
              <w:rPr>
                <w:lang w:val="en-NZ"/>
              </w:rPr>
            </w:pPr>
            <w:r w:rsidRPr="002110E7">
              <w:t>3.1</w:t>
            </w:r>
          </w:p>
        </w:tc>
        <w:tc>
          <w:tcPr>
            <w:tcW w:w="0" w:type="auto"/>
            <w:tcBorders>
              <w:top w:val="nil"/>
              <w:left w:val="nil"/>
              <w:bottom w:val="nil"/>
              <w:right w:val="nil"/>
            </w:tcBorders>
            <w:tcMar>
              <w:top w:w="0" w:type="dxa"/>
              <w:left w:w="62" w:type="dxa"/>
              <w:bottom w:w="0" w:type="dxa"/>
              <w:right w:w="62" w:type="dxa"/>
            </w:tcMar>
          </w:tcPr>
          <w:p w:rsidR="00000000" w:rsidP="002110E7">
            <w:pPr>
              <w:pStyle w:val="BodyText"/>
              <w:rPr>
                <w:lang w:val="en-NZ"/>
              </w:rPr>
            </w:pPr>
            <w:r w:rsidRPr="002110E7">
              <w:t>Provisioning data is created based upon analysis and p</w:t>
            </w:r>
            <w:r w:rsidRPr="002110E7">
              <w:t>rovisioning calculations</w:t>
            </w:r>
          </w:p>
        </w:tc>
      </w:tr>
      <w:tr w:rsidTr="00CA612B">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2110E7">
            <w:pPr>
              <w:pStyle w:val="BodyText"/>
              <w:rPr>
                <w:lang w:val="en-NZ"/>
              </w:rPr>
            </w:pPr>
            <w:r w:rsidRPr="002110E7">
              <w:t>3.2</w:t>
            </w:r>
          </w:p>
        </w:tc>
        <w:tc>
          <w:tcPr>
            <w:tcW w:w="0" w:type="auto"/>
            <w:tcBorders>
              <w:top w:val="nil"/>
              <w:left w:val="nil"/>
              <w:bottom w:val="nil"/>
              <w:right w:val="nil"/>
            </w:tcBorders>
            <w:tcMar>
              <w:top w:w="0" w:type="dxa"/>
              <w:left w:w="62" w:type="dxa"/>
              <w:bottom w:w="0" w:type="dxa"/>
              <w:right w:w="62" w:type="dxa"/>
            </w:tcMar>
          </w:tcPr>
          <w:p w:rsidR="00000000" w:rsidP="002110E7">
            <w:pPr>
              <w:pStyle w:val="BodyText"/>
              <w:rPr>
                <w:lang w:val="en-NZ"/>
              </w:rPr>
            </w:pPr>
            <w:r w:rsidRPr="002110E7">
              <w:t>Provisioning requirement is adjusted in accordance with changing operational need</w:t>
            </w:r>
          </w:p>
        </w:tc>
      </w:tr>
      <w:tr w:rsidTr="00CA612B">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2110E7">
            <w:pPr>
              <w:pStyle w:val="BodyText"/>
              <w:rPr>
                <w:lang w:val="en-NZ"/>
              </w:rPr>
            </w:pPr>
            <w:r w:rsidRPr="002110E7">
              <w:t>3.3</w:t>
            </w:r>
          </w:p>
        </w:tc>
        <w:tc>
          <w:tcPr>
            <w:tcW w:w="0" w:type="auto"/>
            <w:tcBorders>
              <w:top w:val="nil"/>
              <w:left w:val="nil"/>
              <w:bottom w:val="nil"/>
              <w:right w:val="nil"/>
            </w:tcBorders>
            <w:tcMar>
              <w:top w:w="0" w:type="dxa"/>
              <w:left w:w="62" w:type="dxa"/>
              <w:bottom w:w="0" w:type="dxa"/>
              <w:right w:w="62" w:type="dxa"/>
            </w:tcMar>
          </w:tcPr>
          <w:p w:rsidR="00000000" w:rsidRPr="002110E7" w:rsidP="002110E7">
            <w:pPr>
              <w:pStyle w:val="BodyText"/>
            </w:pPr>
            <w:r w:rsidRPr="002110E7">
              <w:t>Provisioning requirement is communicated to stakeholders</w:t>
            </w:r>
          </w:p>
        </w:tc>
      </w:tr>
    </w:tbl>
    <w:p w:rsidR="00CA612B" w:rsidP="002110E7">
      <w:pPr>
        <w:pStyle w:val="BodyText"/>
      </w:pPr>
    </w:p>
    <w:p w:rsidR="00CA612B" w:rsidP="002110E7">
      <w:pPr>
        <w:pStyle w:val="BodyText"/>
      </w:pPr>
    </w:p>
    <w:p w:rsidR="00000000" w:rsidRPr="002110E7" w:rsidP="002110E7">
      <w:pPr>
        <w:pStyle w:val="Heading1"/>
      </w:pPr>
      <w:bookmarkStart w:id="7" w:name="O_755329"/>
      <w:bookmarkEnd w:id="7"/>
      <w:r w:rsidRPr="002110E7">
        <w:t>Foundation Skills</w:t>
      </w:r>
    </w:p>
    <w:p w:rsidR="00CA612B" w:rsidP="00CA612B">
      <w:pPr>
        <w:pStyle w:val="BodyText"/>
      </w:pPr>
      <w:r w:rsidRPr="002110E7">
        <w:t>Foundation skills essential to performance are explicit in the performance criteria of this unit of competency.</w:t>
      </w:r>
    </w:p>
    <w:p w:rsidR="00000000" w:rsidRPr="002110E7" w:rsidP="002110E7">
      <w:pPr>
        <w:pStyle w:val="Heading1"/>
      </w:pPr>
      <w:bookmarkStart w:id="8" w:name="O_755330"/>
      <w:bookmarkEnd w:id="8"/>
      <w:r w:rsidRPr="002110E7">
        <w:t>Range of Conditions</w:t>
      </w:r>
    </w:p>
    <w:p w:rsidR="00000000" w:rsidRPr="002110E7" w:rsidP="00CA612B">
      <w:pPr>
        <w:pStyle w:val="BodyText"/>
      </w:pPr>
      <w:r w:rsidRPr="002110E7">
        <w:t>Range is restricted to essential operating conditions and any other variables essential to the work enviro</w:t>
      </w:r>
      <w:r w:rsidRPr="002110E7">
        <w:t>nment.</w:t>
      </w:r>
    </w:p>
    <w:p w:rsidR="00CA612B" w:rsidP="00CA612B">
      <w:pPr>
        <w:pStyle w:val="BodyText"/>
      </w:pPr>
      <w:r w:rsidRPr="002110E7">
        <w:t>Non-essential conditions can be found in the Companion Volume Implementation Guide.</w:t>
      </w:r>
    </w:p>
    <w:p w:rsidR="00000000" w:rsidRPr="002110E7" w:rsidP="002110E7">
      <w:pPr>
        <w:pStyle w:val="Heading1"/>
      </w:pPr>
      <w:bookmarkStart w:id="9" w:name="O_755331"/>
      <w:bookmarkEnd w:id="9"/>
      <w:r w:rsidRPr="002110E7">
        <w:t>Unit Mapping Information</w:t>
      </w:r>
    </w:p>
    <w:p w:rsidR="00CA612B" w:rsidP="00CA612B">
      <w:pPr>
        <w:pStyle w:val="BodyText"/>
      </w:pPr>
      <w:r w:rsidRPr="002110E7">
        <w:t>This unit replaces and is equivalent to TLIX6049A Undertake provisioning in support of deployed operations.</w:t>
      </w:r>
    </w:p>
    <w:p w:rsidR="00000000" w:rsidRPr="002110E7" w:rsidP="002110E7">
      <w:pPr>
        <w:pStyle w:val="Heading1"/>
      </w:pPr>
      <w:bookmarkStart w:id="10" w:name="O_755338"/>
      <w:bookmarkEnd w:id="10"/>
      <w:r w:rsidRPr="002110E7">
        <w:t>Links</w:t>
      </w:r>
    </w:p>
    <w:p w:rsidR="00000000" w:rsidRPr="002110E7" w:rsidP="00CA612B">
      <w:pPr>
        <w:pStyle w:val="BodyText"/>
      </w:pPr>
      <w:r w:rsidRPr="002110E7">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53474E">
        <w:rPr>
          <w:rStyle w:val="Hyperlink"/>
        </w:rPr>
        <w:t>https://vetnet.gov.au/Pages/TrainingDocs.aspx?q=df441c6e-213d-43e3-874c-0b3f7036d851</w:t>
      </w:r>
      <w:r>
        <w:fldChar w:fldCharType="end"/>
      </w:r>
    </w:p>
    <w:p w:rsidR="00000000" w:rsidRPr="002110E7" w:rsidP="00CA612B">
      <w:pPr>
        <w:pStyle w:val="BodyText"/>
        <w:sectPr w:rsidSect="002110E7">
          <w:headerReference w:type="default" r:id="rId10"/>
          <w:footerReference w:type="default" r:id="rId11"/>
          <w:pgSz w:w="11908" w:h="16833"/>
          <w:pgMar w:top="1702" w:right="1418" w:bottom="1702" w:left="1418" w:header="992" w:footer="992" w:gutter="0"/>
          <w:cols w:space="720"/>
          <w:noEndnote/>
          <w:docGrid w:linePitch="299"/>
        </w:sectPr>
      </w:pPr>
    </w:p>
    <w:p w:rsidR="00000000" w:rsidRPr="002110E7" w:rsidP="002110E7">
      <w:pPr>
        <w:pStyle w:val="SuperHeading"/>
      </w:pPr>
      <w:r w:rsidRPr="002110E7">
        <w:t>Assessment Requirements for TLIX6049 Undertake provis</w:t>
      </w:r>
      <w:r w:rsidRPr="002110E7">
        <w:t>ioning in support of deployed operations</w:t>
      </w:r>
    </w:p>
    <w:p w:rsidR="00000000" w:rsidRPr="002110E7" w:rsidP="002110E7">
      <w:pPr>
        <w:pStyle w:val="Heading1"/>
      </w:pPr>
      <w:bookmarkStart w:id="11" w:name="O_755333"/>
      <w:bookmarkEnd w:id="11"/>
      <w:r w:rsidRPr="002110E7">
        <w:t>Modification History</w:t>
      </w:r>
    </w:p>
    <w:p w:rsidR="00CA612B" w:rsidP="00CA612B">
      <w:pPr>
        <w:pStyle w:val="BodyText"/>
      </w:pPr>
      <w:r w:rsidRPr="002110E7">
        <w:t>Release 1. This is the first release of this unit of competency in the TLI Transport and Logistics Training Package.</w:t>
      </w:r>
    </w:p>
    <w:p w:rsidR="00000000" w:rsidRPr="002110E7" w:rsidP="002110E7">
      <w:pPr>
        <w:pStyle w:val="Heading1"/>
      </w:pPr>
      <w:bookmarkStart w:id="12" w:name="O_755334"/>
      <w:bookmarkEnd w:id="12"/>
      <w:r w:rsidRPr="002110E7">
        <w:t>Performance Evidence</w:t>
      </w:r>
    </w:p>
    <w:tbl>
      <w:tblPr>
        <w:tblW w:w="0" w:type="auto"/>
        <w:tblCellMar>
          <w:left w:w="62" w:type="dxa"/>
          <w:right w:w="62" w:type="dxa"/>
        </w:tblCellMar>
        <w:tblLook w:val="0000"/>
      </w:tblPr>
      <w:tblGrid>
        <w:gridCol w:w="9196"/>
      </w:tblGrid>
      <w:tr w:rsidTr="00CA612B">
        <w:tblPrEx>
          <w:tblW w:w="0" w:type="auto"/>
          <w:tblCellMar>
            <w:left w:w="62" w:type="dxa"/>
            <w:right w:w="62" w:type="dxa"/>
          </w:tblCellMar>
          <w:tblLook w:val="0000"/>
        </w:tblPrEx>
        <w:trPr>
          <w:trHeight w:val="1057"/>
        </w:trPr>
        <w:tc>
          <w:tcPr>
            <w:tcW w:w="0" w:type="auto"/>
            <w:tcBorders>
              <w:top w:val="nil"/>
              <w:left w:val="nil"/>
              <w:bottom w:val="nil"/>
              <w:right w:val="nil"/>
            </w:tcBorders>
            <w:tcMar>
              <w:top w:w="0" w:type="dxa"/>
              <w:left w:w="62" w:type="dxa"/>
              <w:bottom w:w="0" w:type="dxa"/>
              <w:right w:w="62" w:type="dxa"/>
            </w:tcMar>
          </w:tcPr>
          <w:p w:rsidR="00000000" w:rsidP="002110E7">
            <w:pPr>
              <w:pStyle w:val="BodyText"/>
              <w:rPr>
                <w:lang w:val="en-NZ"/>
              </w:rPr>
            </w:pPr>
            <w:r w:rsidRPr="002110E7">
              <w:t>Evidence required to demonstrate competence in this unit must be relevant to and satisfy all of the requirements of the elements and performance criteria on at least one occasion and include:</w:t>
            </w:r>
          </w:p>
        </w:tc>
      </w:tr>
      <w:tr w:rsidTr="00CA612B">
        <w:tblPrEx>
          <w:tblW w:w="0" w:type="auto"/>
          <w:tblCellMar>
            <w:left w:w="62" w:type="dxa"/>
            <w:right w:w="62" w:type="dxa"/>
          </w:tblCellMar>
          <w:tblLook w:val="0000"/>
        </w:tblPrEx>
        <w:trPr>
          <w:trHeight w:val="993"/>
        </w:trPr>
        <w:tc>
          <w:tcPr>
            <w:tcW w:w="0" w:type="auto"/>
            <w:tcBorders>
              <w:top w:val="nil"/>
              <w:left w:val="nil"/>
              <w:bottom w:val="nil"/>
              <w:right w:val="nil"/>
            </w:tcBorders>
            <w:tcMar>
              <w:top w:w="0" w:type="dxa"/>
              <w:left w:w="62" w:type="dxa"/>
              <w:bottom w:w="0" w:type="dxa"/>
              <w:right w:w="62" w:type="dxa"/>
            </w:tcMar>
          </w:tcPr>
          <w:p w:rsidR="00000000" w:rsidRPr="002110E7" w:rsidP="002110E7">
            <w:pPr>
              <w:pStyle w:val="ListBullet"/>
            </w:pPr>
            <w:r w:rsidRPr="002110E7">
              <w:t>analysing and validating numerical information accurately and completing mathematical calculations</w:t>
            </w:r>
          </w:p>
          <w:p w:rsidR="00000000" w:rsidRPr="002110E7" w:rsidP="002110E7">
            <w:pPr>
              <w:pStyle w:val="ListBullet"/>
            </w:pPr>
            <w:r w:rsidRPr="002110E7">
              <w:t>analysing task complexities such as limitations, freedoms, vulnerabilities, time limitations</w:t>
            </w:r>
          </w:p>
          <w:p w:rsidR="00000000" w:rsidRPr="002110E7" w:rsidP="002110E7">
            <w:pPr>
              <w:pStyle w:val="ListBullet"/>
            </w:pPr>
            <w:r w:rsidRPr="002110E7">
              <w:t>applying a broad range of problem-solving strategies to planning</w:t>
            </w:r>
            <w:r w:rsidRPr="002110E7">
              <w:t xml:space="preserve"> outcomes</w:t>
            </w:r>
          </w:p>
          <w:p w:rsidR="00000000" w:rsidRPr="002110E7" w:rsidP="002110E7">
            <w:pPr>
              <w:pStyle w:val="ListBullet"/>
            </w:pPr>
            <w:r w:rsidRPr="002110E7">
              <w:t>calculating provisioning requirements of all classes of supply</w:t>
            </w:r>
          </w:p>
          <w:p w:rsidR="00000000" w:rsidRPr="002110E7" w:rsidP="002110E7">
            <w:pPr>
              <w:pStyle w:val="ListBullet"/>
            </w:pPr>
            <w:r w:rsidRPr="002110E7">
              <w:t>engaging with a range of stakeholders to research and collate provisioning information</w:t>
            </w:r>
          </w:p>
          <w:p w:rsidR="00000000" w:rsidRPr="002110E7" w:rsidP="002110E7">
            <w:pPr>
              <w:pStyle w:val="ListBullet"/>
            </w:pPr>
            <w:r w:rsidRPr="002110E7">
              <w:t>identifying accurately, inputs required to undertake provisioning in accordance with operational</w:t>
            </w:r>
            <w:r w:rsidRPr="002110E7">
              <w:t xml:space="preserve"> task </w:t>
            </w:r>
          </w:p>
          <w:p w:rsidR="00000000" w:rsidRPr="002110E7" w:rsidP="002110E7">
            <w:pPr>
              <w:pStyle w:val="ListBullet"/>
            </w:pPr>
            <w:r w:rsidRPr="002110E7">
              <w:t>interpreting policies and procedures</w:t>
            </w:r>
          </w:p>
          <w:p w:rsidR="00000000" w:rsidRPr="002110E7" w:rsidP="002110E7">
            <w:pPr>
              <w:pStyle w:val="ListBullet"/>
            </w:pPr>
            <w:r w:rsidRPr="002110E7">
              <w:t>interpreting policy and instructions, and applying this information to actions and tasks</w:t>
            </w:r>
          </w:p>
          <w:p w:rsidR="00000000" w:rsidRPr="002110E7" w:rsidP="002110E7">
            <w:pPr>
              <w:pStyle w:val="ListBullet"/>
            </w:pPr>
            <w:r w:rsidRPr="002110E7">
              <w:t>making informed decisions that align with organisational requirements</w:t>
            </w:r>
          </w:p>
          <w:p w:rsidR="00000000" w:rsidRPr="002110E7" w:rsidP="002110E7">
            <w:pPr>
              <w:pStyle w:val="ListBullet"/>
            </w:pPr>
            <w:r w:rsidRPr="002110E7">
              <w:t>managing own planning tasks in accordance with organi</w:t>
            </w:r>
            <w:r w:rsidRPr="002110E7">
              <w:t>sational requirements</w:t>
            </w:r>
          </w:p>
          <w:p w:rsidR="00000000" w:rsidRPr="002110E7" w:rsidP="002110E7">
            <w:pPr>
              <w:pStyle w:val="ListBullet"/>
            </w:pPr>
            <w:r w:rsidRPr="002110E7">
              <w:t>moving forward despite task difficulty</w:t>
            </w:r>
          </w:p>
          <w:p w:rsidR="00000000" w:rsidRPr="002110E7" w:rsidP="002110E7">
            <w:pPr>
              <w:pStyle w:val="ListBullet"/>
            </w:pPr>
            <w:r w:rsidRPr="002110E7">
              <w:t>preparing and issuing instructions that clearly communicate intent and tasks</w:t>
            </w:r>
          </w:p>
          <w:p w:rsidR="00000000" w:rsidRPr="002110E7" w:rsidP="002110E7">
            <w:pPr>
              <w:pStyle w:val="ListBullet"/>
            </w:pPr>
            <w:r w:rsidRPr="002110E7">
              <w:t>producing provisioning outputs required to support distribution planning</w:t>
            </w:r>
          </w:p>
          <w:p w:rsidR="00000000" w:rsidRPr="002110E7" w:rsidP="002110E7">
            <w:pPr>
              <w:pStyle w:val="ListBullet"/>
            </w:pPr>
            <w:r w:rsidRPr="002110E7">
              <w:t>undertaking analysis to determine where internal and external factors impact on logistics support requirements, and adjusting planning accordingly</w:t>
            </w:r>
          </w:p>
          <w:p w:rsidR="00000000" w:rsidRPr="002110E7" w:rsidP="002110E7">
            <w:pPr>
              <w:pStyle w:val="ListBullet"/>
            </w:pPr>
            <w:r w:rsidRPr="002110E7">
              <w:t>using appropriate information technology and software.</w:t>
            </w:r>
          </w:p>
        </w:tc>
      </w:tr>
    </w:tbl>
    <w:p w:rsidR="00000000" w:rsidRPr="002110E7" w:rsidP="002110E7">
      <w:pPr>
        <w:pStyle w:val="BodyText"/>
      </w:pPr>
    </w:p>
    <w:p w:rsidR="00000000" w:rsidRPr="002110E7" w:rsidP="002110E7">
      <w:pPr>
        <w:pStyle w:val="AllowPageBreak"/>
      </w:pPr>
    </w:p>
    <w:p w:rsidR="00000000" w:rsidRPr="002110E7" w:rsidP="002110E7">
      <w:pPr>
        <w:pStyle w:val="Heading1"/>
      </w:pPr>
      <w:bookmarkStart w:id="13" w:name="O_755335"/>
      <w:bookmarkEnd w:id="13"/>
      <w:r w:rsidRPr="002110E7">
        <w:t>Knowledge Evidence</w:t>
      </w:r>
    </w:p>
    <w:tbl>
      <w:tblPr>
        <w:tblW w:w="0" w:type="auto"/>
        <w:tblCellMar>
          <w:left w:w="62" w:type="dxa"/>
          <w:right w:w="62" w:type="dxa"/>
        </w:tblCellMar>
        <w:tblLook w:val="0000"/>
      </w:tblPr>
      <w:tblGrid>
        <w:gridCol w:w="9196"/>
      </w:tblGrid>
      <w:tr w:rsidTr="00CA612B">
        <w:tblPrEx>
          <w:tblW w:w="0" w:type="auto"/>
          <w:tblCellMar>
            <w:left w:w="62" w:type="dxa"/>
            <w:right w:w="62" w:type="dxa"/>
          </w:tblCellMar>
          <w:tblLook w:val="0000"/>
        </w:tblPrEx>
        <w:trPr>
          <w:trHeight w:val="1108"/>
        </w:trPr>
        <w:tc>
          <w:tcPr>
            <w:tcW w:w="0" w:type="auto"/>
            <w:tcBorders>
              <w:top w:val="nil"/>
              <w:left w:val="nil"/>
              <w:bottom w:val="nil"/>
              <w:right w:val="nil"/>
            </w:tcBorders>
            <w:tcMar>
              <w:top w:w="0" w:type="dxa"/>
              <w:left w:w="62" w:type="dxa"/>
              <w:bottom w:w="0" w:type="dxa"/>
              <w:right w:w="62" w:type="dxa"/>
            </w:tcMar>
          </w:tcPr>
          <w:p w:rsidR="00000000" w:rsidP="002110E7">
            <w:pPr>
              <w:pStyle w:val="BodyText"/>
              <w:rPr>
                <w:lang w:val="en-NZ"/>
              </w:rPr>
            </w:pPr>
            <w:r w:rsidRPr="002110E7">
              <w:t>Evidence require</w:t>
            </w:r>
            <w:r w:rsidRPr="002110E7">
              <w:t>d to demonstrate competence in this unit must be relevant to and satisfy all of the requirements of the elements and performance criteria and include knowledge of:</w:t>
            </w:r>
          </w:p>
        </w:tc>
      </w:tr>
      <w:tr w:rsidTr="00CA612B">
        <w:tblPrEx>
          <w:tblW w:w="0" w:type="auto"/>
          <w:tblCellMar>
            <w:left w:w="62" w:type="dxa"/>
            <w:right w:w="62" w:type="dxa"/>
          </w:tblCellMar>
          <w:tblLook w:val="0000"/>
        </w:tblPrEx>
        <w:trPr>
          <w:trHeight w:val="2715"/>
        </w:trPr>
        <w:tc>
          <w:tcPr>
            <w:tcW w:w="0" w:type="auto"/>
            <w:tcBorders>
              <w:top w:val="nil"/>
              <w:left w:val="nil"/>
              <w:bottom w:val="nil"/>
              <w:right w:val="nil"/>
            </w:tcBorders>
            <w:tcMar>
              <w:top w:w="0" w:type="dxa"/>
              <w:left w:w="62" w:type="dxa"/>
              <w:bottom w:w="0" w:type="dxa"/>
              <w:right w:w="62" w:type="dxa"/>
            </w:tcMar>
          </w:tcPr>
          <w:p w:rsidR="00000000" w:rsidRPr="002110E7" w:rsidP="002110E7">
            <w:pPr>
              <w:pStyle w:val="ListBullet"/>
            </w:pPr>
            <w:r w:rsidRPr="002110E7">
              <w:t>composition and capability of supply systems and installations</w:t>
            </w:r>
          </w:p>
          <w:p w:rsidR="00000000" w:rsidRPr="002110E7" w:rsidP="002110E7">
            <w:pPr>
              <w:pStyle w:val="ListBullet"/>
            </w:pPr>
            <w:r w:rsidRPr="002110E7">
              <w:t>environmental considerations in provisioning</w:t>
            </w:r>
          </w:p>
          <w:p w:rsidR="00000000" w:rsidRPr="002110E7" w:rsidP="002110E7">
            <w:pPr>
              <w:pStyle w:val="ListBullet"/>
            </w:pPr>
            <w:r w:rsidRPr="002110E7">
              <w:t>fundamentals of sustainment to deployed provisioning</w:t>
            </w:r>
          </w:p>
          <w:p w:rsidR="00000000" w:rsidRPr="002110E7" w:rsidP="002110E7">
            <w:pPr>
              <w:pStyle w:val="ListBullet"/>
            </w:pPr>
            <w:r w:rsidRPr="002110E7">
              <w:t>imperatives of supply</w:t>
            </w:r>
          </w:p>
          <w:p w:rsidR="00000000" w:rsidRPr="002110E7" w:rsidP="002110E7">
            <w:pPr>
              <w:pStyle w:val="ListBullet"/>
            </w:pPr>
            <w:r w:rsidRPr="002110E7">
              <w:t>logistics support concepts</w:t>
            </w:r>
          </w:p>
          <w:p w:rsidR="00000000" w:rsidRPr="002110E7" w:rsidP="002110E7">
            <w:pPr>
              <w:pStyle w:val="ListBullet"/>
            </w:pPr>
            <w:r w:rsidRPr="002110E7">
              <w:t>national support base that supports procurement</w:t>
            </w:r>
          </w:p>
          <w:p w:rsidR="00000000" w:rsidRPr="002110E7" w:rsidP="002110E7">
            <w:pPr>
              <w:pStyle w:val="ListBullet"/>
            </w:pPr>
            <w:r w:rsidRPr="002110E7">
              <w:t>organisation, its function and logistics support capabilities</w:t>
            </w:r>
          </w:p>
          <w:p w:rsidR="00000000" w:rsidRPr="002110E7" w:rsidP="002110E7">
            <w:pPr>
              <w:pStyle w:val="ListBullet"/>
            </w:pPr>
            <w:r w:rsidRPr="002110E7">
              <w:t>organisational policy and procedure relating to procurement and provisioning</w:t>
            </w:r>
          </w:p>
          <w:p w:rsidR="00000000" w:rsidRPr="002110E7" w:rsidP="002110E7">
            <w:pPr>
              <w:pStyle w:val="ListBullet"/>
            </w:pPr>
            <w:r w:rsidRPr="002110E7">
              <w:t>organisational role relevant to specialist logistics support</w:t>
            </w:r>
          </w:p>
          <w:p w:rsidR="00000000" w:rsidRPr="002110E7" w:rsidP="002110E7">
            <w:pPr>
              <w:pStyle w:val="ListBullet"/>
            </w:pPr>
            <w:r w:rsidRPr="002110E7">
              <w:t>organisational role relevant to specialist provisioning</w:t>
            </w:r>
          </w:p>
          <w:p w:rsidR="00000000" w:rsidRPr="002110E7" w:rsidP="002110E7">
            <w:pPr>
              <w:pStyle w:val="ListBullet"/>
            </w:pPr>
            <w:r w:rsidRPr="002110E7">
              <w:t>organisational writing conventions</w:t>
            </w:r>
          </w:p>
          <w:p w:rsidR="00000000" w:rsidRPr="002110E7" w:rsidP="002110E7">
            <w:pPr>
              <w:pStyle w:val="ListBullet"/>
            </w:pPr>
            <w:r w:rsidRPr="002110E7">
              <w:t>planning processes as they</w:t>
            </w:r>
            <w:r w:rsidRPr="002110E7">
              <w:t xml:space="preserve"> apply to deployed operations</w:t>
            </w:r>
          </w:p>
          <w:p w:rsidR="00000000" w:rsidRPr="002110E7" w:rsidP="002110E7">
            <w:pPr>
              <w:pStyle w:val="ListBullet"/>
            </w:pPr>
            <w:r w:rsidRPr="002110E7">
              <w:t>provisioning calculation processes</w:t>
            </w:r>
          </w:p>
          <w:p w:rsidR="00000000" w:rsidRPr="002110E7" w:rsidP="002110E7">
            <w:pPr>
              <w:pStyle w:val="ListBullet"/>
            </w:pPr>
            <w:r w:rsidRPr="002110E7">
              <w:t>relevant risk factors as they apply to deployed operations</w:t>
            </w:r>
          </w:p>
          <w:p w:rsidR="00000000" w:rsidRPr="002110E7" w:rsidP="002110E7">
            <w:pPr>
              <w:pStyle w:val="ListBullet"/>
            </w:pPr>
            <w:r w:rsidRPr="002110E7">
              <w:t>time and stockholding factors, and their effect on provisioning.</w:t>
            </w:r>
          </w:p>
        </w:tc>
      </w:tr>
    </w:tbl>
    <w:p w:rsidR="00000000" w:rsidRPr="002110E7" w:rsidP="002110E7">
      <w:pPr>
        <w:pStyle w:val="BodyText"/>
      </w:pPr>
    </w:p>
    <w:p w:rsidR="00000000" w:rsidRPr="002110E7" w:rsidP="002110E7">
      <w:pPr>
        <w:pStyle w:val="AllowPageBreak"/>
      </w:pPr>
    </w:p>
    <w:p w:rsidR="00000000" w:rsidRPr="002110E7" w:rsidP="002110E7">
      <w:pPr>
        <w:pStyle w:val="Heading1"/>
      </w:pPr>
      <w:bookmarkStart w:id="14" w:name="O_755336"/>
      <w:bookmarkEnd w:id="14"/>
      <w:r w:rsidRPr="002110E7">
        <w:t>Assessment Conditions</w:t>
      </w:r>
    </w:p>
    <w:tbl>
      <w:tblPr>
        <w:tblW w:w="0" w:type="auto"/>
        <w:tblCellMar>
          <w:left w:w="62" w:type="dxa"/>
          <w:right w:w="62" w:type="dxa"/>
        </w:tblCellMar>
        <w:tblLook w:val="0000"/>
      </w:tblPr>
      <w:tblGrid>
        <w:gridCol w:w="9196"/>
      </w:tblGrid>
      <w:tr w:rsidTr="00CA612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2110E7" w:rsidP="002110E7">
            <w:pPr>
              <w:pStyle w:val="BodyText"/>
            </w:pPr>
            <w:r w:rsidRPr="002110E7">
              <w:t xml:space="preserve">As a minimum, assessors must satisfy applicable regulatory requirements, which include requirements in the </w:t>
            </w:r>
            <w:r w:rsidRPr="002110E7">
              <w:rPr>
                <w:rStyle w:val="Emphasis"/>
              </w:rPr>
              <w:t>Standards for Registered Training Organisations</w:t>
            </w:r>
            <w:r w:rsidRPr="002110E7">
              <w:t xml:space="preserve"> current at the time of assessment. </w:t>
            </w:r>
          </w:p>
          <w:p w:rsidR="00000000" w:rsidRPr="002110E7" w:rsidP="002110E7">
            <w:pPr>
              <w:pStyle w:val="BodyText"/>
            </w:pPr>
            <w:r w:rsidRPr="002110E7">
              <w:t>As a minimum, assessment must satisfy applicable regulatory requi</w:t>
            </w:r>
            <w:r w:rsidRPr="002110E7">
              <w:t xml:space="preserve">rements, which include requirements in the </w:t>
            </w:r>
            <w:r w:rsidRPr="002110E7">
              <w:rPr>
                <w:rStyle w:val="Emphasis"/>
              </w:rPr>
              <w:t>Standards for Registered Training Organisations</w:t>
            </w:r>
            <w:r w:rsidRPr="002110E7">
              <w:t xml:space="preserve"> current at the time of assessment.</w:t>
            </w:r>
          </w:p>
          <w:p w:rsidR="00000000" w:rsidRPr="002110E7" w:rsidP="002110E7">
            <w:pPr>
              <w:pStyle w:val="BodyText"/>
            </w:pPr>
            <w:r w:rsidRPr="002110E7">
              <w:t>Assessment must occur in workplace operational situations where it is appropriate to do so; where this is not appropriate, assessm</w:t>
            </w:r>
            <w:r w:rsidRPr="002110E7">
              <w:t xml:space="preserve">ent must occur in simulated workplace operational situations that replicate workplace conditions. </w:t>
            </w:r>
          </w:p>
          <w:p w:rsidR="00000000" w:rsidRPr="002110E7" w:rsidP="002110E7">
            <w:pPr>
              <w:pStyle w:val="BodyText"/>
            </w:pPr>
            <w:r w:rsidRPr="002110E7">
              <w:t xml:space="preserve">Assessment processes and techniques must be appropriate to the language, literacy and numeracy requirements of the work being performed and the needs of the </w:t>
            </w:r>
            <w:r w:rsidRPr="002110E7">
              <w:t>candidate.</w:t>
            </w:r>
          </w:p>
          <w:p w:rsidR="00000000" w:rsidRPr="002110E7" w:rsidP="002110E7">
            <w:pPr>
              <w:pStyle w:val="BodyText"/>
            </w:pPr>
            <w:r w:rsidRPr="002110E7">
              <w:t>Resources for assessment include:</w:t>
            </w:r>
          </w:p>
          <w:p w:rsidR="00000000" w:rsidRPr="002110E7" w:rsidP="002110E7">
            <w:pPr>
              <w:pStyle w:val="ListBullet"/>
            </w:pPr>
            <w:r w:rsidRPr="002110E7">
              <w:t>a range of relevant exercises, case studies and/or simulations</w:t>
            </w:r>
          </w:p>
          <w:p w:rsidR="00000000" w:rsidRPr="002110E7" w:rsidP="002110E7">
            <w:pPr>
              <w:pStyle w:val="ListBullet"/>
            </w:pPr>
            <w:r w:rsidRPr="002110E7">
              <w:t xml:space="preserve">relevant and appropriate materials, tools, equipment and personal protective equipment currently used in industry </w:t>
            </w:r>
          </w:p>
          <w:p w:rsidR="00000000" w:rsidRPr="002110E7" w:rsidP="002110E7">
            <w:pPr>
              <w:pStyle w:val="ListBullet"/>
            </w:pPr>
            <w:r w:rsidRPr="002110E7">
              <w:t>applicable documentation includi</w:t>
            </w:r>
            <w:r w:rsidRPr="002110E7">
              <w:t>ng workplace procedures, regulations, codes of practice and operation manuals.</w:t>
            </w:r>
          </w:p>
        </w:tc>
      </w:tr>
    </w:tbl>
    <w:p w:rsidR="00CA612B" w:rsidP="002110E7">
      <w:pPr>
        <w:pStyle w:val="BodyText"/>
      </w:pPr>
    </w:p>
    <w:p w:rsidR="00CA612B" w:rsidP="002110E7">
      <w:pPr>
        <w:pStyle w:val="BodyText"/>
      </w:pPr>
    </w:p>
    <w:p w:rsidR="00000000" w:rsidRPr="002110E7" w:rsidP="002110E7">
      <w:pPr>
        <w:pStyle w:val="Heading1"/>
      </w:pPr>
      <w:bookmarkStart w:id="15" w:name="O_755339"/>
      <w:bookmarkEnd w:id="15"/>
      <w:r w:rsidRPr="002110E7">
        <w:t>Links</w:t>
      </w:r>
    </w:p>
    <w:p w:rsidR="00000000" w:rsidRPr="002110E7" w:rsidP="00CA612B">
      <w:pPr>
        <w:pStyle w:val="BodyText"/>
      </w:pPr>
      <w:r w:rsidRPr="002110E7">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53474E">
        <w:rPr>
          <w:rStyle w:val="Hyperlink"/>
        </w:rPr>
        <w:t>https://vetnet.gov.au/Pages/TrainingDocs.aspx?q=df441c6e-213d-43e3-874c-0b3f7036d851</w:t>
      </w:r>
      <w:r>
        <w:fldChar w:fldCharType="end"/>
      </w:r>
    </w:p>
    <w:p w:rsidR="00000000" w:rsidRPr="002110E7" w:rsidP="002110E7"/>
    <w:sectPr w:rsidSect="002110E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10E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10E7" w:rsidRPr="00CA612B" w:rsidP="00CA612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10E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612B" w:rsidP="002110E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A612B" w:rsidP="002110E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CA612B" w:rsidP="002110E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10E7" w:rsidP="002110E7">
    <w:pPr>
      <w:pStyle w:val="Footer"/>
      <w:framePr w:wrap="around"/>
    </w:pPr>
    <w:r>
      <w:fldChar w:fldCharType="begin"/>
    </w:r>
    <w:r>
      <w:instrText xml:space="preserve"> DOCPROPERTY  Subject  \* MERGEFORMAT </w:instrText>
    </w:r>
    <w:r>
      <w:fldChar w:fldCharType="separate"/>
    </w:r>
    <w:r w:rsidR="00CA612B">
      <w:t>Approved</w:t>
    </w:r>
    <w:r w:rsidR="00CA612B">
      <w:fldChar w:fldCharType="end"/>
    </w:r>
    <w:r>
      <w:tab/>
      <w:t xml:space="preserve">Page </w:t>
    </w:r>
    <w:r>
      <w:fldChar w:fldCharType="begin"/>
    </w:r>
    <w:r>
      <w:instrText xml:space="preserve"> PAGE  \* Arabic  \* MERGEFORMAT </w:instrText>
    </w:r>
    <w:r>
      <w:fldChar w:fldCharType="separate"/>
    </w:r>
    <w:r w:rsidR="00CA612B">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A612B">
      <w:rPr>
        <w:noProof/>
      </w:rPr>
      <w:t>4</w:t>
    </w:r>
    <w:r>
      <w:rPr>
        <w:noProof/>
      </w:rPr>
      <w:fldChar w:fldCharType="end"/>
    </w:r>
  </w:p>
  <w:p w:rsidR="002110E7" w:rsidP="002110E7">
    <w:pPr>
      <w:pStyle w:val="Footer"/>
      <w:framePr w:wrap="around"/>
    </w:pPr>
    <w:r>
      <w:t xml:space="preserve">© Commonwealth of Australia, </w:t>
    </w:r>
    <w:r>
      <w:fldChar w:fldCharType="begin"/>
    </w:r>
    <w:r>
      <w:instrText xml:space="preserve"> DATE  \@ "yyyy"  \* MERGEFORMAT </w:instrText>
    </w:r>
    <w:r>
      <w:fldChar w:fldCharType="separate"/>
    </w:r>
    <w:r w:rsidR="00CA612B">
      <w:rPr>
        <w:noProof/>
      </w:rPr>
      <w:t>2025</w:t>
    </w:r>
    <w:r>
      <w:fldChar w:fldCharType="end"/>
    </w:r>
    <w:r>
      <w:tab/>
    </w:r>
    <w:r>
      <w:fldChar w:fldCharType="begin"/>
    </w:r>
    <w:r>
      <w:instrText xml:space="preserve"> DOCPROPERTY  Author  \* MERGEFORMAT </w:instrText>
    </w:r>
    <w:r>
      <w:fldChar w:fldCharType="separate"/>
    </w:r>
    <w:r w:rsidR="00CA612B">
      <w:t>Industry Skills Australia</w:t>
    </w:r>
    <w:r w:rsidR="00CA612B">
      <w:fldChar w:fldCharType="end"/>
    </w:r>
  </w:p>
  <w:p w:rsidR="002110E7" w:rsidP="002110E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10E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612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110E7" w:rsidRPr="00CA612B" w:rsidP="00CA612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10E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612B" w:rsidRPr="002D2AF8" w:rsidP="002110E7">
    <w:pPr>
      <w:pStyle w:val="Header"/>
      <w:framePr w:wrap="around"/>
    </w:pPr>
    <w:r>
      <w:fldChar w:fldCharType="begin"/>
    </w:r>
    <w:r>
      <w:instrText xml:space="preserve"> TITLE   \* MERGEFORMAT </w:instrText>
    </w:r>
    <w:r>
      <w:fldChar w:fldCharType="separate"/>
    </w:r>
    <w:r>
      <w:t>TLIX6049 Undertake provisioning in support of deployed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A612B" w:rsidP="002110E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10E7" w:rsidRPr="002D2AF8" w:rsidP="002110E7">
    <w:pPr>
      <w:pStyle w:val="Header"/>
      <w:framePr w:wrap="around"/>
    </w:pPr>
    <w:r>
      <w:fldChar w:fldCharType="begin"/>
    </w:r>
    <w:r>
      <w:instrText xml:space="preserve"> TITLE   \* MERGEFORMAT </w:instrText>
    </w:r>
    <w:r>
      <w:fldChar w:fldCharType="separate"/>
    </w:r>
    <w:r w:rsidR="00CA612B">
      <w:t>TLIX6049 Undertake provisioning in support of deployed operations</w:t>
    </w:r>
    <w:r w:rsidR="00CA612B">
      <w:fldChar w:fldCharType="end"/>
    </w:r>
    <w:r>
      <w:tab/>
      <w:t xml:space="preserve">Date this document was generated: </w:t>
    </w:r>
    <w:r>
      <w:fldChar w:fldCharType="begin"/>
    </w:r>
    <w:r>
      <w:instrText xml:space="preserve"> CREATEDATE  \@ "d MMMM yyyy"  \* MERGEFORMAT </w:instrText>
    </w:r>
    <w:r>
      <w:fldChar w:fldCharType="separate"/>
    </w:r>
    <w:r w:rsidR="00CA612B">
      <w:rPr>
        <w:noProof/>
      </w:rPr>
      <w:t>2 March 2025</w:t>
    </w:r>
    <w:r>
      <w:fldChar w:fldCharType="end"/>
    </w:r>
  </w:p>
  <w:p w:rsidR="002110E7" w:rsidP="002110E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C8C085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CB6C79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110E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110E7"/>
    <w:pPr>
      <w:spacing w:before="360" w:after="60"/>
      <w:outlineLvl w:val="0"/>
    </w:pPr>
    <w:rPr>
      <w:sz w:val="32"/>
    </w:rPr>
  </w:style>
  <w:style w:type="paragraph" w:styleId="Heading2">
    <w:name w:val="heading 2"/>
    <w:basedOn w:val="HeadingBase"/>
    <w:next w:val="BodyText"/>
    <w:link w:val="Heading2Char"/>
    <w:qFormat/>
    <w:rsid w:val="002110E7"/>
    <w:pPr>
      <w:keepLines/>
      <w:spacing w:before="240" w:after="120"/>
      <w:outlineLvl w:val="1"/>
    </w:pPr>
    <w:rPr>
      <w:sz w:val="28"/>
      <w:szCs w:val="40"/>
    </w:rPr>
  </w:style>
  <w:style w:type="paragraph" w:styleId="Heading3">
    <w:name w:val="heading 3"/>
    <w:basedOn w:val="HeadingBase"/>
    <w:next w:val="BodyText"/>
    <w:link w:val="Heading3Char"/>
    <w:qFormat/>
    <w:rsid w:val="002110E7"/>
    <w:pPr>
      <w:spacing w:before="180" w:after="120"/>
      <w:outlineLvl w:val="2"/>
    </w:pPr>
    <w:rPr>
      <w:spacing w:val="-10"/>
      <w:kern w:val="32"/>
    </w:rPr>
  </w:style>
  <w:style w:type="paragraph" w:styleId="Heading4">
    <w:name w:val="heading 4"/>
    <w:basedOn w:val="HeadingBase"/>
    <w:next w:val="BodyText"/>
    <w:link w:val="Heading4Char"/>
    <w:qFormat/>
    <w:rsid w:val="002110E7"/>
    <w:pPr>
      <w:spacing w:before="160" w:after="120"/>
      <w:outlineLvl w:val="3"/>
    </w:pPr>
    <w:rPr>
      <w:sz w:val="22"/>
    </w:rPr>
  </w:style>
  <w:style w:type="paragraph" w:styleId="Heading5">
    <w:name w:val="heading 5"/>
    <w:basedOn w:val="HeadingBase"/>
    <w:next w:val="Normal"/>
    <w:link w:val="Heading5Char"/>
    <w:qFormat/>
    <w:rsid w:val="002110E7"/>
    <w:pPr>
      <w:spacing w:before="80"/>
      <w:outlineLvl w:val="4"/>
    </w:pPr>
    <w:rPr>
      <w:color w:val="918585"/>
      <w:sz w:val="20"/>
    </w:rPr>
  </w:style>
  <w:style w:type="paragraph" w:styleId="Heading6">
    <w:name w:val="heading 6"/>
    <w:basedOn w:val="HeadingBase"/>
    <w:next w:val="Normal"/>
    <w:link w:val="Heading6Char"/>
    <w:qFormat/>
    <w:rsid w:val="002110E7"/>
    <w:pPr>
      <w:spacing w:before="60"/>
      <w:outlineLvl w:val="5"/>
    </w:pPr>
    <w:rPr>
      <w:color w:val="918585"/>
      <w:sz w:val="20"/>
    </w:rPr>
  </w:style>
  <w:style w:type="paragraph" w:styleId="Heading7">
    <w:name w:val="heading 7"/>
    <w:basedOn w:val="Normal"/>
    <w:next w:val="Normal"/>
    <w:link w:val="Heading7Char"/>
    <w:qFormat/>
    <w:rsid w:val="002110E7"/>
    <w:pPr>
      <w:ind w:left="720"/>
      <w:outlineLvl w:val="6"/>
    </w:pPr>
    <w:rPr>
      <w:i/>
    </w:rPr>
  </w:style>
  <w:style w:type="paragraph" w:styleId="Heading8">
    <w:name w:val="heading 8"/>
    <w:basedOn w:val="Normal"/>
    <w:next w:val="Normal"/>
    <w:link w:val="Heading8Char"/>
    <w:qFormat/>
    <w:rsid w:val="002110E7"/>
    <w:pPr>
      <w:ind w:left="720"/>
      <w:outlineLvl w:val="7"/>
    </w:pPr>
    <w:rPr>
      <w:i/>
    </w:rPr>
  </w:style>
  <w:style w:type="paragraph" w:styleId="Heading9">
    <w:name w:val="heading 9"/>
    <w:basedOn w:val="Normal"/>
    <w:next w:val="Normal"/>
    <w:link w:val="Heading9Char"/>
    <w:qFormat/>
    <w:rsid w:val="002110E7"/>
    <w:pPr>
      <w:ind w:left="720"/>
      <w:outlineLvl w:val="8"/>
    </w:pPr>
    <w:rPr>
      <w:i/>
    </w:rPr>
  </w:style>
  <w:style w:type="character" w:default="1" w:styleId="DefaultParagraphFont">
    <w:name w:val="Default Paragraph Font"/>
    <w:uiPriority w:val="1"/>
    <w:unhideWhenUsed/>
    <w:rsid w:val="002110E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110E7"/>
  </w:style>
  <w:style w:type="character" w:customStyle="1" w:styleId="Heading1Char">
    <w:name w:val="Heading 1 Char"/>
    <w:basedOn w:val="DefaultParagraphFont"/>
    <w:link w:val="Heading1"/>
    <w:rsid w:val="002110E7"/>
    <w:rPr>
      <w:rFonts w:ascii="Times New Roman" w:eastAsia="Times New Roman" w:hAnsi="Times New Roman" w:cs="Times New Roman"/>
      <w:b/>
      <w:sz w:val="32"/>
      <w:szCs w:val="20"/>
      <w:lang w:eastAsia="en-US"/>
    </w:rPr>
  </w:style>
  <w:style w:type="paragraph" w:styleId="BodyText">
    <w:name w:val="Body Text"/>
    <w:basedOn w:val="Normal"/>
    <w:link w:val="BodyTextChar"/>
    <w:rsid w:val="002110E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110E7"/>
    <w:rPr>
      <w:rFonts w:ascii="Times New Roman" w:eastAsia="Times New Roman" w:hAnsi="Times New Roman" w:cs="Times New Roman"/>
      <w:sz w:val="24"/>
      <w:lang w:eastAsia="en-US"/>
    </w:rPr>
  </w:style>
  <w:style w:type="paragraph" w:styleId="ListBullet">
    <w:name w:val="List Bullet"/>
    <w:basedOn w:val="List"/>
    <w:rsid w:val="002110E7"/>
    <w:pPr>
      <w:numPr>
        <w:numId w:val="11"/>
      </w:numPr>
      <w:tabs>
        <w:tab w:val="clear" w:pos="340"/>
      </w:tabs>
      <w:spacing w:before="40" w:after="40"/>
    </w:pPr>
  </w:style>
  <w:style w:type="character" w:customStyle="1" w:styleId="SpecialBold">
    <w:name w:val="Special Bold"/>
    <w:basedOn w:val="DefaultParagraphFont"/>
    <w:rsid w:val="002110E7"/>
    <w:rPr>
      <w:b/>
      <w:spacing w:val="0"/>
    </w:rPr>
  </w:style>
  <w:style w:type="character" w:styleId="Emphasis">
    <w:name w:val="Emphasis"/>
    <w:basedOn w:val="DefaultParagraphFont"/>
    <w:qFormat/>
    <w:rsid w:val="002110E7"/>
    <w:rPr>
      <w:i/>
    </w:rPr>
  </w:style>
  <w:style w:type="paragraph" w:customStyle="1" w:styleId="SuperHeading">
    <w:name w:val="SuperHeading"/>
    <w:basedOn w:val="Normal"/>
    <w:rsid w:val="002110E7"/>
    <w:pPr>
      <w:spacing w:before="240" w:after="120"/>
      <w:outlineLvl w:val="0"/>
    </w:pPr>
    <w:rPr>
      <w:rFonts w:ascii="Times New Roman" w:hAnsi="Times New Roman"/>
      <w:b/>
      <w:sz w:val="32"/>
    </w:rPr>
  </w:style>
  <w:style w:type="paragraph" w:customStyle="1" w:styleId="AllowPageBreak">
    <w:name w:val="AllowPageBreak"/>
    <w:rsid w:val="002110E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110E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110E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110E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110E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110E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110E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110E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110E7"/>
    <w:rPr>
      <w:rFonts w:ascii="Courier New" w:eastAsia="Times New Roman" w:hAnsi="Courier New" w:cs="Times New Roman"/>
      <w:i/>
      <w:szCs w:val="20"/>
      <w:lang w:eastAsia="en-US"/>
    </w:rPr>
  </w:style>
  <w:style w:type="paragraph" w:customStyle="1" w:styleId="HeadingBase">
    <w:name w:val="Heading Base"/>
    <w:rsid w:val="002110E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110E7"/>
    <w:pPr>
      <w:tabs>
        <w:tab w:val="right" w:leader="dot" w:pos="9072"/>
      </w:tabs>
      <w:ind w:left="567"/>
    </w:pPr>
    <w:rPr>
      <w:szCs w:val="22"/>
    </w:rPr>
  </w:style>
  <w:style w:type="paragraph" w:customStyle="1" w:styleId="TOCBase">
    <w:name w:val="TOC Base"/>
    <w:rsid w:val="002110E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110E7"/>
    <w:pPr>
      <w:tabs>
        <w:tab w:val="right" w:leader="dot" w:pos="9072"/>
      </w:tabs>
      <w:spacing w:before="40" w:after="40"/>
      <w:ind w:left="284"/>
    </w:pPr>
    <w:rPr>
      <w:rFonts w:ascii="Times New Roman" w:hAnsi="Times New Roman"/>
    </w:rPr>
  </w:style>
  <w:style w:type="paragraph" w:styleId="TOC1">
    <w:name w:val="toc 1"/>
    <w:basedOn w:val="TOCBase"/>
    <w:next w:val="Normal"/>
    <w:rsid w:val="002110E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110E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110E7"/>
    <w:rPr>
      <w:rFonts w:ascii="Times New Roman" w:eastAsia="Times New Roman" w:hAnsi="Times New Roman" w:cs="Times New Roman"/>
      <w:sz w:val="16"/>
      <w:lang w:eastAsia="en-US"/>
    </w:rPr>
  </w:style>
  <w:style w:type="paragraph" w:styleId="Title">
    <w:name w:val="Title"/>
    <w:basedOn w:val="HeadingBase"/>
    <w:link w:val="TitleChar"/>
    <w:qFormat/>
    <w:rsid w:val="002110E7"/>
    <w:pPr>
      <w:spacing w:before="5040"/>
      <w:jc w:val="center"/>
    </w:pPr>
    <w:rPr>
      <w:sz w:val="48"/>
      <w:szCs w:val="72"/>
      <w:lang w:val="en-US"/>
    </w:rPr>
  </w:style>
  <w:style w:type="character" w:customStyle="1" w:styleId="TitleChar">
    <w:name w:val="Title Char"/>
    <w:basedOn w:val="DefaultParagraphFont"/>
    <w:link w:val="Title"/>
    <w:rsid w:val="002110E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110E7"/>
    <w:pPr>
      <w:tabs>
        <w:tab w:val="left" w:pos="3600"/>
        <w:tab w:val="left" w:pos="3958"/>
      </w:tabs>
    </w:pPr>
  </w:style>
  <w:style w:type="paragraph" w:styleId="List">
    <w:name w:val="List"/>
    <w:basedOn w:val="BodyText"/>
    <w:next w:val="BodyText"/>
    <w:rsid w:val="002110E7"/>
    <w:pPr>
      <w:tabs>
        <w:tab w:val="left" w:pos="340"/>
      </w:tabs>
      <w:spacing w:before="60" w:after="60"/>
      <w:ind w:left="340" w:hanging="340"/>
    </w:pPr>
  </w:style>
  <w:style w:type="paragraph" w:customStyle="1" w:styleId="Note">
    <w:name w:val="Note"/>
    <w:basedOn w:val="BodyText"/>
    <w:rsid w:val="002110E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110E7"/>
    <w:pPr>
      <w:framePr w:wrap="auto" w:hAnchor="text" w:y="6049"/>
    </w:pPr>
    <w:rPr>
      <w:color w:val="000000"/>
      <w:sz w:val="40"/>
    </w:rPr>
  </w:style>
  <w:style w:type="paragraph" w:customStyle="1" w:styleId="TOCTitle">
    <w:name w:val="TOCTitle"/>
    <w:basedOn w:val="Heading1"/>
    <w:rsid w:val="002110E7"/>
    <w:pPr>
      <w:spacing w:after="240"/>
      <w:jc w:val="center"/>
      <w:outlineLvl w:val="9"/>
    </w:pPr>
    <w:rPr>
      <w:caps/>
    </w:rPr>
  </w:style>
  <w:style w:type="paragraph" w:customStyle="1" w:styleId="Version">
    <w:name w:val="Version"/>
    <w:rsid w:val="002110E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110E7"/>
    <w:pPr>
      <w:numPr>
        <w:numId w:val="12"/>
      </w:numPr>
      <w:tabs>
        <w:tab w:val="clear" w:pos="680"/>
      </w:tabs>
    </w:pPr>
  </w:style>
  <w:style w:type="paragraph" w:styleId="Index1">
    <w:name w:val="index 1"/>
    <w:basedOn w:val="Normal"/>
    <w:next w:val="Normal"/>
    <w:semiHidden/>
    <w:rsid w:val="002110E7"/>
    <w:pPr>
      <w:keepNext w:val="0"/>
      <w:tabs>
        <w:tab w:val="right" w:pos="4176"/>
      </w:tabs>
      <w:ind w:left="198" w:hanging="198"/>
    </w:pPr>
    <w:rPr>
      <w:rFonts w:ascii="Garamond" w:hAnsi="Garamond"/>
    </w:rPr>
  </w:style>
  <w:style w:type="paragraph" w:styleId="IndexHeading">
    <w:name w:val="index heading"/>
    <w:basedOn w:val="Normal"/>
    <w:next w:val="Index1"/>
    <w:semiHidden/>
    <w:rsid w:val="002110E7"/>
    <w:pPr>
      <w:spacing w:before="120" w:after="120"/>
    </w:pPr>
    <w:rPr>
      <w:rFonts w:ascii="Arial" w:hAnsi="Arial"/>
      <w:b/>
      <w:color w:val="918585"/>
      <w:sz w:val="24"/>
    </w:rPr>
  </w:style>
  <w:style w:type="paragraph" w:styleId="Header">
    <w:name w:val="header"/>
    <w:basedOn w:val="Normal"/>
    <w:link w:val="HeaderChar"/>
    <w:rsid w:val="002110E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110E7"/>
    <w:rPr>
      <w:rFonts w:ascii="Times New Roman" w:eastAsia="Times New Roman" w:hAnsi="Times New Roman" w:cs="Times New Roman"/>
      <w:sz w:val="16"/>
      <w:szCs w:val="20"/>
      <w:lang w:val="en-GB" w:eastAsia="en-US"/>
    </w:rPr>
  </w:style>
  <w:style w:type="paragraph" w:customStyle="1" w:styleId="Chapter">
    <w:name w:val="Chapter"/>
    <w:basedOn w:val="Normal"/>
    <w:rsid w:val="002110E7"/>
    <w:pPr>
      <w:spacing w:before="240"/>
    </w:pPr>
    <w:rPr>
      <w:rFonts w:ascii="Times New Roman" w:hAnsi="Times New Roman"/>
      <w:smallCaps/>
      <w:spacing w:val="80"/>
      <w:sz w:val="28"/>
    </w:rPr>
  </w:style>
  <w:style w:type="paragraph" w:customStyle="1" w:styleId="InChapter">
    <w:name w:val="InChapter"/>
    <w:basedOn w:val="Heading3"/>
    <w:rsid w:val="002110E7"/>
    <w:pPr>
      <w:spacing w:after="240"/>
      <w:outlineLvl w:val="9"/>
    </w:pPr>
    <w:rPr>
      <w:noProof/>
    </w:rPr>
  </w:style>
  <w:style w:type="paragraph" w:styleId="Index2">
    <w:name w:val="index 2"/>
    <w:basedOn w:val="Normal"/>
    <w:next w:val="Normal"/>
    <w:semiHidden/>
    <w:rsid w:val="002110E7"/>
    <w:pPr>
      <w:tabs>
        <w:tab w:val="right" w:pos="4176"/>
      </w:tabs>
      <w:ind w:left="568" w:hanging="284"/>
    </w:pPr>
    <w:rPr>
      <w:rFonts w:ascii="Garamond" w:hAnsi="Garamond"/>
    </w:rPr>
  </w:style>
  <w:style w:type="paragraph" w:customStyle="1" w:styleId="Byline">
    <w:name w:val="Byline"/>
    <w:rsid w:val="002110E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110E7"/>
    <w:pPr>
      <w:tabs>
        <w:tab w:val="clear" w:pos="3600"/>
        <w:tab w:val="clear" w:pos="3958"/>
      </w:tabs>
      <w:jc w:val="right"/>
    </w:pPr>
  </w:style>
  <w:style w:type="paragraph" w:styleId="Caption">
    <w:name w:val="caption"/>
    <w:basedOn w:val="BodyText"/>
    <w:next w:val="Normal"/>
    <w:qFormat/>
    <w:rsid w:val="002110E7"/>
    <w:pPr>
      <w:framePr w:w="2268" w:hSpace="181" w:vSpace="181" w:wrap="around" w:vAnchor="text" w:hAnchor="page" w:x="1135" w:y="285" w:anchorLock="1"/>
    </w:pPr>
    <w:rPr>
      <w:i/>
    </w:rPr>
  </w:style>
  <w:style w:type="paragraph" w:customStyle="1" w:styleId="MiniTOCTitle">
    <w:name w:val="MiniTOCTitle"/>
    <w:basedOn w:val="Heading4"/>
    <w:rsid w:val="002110E7"/>
    <w:pPr>
      <w:spacing w:before="240"/>
      <w:outlineLvl w:val="9"/>
    </w:pPr>
    <w:rPr>
      <w:noProof/>
      <w:sz w:val="24"/>
    </w:rPr>
  </w:style>
  <w:style w:type="paragraph" w:customStyle="1" w:styleId="MiniTOCItem">
    <w:name w:val="MiniTOCItem"/>
    <w:basedOn w:val="ListBullet"/>
    <w:rsid w:val="002110E7"/>
    <w:pPr>
      <w:numPr>
        <w:numId w:val="0"/>
      </w:numPr>
      <w:tabs>
        <w:tab w:val="right" w:leader="dot" w:pos="6521"/>
      </w:tabs>
      <w:spacing w:before="0" w:after="0"/>
    </w:pPr>
  </w:style>
  <w:style w:type="paragraph" w:customStyle="1" w:styleId="TOFTitle">
    <w:name w:val="TOFTitle"/>
    <w:basedOn w:val="TOCTitle"/>
    <w:rsid w:val="002110E7"/>
  </w:style>
  <w:style w:type="paragraph" w:styleId="TableofFigures">
    <w:name w:val="table of figures"/>
    <w:basedOn w:val="Normal"/>
    <w:next w:val="Normal"/>
    <w:semiHidden/>
    <w:rsid w:val="002110E7"/>
    <w:pPr>
      <w:tabs>
        <w:tab w:val="right" w:leader="dot" w:pos="9072"/>
      </w:tabs>
      <w:ind w:left="970" w:hanging="403"/>
    </w:pPr>
    <w:rPr>
      <w:rFonts w:ascii="Times New Roman" w:hAnsi="Times New Roman"/>
      <w:b/>
    </w:rPr>
  </w:style>
  <w:style w:type="paragraph" w:styleId="ListNumber">
    <w:name w:val="List Number"/>
    <w:basedOn w:val="List"/>
    <w:rsid w:val="002110E7"/>
    <w:pPr>
      <w:numPr>
        <w:numId w:val="14"/>
      </w:numPr>
      <w:tabs>
        <w:tab w:val="clear" w:pos="340"/>
      </w:tabs>
    </w:pPr>
  </w:style>
  <w:style w:type="character" w:customStyle="1" w:styleId="WingdingSymbols">
    <w:name w:val="Wingding Symbols"/>
    <w:rsid w:val="002110E7"/>
    <w:rPr>
      <w:rFonts w:ascii="Wingdings" w:hAnsi="Wingdings"/>
    </w:rPr>
  </w:style>
  <w:style w:type="paragraph" w:customStyle="1" w:styleId="TableHeading">
    <w:name w:val="Table Heading"/>
    <w:basedOn w:val="HeadingBase"/>
    <w:rsid w:val="002110E7"/>
    <w:pPr>
      <w:keepLines/>
      <w:pBdr>
        <w:bottom w:val="single" w:sz="6" w:space="1" w:color="918585"/>
      </w:pBdr>
      <w:spacing w:before="240"/>
    </w:pPr>
  </w:style>
  <w:style w:type="character" w:customStyle="1" w:styleId="HotSpot">
    <w:name w:val="HotSpot"/>
    <w:rsid w:val="002110E7"/>
    <w:rPr>
      <w:color w:val="0033CC"/>
      <w:u w:val="none"/>
    </w:rPr>
  </w:style>
  <w:style w:type="paragraph" w:customStyle="1" w:styleId="BodyTextRight">
    <w:name w:val="Body Text Right"/>
    <w:basedOn w:val="BodyText"/>
    <w:rsid w:val="002110E7"/>
    <w:pPr>
      <w:spacing w:before="0" w:after="0"/>
      <w:jc w:val="right"/>
    </w:pPr>
  </w:style>
  <w:style w:type="paragraph" w:styleId="Index3">
    <w:name w:val="index 3"/>
    <w:basedOn w:val="ListNumber2"/>
    <w:next w:val="Normal"/>
    <w:semiHidden/>
    <w:rsid w:val="002110E7"/>
    <w:pPr>
      <w:numPr>
        <w:numId w:val="0"/>
      </w:numPr>
      <w:tabs>
        <w:tab w:val="right" w:leader="dot" w:pos="4176"/>
      </w:tabs>
    </w:pPr>
  </w:style>
  <w:style w:type="paragraph" w:styleId="ListNumber2">
    <w:name w:val="List Number 2"/>
    <w:basedOn w:val="List2"/>
    <w:rsid w:val="002110E7"/>
    <w:pPr>
      <w:numPr>
        <w:numId w:val="9"/>
      </w:numPr>
      <w:tabs>
        <w:tab w:val="clear" w:pos="1060"/>
      </w:tabs>
    </w:pPr>
  </w:style>
  <w:style w:type="paragraph" w:customStyle="1" w:styleId="MarginNote">
    <w:name w:val="Margin Note"/>
    <w:basedOn w:val="BodyText"/>
    <w:rsid w:val="002110E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110E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110E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110E7"/>
    <w:rPr>
      <w:sz w:val="32"/>
    </w:rPr>
  </w:style>
  <w:style w:type="paragraph" w:customStyle="1" w:styleId="HeadingProcedure">
    <w:name w:val="Heading Procedure"/>
    <w:basedOn w:val="HeadingBase"/>
    <w:next w:val="Normal"/>
    <w:rsid w:val="002110E7"/>
    <w:pPr>
      <w:tabs>
        <w:tab w:val="left" w:pos="0"/>
      </w:tabs>
      <w:spacing w:before="120" w:after="60"/>
    </w:pPr>
    <w:rPr>
      <w:i/>
      <w:color w:val="918585"/>
      <w:sz w:val="22"/>
    </w:rPr>
  </w:style>
  <w:style w:type="paragraph" w:customStyle="1" w:styleId="TableBodyText">
    <w:name w:val="Table Body Text"/>
    <w:basedOn w:val="BodyText"/>
    <w:rsid w:val="002110E7"/>
    <w:pPr>
      <w:spacing w:before="60" w:after="60"/>
    </w:pPr>
  </w:style>
  <w:style w:type="paragraph" w:styleId="ListContinue">
    <w:name w:val="List Continue"/>
    <w:basedOn w:val="List"/>
    <w:rsid w:val="002110E7"/>
    <w:pPr>
      <w:ind w:firstLine="0"/>
    </w:pPr>
  </w:style>
  <w:style w:type="paragraph" w:customStyle="1" w:styleId="ListNote">
    <w:name w:val="List Note"/>
    <w:basedOn w:val="List"/>
    <w:rsid w:val="002110E7"/>
    <w:pPr>
      <w:pBdr>
        <w:top w:val="single" w:sz="6" w:space="2" w:color="918585"/>
        <w:bottom w:val="single" w:sz="6" w:space="2" w:color="918585"/>
      </w:pBdr>
      <w:tabs>
        <w:tab w:val="left" w:pos="1021"/>
      </w:tabs>
      <w:ind w:firstLine="0"/>
    </w:pPr>
  </w:style>
  <w:style w:type="paragraph" w:customStyle="1" w:styleId="Warning">
    <w:name w:val="Warning"/>
    <w:basedOn w:val="BodyText"/>
    <w:rsid w:val="002110E7"/>
    <w:pPr>
      <w:shd w:val="clear" w:color="auto" w:fill="D9D9D9"/>
      <w:tabs>
        <w:tab w:val="left" w:pos="992"/>
      </w:tabs>
      <w:ind w:left="119" w:right="119"/>
    </w:pPr>
    <w:rPr>
      <w:sz w:val="20"/>
    </w:rPr>
  </w:style>
  <w:style w:type="paragraph" w:customStyle="1" w:styleId="MarginIcons">
    <w:name w:val="Margin Icons"/>
    <w:basedOn w:val="BodyText"/>
    <w:rsid w:val="002110E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110E7"/>
    <w:rPr>
      <w:rFonts w:ascii="Courier New" w:hAnsi="Courier New"/>
    </w:rPr>
  </w:style>
  <w:style w:type="paragraph" w:customStyle="1" w:styleId="NoteBullet">
    <w:name w:val="Note Bullet"/>
    <w:basedOn w:val="Note"/>
    <w:rsid w:val="002110E7"/>
    <w:pPr>
      <w:tabs>
        <w:tab w:val="clear" w:pos="680"/>
      </w:tabs>
      <w:spacing w:before="60" w:after="60"/>
    </w:pPr>
  </w:style>
  <w:style w:type="paragraph" w:customStyle="1" w:styleId="SubHeading2">
    <w:name w:val="SubHeading2"/>
    <w:basedOn w:val="HeadingBase"/>
    <w:rsid w:val="002110E7"/>
    <w:pPr>
      <w:spacing w:before="240" w:after="60"/>
    </w:pPr>
    <w:rPr>
      <w:sz w:val="20"/>
    </w:rPr>
  </w:style>
  <w:style w:type="paragraph" w:customStyle="1" w:styleId="SubHeading1">
    <w:name w:val="SubHeading1"/>
    <w:basedOn w:val="HeadingBase"/>
    <w:rsid w:val="002110E7"/>
    <w:pPr>
      <w:spacing w:before="240" w:after="60"/>
    </w:pPr>
    <w:rPr>
      <w:color w:val="918585"/>
      <w:sz w:val="22"/>
    </w:rPr>
  </w:style>
  <w:style w:type="paragraph" w:customStyle="1" w:styleId="SideHeading">
    <w:name w:val="Side Heading"/>
    <w:basedOn w:val="HeadingBase"/>
    <w:rsid w:val="002110E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110E7"/>
    <w:pPr>
      <w:numPr>
        <w:numId w:val="10"/>
      </w:numPr>
    </w:pPr>
  </w:style>
  <w:style w:type="paragraph" w:styleId="PlainText">
    <w:name w:val="Plain Text"/>
    <w:basedOn w:val="Normal"/>
    <w:link w:val="PlainTextChar"/>
    <w:rsid w:val="002110E7"/>
    <w:rPr>
      <w:sz w:val="20"/>
    </w:rPr>
  </w:style>
  <w:style w:type="character" w:customStyle="1" w:styleId="PlainTextChar">
    <w:name w:val="Plain Text Char"/>
    <w:basedOn w:val="DefaultParagraphFont"/>
    <w:link w:val="PlainText"/>
    <w:rsid w:val="002110E7"/>
    <w:rPr>
      <w:rFonts w:ascii="Courier New" w:eastAsia="Times New Roman" w:hAnsi="Courier New" w:cs="Times New Roman"/>
      <w:sz w:val="20"/>
      <w:szCs w:val="20"/>
      <w:lang w:eastAsia="en-US"/>
    </w:rPr>
  </w:style>
  <w:style w:type="character" w:customStyle="1" w:styleId="MenuOption">
    <w:name w:val="Menu Option"/>
    <w:basedOn w:val="DefaultParagraphFont"/>
    <w:rsid w:val="002110E7"/>
    <w:rPr>
      <w:b/>
      <w:smallCaps/>
    </w:rPr>
  </w:style>
  <w:style w:type="paragraph" w:customStyle="1" w:styleId="TableListNumber">
    <w:name w:val="Table List Number"/>
    <w:basedOn w:val="ListNumber"/>
    <w:rsid w:val="002110E7"/>
    <w:pPr>
      <w:numPr>
        <w:numId w:val="0"/>
      </w:numPr>
    </w:pPr>
  </w:style>
  <w:style w:type="paragraph" w:styleId="TOC4">
    <w:name w:val="toc 4"/>
    <w:basedOn w:val="TOCBase"/>
    <w:next w:val="Normal"/>
    <w:semiHidden/>
    <w:rsid w:val="002110E7"/>
    <w:pPr>
      <w:tabs>
        <w:tab w:val="right" w:leader="dot" w:pos="9071"/>
      </w:tabs>
      <w:ind w:left="1701"/>
    </w:pPr>
  </w:style>
  <w:style w:type="paragraph" w:customStyle="1" w:styleId="ListAlpha">
    <w:name w:val="List Alpha"/>
    <w:basedOn w:val="List"/>
    <w:rsid w:val="002110E7"/>
    <w:pPr>
      <w:numPr>
        <w:numId w:val="8"/>
      </w:numPr>
    </w:pPr>
  </w:style>
  <w:style w:type="paragraph" w:customStyle="1" w:styleId="ListAlpha2">
    <w:name w:val="List Alpha 2"/>
    <w:basedOn w:val="List2"/>
    <w:rsid w:val="002110E7"/>
    <w:pPr>
      <w:numPr>
        <w:numId w:val="7"/>
      </w:numPr>
    </w:pPr>
  </w:style>
  <w:style w:type="paragraph" w:styleId="List2">
    <w:name w:val="List 2"/>
    <w:basedOn w:val="BodyText"/>
    <w:rsid w:val="002110E7"/>
    <w:pPr>
      <w:tabs>
        <w:tab w:val="left" w:pos="680"/>
      </w:tabs>
      <w:spacing w:before="60" w:after="60"/>
      <w:ind w:left="680" w:hanging="340"/>
    </w:pPr>
  </w:style>
  <w:style w:type="paragraph" w:styleId="List3">
    <w:name w:val="List 3"/>
    <w:basedOn w:val="BodyText"/>
    <w:rsid w:val="002110E7"/>
    <w:pPr>
      <w:tabs>
        <w:tab w:val="left" w:pos="1021"/>
      </w:tabs>
      <w:spacing w:before="60" w:after="60"/>
      <w:ind w:left="1020" w:hanging="340"/>
    </w:pPr>
  </w:style>
  <w:style w:type="paragraph" w:styleId="List4">
    <w:name w:val="List 4"/>
    <w:basedOn w:val="BodyText"/>
    <w:rsid w:val="002110E7"/>
    <w:pPr>
      <w:tabs>
        <w:tab w:val="left" w:pos="1361"/>
      </w:tabs>
      <w:spacing w:before="60" w:after="60"/>
      <w:ind w:left="1361" w:hanging="340"/>
    </w:pPr>
  </w:style>
  <w:style w:type="paragraph" w:styleId="List5">
    <w:name w:val="List 5"/>
    <w:basedOn w:val="BodyText"/>
    <w:rsid w:val="002110E7"/>
    <w:pPr>
      <w:tabs>
        <w:tab w:val="left" w:pos="1701"/>
      </w:tabs>
      <w:spacing w:before="60" w:after="60"/>
      <w:ind w:left="1701" w:hanging="340"/>
    </w:pPr>
  </w:style>
  <w:style w:type="paragraph" w:styleId="ListBullet3">
    <w:name w:val="List Bullet 3"/>
    <w:basedOn w:val="List3"/>
    <w:rsid w:val="002110E7"/>
    <w:pPr>
      <w:numPr>
        <w:numId w:val="13"/>
      </w:numPr>
      <w:tabs>
        <w:tab w:val="clear" w:pos="1021"/>
      </w:tabs>
      <w:ind w:left="1037" w:hanging="357"/>
    </w:pPr>
  </w:style>
  <w:style w:type="paragraph" w:styleId="ListBullet4">
    <w:name w:val="List Bullet 4"/>
    <w:basedOn w:val="List4"/>
    <w:rsid w:val="002110E7"/>
    <w:pPr>
      <w:numPr>
        <w:numId w:val="2"/>
      </w:numPr>
      <w:tabs>
        <w:tab w:val="clear" w:pos="1361"/>
      </w:tabs>
    </w:pPr>
  </w:style>
  <w:style w:type="paragraph" w:styleId="ListBullet5">
    <w:name w:val="List Bullet 5"/>
    <w:basedOn w:val="List5"/>
    <w:rsid w:val="002110E7"/>
    <w:pPr>
      <w:numPr>
        <w:numId w:val="3"/>
      </w:numPr>
    </w:pPr>
  </w:style>
  <w:style w:type="paragraph" w:styleId="ListContinue2">
    <w:name w:val="List Continue 2"/>
    <w:basedOn w:val="List2"/>
    <w:rsid w:val="002110E7"/>
    <w:pPr>
      <w:ind w:firstLine="0"/>
    </w:pPr>
  </w:style>
  <w:style w:type="paragraph" w:styleId="ListContinue3">
    <w:name w:val="List Continue 3"/>
    <w:basedOn w:val="List3"/>
    <w:rsid w:val="002110E7"/>
    <w:pPr>
      <w:ind w:left="1021" w:firstLine="0"/>
    </w:pPr>
  </w:style>
  <w:style w:type="paragraph" w:styleId="ListContinue4">
    <w:name w:val="List Continue 4"/>
    <w:basedOn w:val="List4"/>
    <w:rsid w:val="002110E7"/>
    <w:pPr>
      <w:ind w:firstLine="0"/>
    </w:pPr>
  </w:style>
  <w:style w:type="paragraph" w:styleId="ListContinue5">
    <w:name w:val="List Continue 5"/>
    <w:basedOn w:val="List5"/>
    <w:rsid w:val="002110E7"/>
    <w:pPr>
      <w:ind w:firstLine="0"/>
    </w:pPr>
  </w:style>
  <w:style w:type="paragraph" w:styleId="ListNumber3">
    <w:name w:val="List Number 3"/>
    <w:basedOn w:val="List3"/>
    <w:rsid w:val="002110E7"/>
    <w:pPr>
      <w:numPr>
        <w:numId w:val="4"/>
      </w:numPr>
    </w:pPr>
  </w:style>
  <w:style w:type="paragraph" w:styleId="ListNumber4">
    <w:name w:val="List Number 4"/>
    <w:basedOn w:val="List4"/>
    <w:rsid w:val="002110E7"/>
    <w:pPr>
      <w:numPr>
        <w:numId w:val="5"/>
      </w:numPr>
    </w:pPr>
  </w:style>
  <w:style w:type="paragraph" w:styleId="ListNumber5">
    <w:name w:val="List Number 5"/>
    <w:basedOn w:val="List5"/>
    <w:rsid w:val="002110E7"/>
    <w:pPr>
      <w:numPr>
        <w:numId w:val="6"/>
      </w:numPr>
    </w:pPr>
  </w:style>
  <w:style w:type="paragraph" w:styleId="BlockText">
    <w:name w:val="Block Text"/>
    <w:basedOn w:val="Normal"/>
    <w:rsid w:val="002110E7"/>
    <w:pPr>
      <w:spacing w:after="120"/>
      <w:ind w:left="1440" w:right="1440"/>
    </w:pPr>
  </w:style>
  <w:style w:type="character" w:customStyle="1" w:styleId="Subscript">
    <w:name w:val="Subscript"/>
    <w:basedOn w:val="DefaultParagraphFont"/>
    <w:rsid w:val="002110E7"/>
    <w:rPr>
      <w:sz w:val="16"/>
      <w:vertAlign w:val="subscript"/>
    </w:rPr>
  </w:style>
  <w:style w:type="character" w:customStyle="1" w:styleId="Superscript">
    <w:name w:val="Superscript"/>
    <w:basedOn w:val="DefaultParagraphFont"/>
    <w:rsid w:val="002110E7"/>
    <w:rPr>
      <w:sz w:val="16"/>
      <w:vertAlign w:val="superscript"/>
    </w:rPr>
  </w:style>
  <w:style w:type="character" w:customStyle="1" w:styleId="Symbols">
    <w:name w:val="Symbols"/>
    <w:basedOn w:val="DefaultParagraphFont"/>
    <w:rsid w:val="002110E7"/>
    <w:rPr>
      <w:rFonts w:ascii="Symbol" w:hAnsi="Symbol"/>
    </w:rPr>
  </w:style>
  <w:style w:type="character" w:customStyle="1" w:styleId="MenuOptions">
    <w:name w:val="Menu Options"/>
    <w:basedOn w:val="DefaultParagraphFont"/>
    <w:rsid w:val="002110E7"/>
    <w:rPr>
      <w:rFonts w:ascii="Arial Narrow" w:hAnsi="Arial Narrow"/>
      <w:smallCaps/>
    </w:rPr>
  </w:style>
  <w:style w:type="character" w:customStyle="1" w:styleId="Buttons">
    <w:name w:val="Buttons"/>
    <w:basedOn w:val="DefaultParagraphFont"/>
    <w:rsid w:val="002110E7"/>
    <w:rPr>
      <w:b/>
    </w:rPr>
  </w:style>
  <w:style w:type="character" w:customStyle="1" w:styleId="Underlined">
    <w:name w:val="Underlined"/>
    <w:basedOn w:val="DefaultParagraphFont"/>
    <w:rsid w:val="002110E7"/>
    <w:rPr>
      <w:u w:val="single"/>
    </w:rPr>
  </w:style>
  <w:style w:type="paragraph" w:customStyle="1" w:styleId="TableBodyTextRight">
    <w:name w:val="Table Body Text Right"/>
    <w:basedOn w:val="TableBodyText"/>
    <w:rsid w:val="002110E7"/>
    <w:pPr>
      <w:widowControl w:val="0"/>
      <w:autoSpaceDE w:val="0"/>
      <w:autoSpaceDN w:val="0"/>
      <w:adjustRightInd w:val="0"/>
      <w:jc w:val="right"/>
    </w:pPr>
    <w:rPr>
      <w:rFonts w:cs="Arial"/>
      <w:szCs w:val="18"/>
    </w:rPr>
  </w:style>
  <w:style w:type="paragraph" w:customStyle="1" w:styleId="CopyrightText">
    <w:name w:val="Copyright Text"/>
    <w:basedOn w:val="BodyText"/>
    <w:rsid w:val="002110E7"/>
    <w:rPr>
      <w:sz w:val="18"/>
    </w:rPr>
  </w:style>
  <w:style w:type="paragraph" w:customStyle="1" w:styleId="BodySmallRight">
    <w:name w:val="Body Small Right"/>
    <w:basedOn w:val="BodyTextRight"/>
    <w:rsid w:val="002110E7"/>
    <w:rPr>
      <w:sz w:val="18"/>
      <w:szCs w:val="18"/>
    </w:rPr>
  </w:style>
  <w:style w:type="paragraph" w:customStyle="1" w:styleId="MarginEdition">
    <w:name w:val="Margin Edition"/>
    <w:basedOn w:val="MarginNote"/>
    <w:rsid w:val="002110E7"/>
    <w:pPr>
      <w:spacing w:before="0" w:after="0"/>
    </w:pPr>
    <w:rPr>
      <w:rFonts w:ascii="Times New Roman" w:hAnsi="Times New Roman"/>
      <w:color w:val="999999"/>
    </w:rPr>
  </w:style>
  <w:style w:type="paragraph" w:customStyle="1" w:styleId="Spacer">
    <w:name w:val="Spacer"/>
    <w:basedOn w:val="Normal"/>
    <w:rsid w:val="002110E7"/>
    <w:rPr>
      <w:sz w:val="2"/>
      <w:szCs w:val="2"/>
    </w:rPr>
  </w:style>
  <w:style w:type="character" w:customStyle="1" w:styleId="Small">
    <w:name w:val="Small"/>
    <w:basedOn w:val="DefaultParagraphFont"/>
    <w:rsid w:val="002110E7"/>
    <w:rPr>
      <w:sz w:val="16"/>
    </w:rPr>
  </w:style>
  <w:style w:type="paragraph" w:customStyle="1" w:styleId="WideTable">
    <w:name w:val="Wide Table"/>
    <w:basedOn w:val="Normal"/>
    <w:rsid w:val="002110E7"/>
    <w:pPr>
      <w:ind w:left="-1418"/>
    </w:pPr>
    <w:rPr>
      <w:sz w:val="2"/>
      <w:szCs w:val="2"/>
    </w:rPr>
  </w:style>
  <w:style w:type="character" w:styleId="PageNumber">
    <w:name w:val="page number"/>
    <w:basedOn w:val="DefaultParagraphFont"/>
    <w:rsid w:val="002110E7"/>
  </w:style>
  <w:style w:type="paragraph" w:styleId="Quote">
    <w:name w:val="Quote"/>
    <w:basedOn w:val="Heading1"/>
    <w:link w:val="QuoteChar"/>
    <w:qFormat/>
    <w:rsid w:val="002110E7"/>
    <w:rPr>
      <w:b w:val="0"/>
      <w:sz w:val="72"/>
      <w:szCs w:val="72"/>
      <w:lang w:val="en-NZ"/>
    </w:rPr>
  </w:style>
  <w:style w:type="character" w:customStyle="1" w:styleId="QuoteChar">
    <w:name w:val="Quote Char"/>
    <w:basedOn w:val="DefaultParagraphFont"/>
    <w:link w:val="Quote"/>
    <w:rsid w:val="002110E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110E7"/>
    <w:pPr>
      <w:pageBreakBefore/>
    </w:pPr>
  </w:style>
  <w:style w:type="paragraph" w:customStyle="1" w:styleId="Border">
    <w:name w:val="Border"/>
    <w:basedOn w:val="Normal"/>
    <w:qFormat/>
    <w:rsid w:val="002110E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110E7"/>
    <w:rPr>
      <w:b/>
      <w:bCs/>
      <w:i/>
      <w:iCs/>
      <w:color w:val="auto"/>
    </w:rPr>
  </w:style>
  <w:style w:type="paragraph" w:styleId="IntenseQuote">
    <w:name w:val="Intense Quote"/>
    <w:basedOn w:val="Normal"/>
    <w:next w:val="Normal"/>
    <w:link w:val="IntenseQuoteChar"/>
    <w:uiPriority w:val="30"/>
    <w:qFormat/>
    <w:rsid w:val="002110E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110E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110E7"/>
    <w:rPr>
      <w:smallCaps/>
      <w:color w:val="auto"/>
      <w:u w:val="single"/>
    </w:rPr>
  </w:style>
  <w:style w:type="character" w:styleId="IntenseReference">
    <w:name w:val="Intense Reference"/>
    <w:basedOn w:val="DefaultParagraphFont"/>
    <w:uiPriority w:val="32"/>
    <w:qFormat/>
    <w:rsid w:val="002110E7"/>
    <w:rPr>
      <w:b/>
      <w:bCs/>
      <w:smallCaps/>
      <w:color w:val="auto"/>
      <w:spacing w:val="5"/>
      <w:u w:val="single"/>
    </w:rPr>
  </w:style>
  <w:style w:type="paragraph" w:customStyle="1" w:styleId="2ColumnHeading">
    <w:name w:val="2Column Heading"/>
    <w:basedOn w:val="BodyText"/>
    <w:qFormat/>
    <w:rsid w:val="002110E7"/>
    <w:pPr>
      <w:spacing w:after="60"/>
      <w:ind w:left="-2268"/>
    </w:pPr>
    <w:rPr>
      <w:b/>
    </w:rPr>
  </w:style>
  <w:style w:type="paragraph" w:customStyle="1" w:styleId="Heading1TOC">
    <w:name w:val="Heading1 TOC"/>
    <w:basedOn w:val="Normal"/>
    <w:qFormat/>
    <w:rsid w:val="002110E7"/>
    <w:pPr>
      <w:spacing w:before="240" w:after="120"/>
    </w:pPr>
    <w:rPr>
      <w:rFonts w:ascii="Times New Roman" w:hAnsi="Times New Roman"/>
      <w:b/>
      <w:sz w:val="32"/>
    </w:rPr>
  </w:style>
  <w:style w:type="paragraph" w:customStyle="1" w:styleId="Heading2TOC">
    <w:name w:val="Heading2 TOC"/>
    <w:basedOn w:val="Normal"/>
    <w:qFormat/>
    <w:rsid w:val="002110E7"/>
    <w:pPr>
      <w:spacing w:before="240" w:after="60"/>
    </w:pPr>
    <w:rPr>
      <w:rFonts w:ascii="Times New Roman" w:hAnsi="Times New Roman"/>
      <w:b/>
      <w:sz w:val="28"/>
    </w:rPr>
  </w:style>
  <w:style w:type="character" w:customStyle="1" w:styleId="Underline">
    <w:name w:val="Underline"/>
    <w:basedOn w:val="DefaultParagraphFont"/>
    <w:qFormat/>
    <w:rsid w:val="002110E7"/>
    <w:rPr>
      <w:u w:val="single"/>
    </w:rPr>
  </w:style>
  <w:style w:type="character" w:customStyle="1" w:styleId="BoldandItalics">
    <w:name w:val="Bold and Italics"/>
    <w:qFormat/>
    <w:rsid w:val="002110E7"/>
    <w:rPr>
      <w:b/>
      <w:i/>
      <w:u w:val="none"/>
    </w:rPr>
  </w:style>
  <w:style w:type="paragraph" w:styleId="BalloonText">
    <w:name w:val="Balloon Text"/>
    <w:basedOn w:val="Normal"/>
    <w:link w:val="BalloonTextChar"/>
    <w:rsid w:val="002110E7"/>
    <w:rPr>
      <w:rFonts w:ascii="Tahoma" w:hAnsi="Tahoma" w:cs="Tahoma"/>
      <w:sz w:val="16"/>
      <w:szCs w:val="16"/>
    </w:rPr>
  </w:style>
  <w:style w:type="character" w:customStyle="1" w:styleId="BalloonTextChar">
    <w:name w:val="Balloon Text Char"/>
    <w:basedOn w:val="DefaultParagraphFont"/>
    <w:link w:val="BalloonText"/>
    <w:rsid w:val="002110E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110E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110E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110E7"/>
    <w:rPr>
      <w:b/>
      <w:color w:val="660033"/>
      <w:spacing w:val="0"/>
    </w:rPr>
  </w:style>
  <w:style w:type="paragraph" w:customStyle="1" w:styleId="Nameditemlist">
    <w:name w:val="Named item list"/>
    <w:basedOn w:val="BodyText"/>
    <w:qFormat/>
    <w:rsid w:val="002110E7"/>
    <w:pPr>
      <w:tabs>
        <w:tab w:val="left" w:pos="2835"/>
      </w:tabs>
      <w:ind w:left="2835" w:hanging="2835"/>
    </w:pPr>
  </w:style>
  <w:style w:type="paragraph" w:customStyle="1" w:styleId="BodyTextnopadding">
    <w:name w:val="Body Text no padding"/>
    <w:basedOn w:val="BodyText"/>
    <w:qFormat/>
    <w:rsid w:val="002110E7"/>
    <w:pPr>
      <w:spacing w:before="0" w:after="0"/>
    </w:pPr>
  </w:style>
  <w:style w:type="paragraph" w:customStyle="1" w:styleId="BodyTextBold">
    <w:name w:val="Body Text Bold"/>
    <w:basedOn w:val="BodyText"/>
    <w:qFormat/>
    <w:rsid w:val="002110E7"/>
    <w:rPr>
      <w:b/>
    </w:rPr>
  </w:style>
  <w:style w:type="character" w:styleId="Hyperlink">
    <w:name w:val="Hyperlink"/>
    <w:basedOn w:val="DefaultParagraphFont"/>
    <w:uiPriority w:val="99"/>
    <w:unhideWhenUsed/>
    <w:rsid w:val="00CA612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981</Words>
  <Characters>6626</Characters>
  <Application>Microsoft Office Word</Application>
  <DocSecurity>0</DocSecurity>
  <Lines>194</Lines>
  <Paragraphs>128</Paragraphs>
  <ScaleCrop>false</ScaleCrop>
  <Company>Author-it Software Corporation Ltd.</Company>
  <LinksUpToDate>false</LinksUpToDate>
  <CharactersWithSpaces>7479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TLIX6049 Undertake provisioning in support of deployed operations</dc:title>
  <dc:subject>Approved</dc:subject>
  <dc:creator>Industry Skills Australia</dc:creator>
  <cp:keywords>Release: 1</cp:keywords>
  <dc:description>Review Date: 12 April 2008</dc:description>
  <cp:lastModifiedBy>HSD_TPCMSd.prod</cp:lastModifiedBy>
  <cp:revision>3</cp:revision>
  <dcterms:created xsi:type="dcterms:W3CDTF">2025-03-01T22:45:00Z</dcterms:created>
  <dcterms:modified xsi:type="dcterms:W3CDTF">2025-03-01T22:45:00Z</dcterms:modified>
</cp:coreProperties>
</file>