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03FA" w:rsidP="00C803FA">
      <w:pPr>
        <w:pStyle w:val="Title"/>
      </w:pPr>
      <w:r>
        <w:fldChar w:fldCharType="begin"/>
      </w:r>
      <w:r>
        <w:instrText xml:space="preserve"> TITLE   \* MERGEFORMAT </w:instrText>
      </w:r>
      <w:r>
        <w:fldChar w:fldCharType="separate"/>
      </w:r>
      <w:r>
        <w:t>Assessment Requirements for TLIX6002 Contribute to materiel logistics strategies</w:t>
      </w:r>
      <w:r>
        <w:fldChar w:fldCharType="end"/>
      </w:r>
    </w:p>
    <w:p w:rsidR="00C803FA" w:rsidP="00C803FA">
      <w:pPr>
        <w:pStyle w:val="Version"/>
        <w:sectPr w:rsidSect="00A415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15FF" w:rsidP="00A415FF">
      <w:pPr>
        <w:pStyle w:val="SuperHeading"/>
      </w:pPr>
      <w:r w:rsidRPr="00A415FF">
        <w:t>Assessment Requirements for TLIX6</w:t>
      </w:r>
      <w:r w:rsidRPr="00A415FF">
        <w:t>002 Contribute to materiel logistics strategies</w:t>
      </w:r>
    </w:p>
    <w:p w:rsidR="00000000" w:rsidRPr="00A415FF" w:rsidP="00A415FF">
      <w:pPr>
        <w:pStyle w:val="Heading1"/>
      </w:pPr>
      <w:bookmarkStart w:id="1" w:name="O_755238"/>
      <w:bookmarkEnd w:id="1"/>
      <w:r w:rsidRPr="00A415FF">
        <w:t>Modification History</w:t>
      </w:r>
    </w:p>
    <w:p w:rsidR="00C803FA" w:rsidP="00C803FA">
      <w:pPr>
        <w:pStyle w:val="BodyText"/>
      </w:pPr>
      <w:r w:rsidRPr="00A415FF">
        <w:t>Release 1. This is the first release of this unit of competency in the TLI Transport and Logistics Training Package.</w:t>
      </w:r>
    </w:p>
    <w:p w:rsidR="00000000" w:rsidRPr="00A415FF" w:rsidP="00A415FF">
      <w:pPr>
        <w:pStyle w:val="Heading1"/>
      </w:pPr>
      <w:bookmarkStart w:id="2" w:name="O_755239"/>
      <w:bookmarkEnd w:id="2"/>
      <w:r w:rsidRPr="00A415FF">
        <w:t>Performance Evidence</w:t>
      </w:r>
    </w:p>
    <w:tbl>
      <w:tblPr>
        <w:tblW w:w="0" w:type="auto"/>
        <w:tblCellMar>
          <w:left w:w="62" w:type="dxa"/>
          <w:right w:w="62" w:type="dxa"/>
        </w:tblCellMar>
        <w:tblLook w:val="0000"/>
      </w:tblPr>
      <w:tblGrid>
        <w:gridCol w:w="9196"/>
      </w:tblGrid>
      <w:tr w:rsidTr="00C803FA">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A415FF">
            <w:pPr>
              <w:pStyle w:val="BodyText"/>
              <w:rPr>
                <w:lang w:val="en-NZ"/>
              </w:rPr>
            </w:pPr>
            <w:r w:rsidRPr="00A415FF">
              <w:t>Evidence required to demonstrate competence in this unit must be relevant to and satisfy all of the requirements of the elements and performance criteria on at least one occasion and include:</w:t>
            </w:r>
          </w:p>
        </w:tc>
      </w:tr>
      <w:tr w:rsidTr="00C803FA">
        <w:tblPrEx>
          <w:tblW w:w="0" w:type="auto"/>
          <w:tblCellMar>
            <w:left w:w="62" w:type="dxa"/>
            <w:right w:w="62" w:type="dxa"/>
          </w:tblCellMar>
          <w:tblLook w:val="0000"/>
        </w:tblPrEx>
        <w:trPr>
          <w:trHeight w:val="1276"/>
        </w:trPr>
        <w:tc>
          <w:tcPr>
            <w:tcW w:w="0" w:type="auto"/>
            <w:tcBorders>
              <w:top w:val="nil"/>
              <w:left w:val="nil"/>
              <w:bottom w:val="nil"/>
              <w:right w:val="nil"/>
            </w:tcBorders>
            <w:tcMar>
              <w:top w:w="0" w:type="dxa"/>
              <w:left w:w="62" w:type="dxa"/>
              <w:bottom w:w="0" w:type="dxa"/>
              <w:right w:w="62" w:type="dxa"/>
            </w:tcMar>
          </w:tcPr>
          <w:p w:rsidR="00000000" w:rsidRPr="00A415FF" w:rsidP="00A415FF">
            <w:pPr>
              <w:pStyle w:val="ListBullet"/>
            </w:pPr>
            <w:r w:rsidRPr="00A415FF">
              <w:t>adhering to relevant work health and safety (WHS)/occupational</w:t>
            </w:r>
            <w:r w:rsidRPr="00A415FF">
              <w:t xml:space="preserve"> health and safety (OHS) requirements</w:t>
            </w:r>
          </w:p>
          <w:p w:rsidR="00000000" w:rsidRPr="00A415FF" w:rsidP="00A415FF">
            <w:pPr>
              <w:pStyle w:val="ListBullet"/>
            </w:pPr>
            <w:r w:rsidRPr="00A415FF">
              <w:t>analysing materiel logistics information to determine where internal and external factors impact on the materiel logistics environment, and adjusting strategic planning activities accordingly</w:t>
            </w:r>
          </w:p>
          <w:p w:rsidR="00000000" w:rsidRPr="00A415FF" w:rsidP="00A415FF">
            <w:pPr>
              <w:pStyle w:val="ListBullet"/>
            </w:pPr>
            <w:r w:rsidRPr="00A415FF">
              <w:t>applying project managemen</w:t>
            </w:r>
            <w:r w:rsidRPr="00A415FF">
              <w:t>t knowledge when contributing to materiel logistics strategies</w:t>
            </w:r>
          </w:p>
          <w:p w:rsidR="00000000" w:rsidRPr="00A415FF" w:rsidP="00A415FF">
            <w:pPr>
              <w:pStyle w:val="ListBullet"/>
            </w:pPr>
            <w:r w:rsidRPr="00A415FF">
              <w:t>building and sustaining positive relationships with team members, stakeholders and clients</w:t>
            </w:r>
          </w:p>
          <w:p w:rsidR="00000000" w:rsidRPr="00A415FF" w:rsidP="00A415FF">
            <w:pPr>
              <w:pStyle w:val="ListBullet"/>
            </w:pPr>
            <w:r w:rsidRPr="00A415FF">
              <w:t>committing to action, even in cases of limited information and conditions of uncertainty</w:t>
            </w:r>
          </w:p>
          <w:p w:rsidR="00000000" w:rsidRPr="00A415FF" w:rsidP="00A415FF">
            <w:pPr>
              <w:pStyle w:val="ListBullet"/>
            </w:pPr>
            <w:r w:rsidRPr="00A415FF">
              <w:t>consulting an</w:t>
            </w:r>
            <w:r w:rsidRPr="00A415FF">
              <w:t>d negotiating with internal and external stakeholders  and resolving potential areas of conflict or concern to ensure overall objectives are achieved</w:t>
            </w:r>
          </w:p>
          <w:p w:rsidR="00000000" w:rsidRPr="00A415FF" w:rsidP="00A415FF">
            <w:pPr>
              <w:pStyle w:val="ListBullet"/>
            </w:pPr>
            <w:r w:rsidRPr="00A415FF">
              <w:t>displaying resilience by continuing to move forward despite criticism or setbacks</w:t>
            </w:r>
          </w:p>
          <w:p w:rsidR="00000000" w:rsidRPr="00A415FF" w:rsidP="00A415FF">
            <w:pPr>
              <w:pStyle w:val="ListBullet"/>
            </w:pPr>
            <w:r w:rsidRPr="00A415FF">
              <w:t>exercising judgement by using intelligence and common sense to shape strategic thinking</w:t>
            </w:r>
          </w:p>
          <w:p w:rsidR="00000000" w:rsidRPr="00A415FF" w:rsidP="00A415FF">
            <w:pPr>
              <w:pStyle w:val="ListBullet"/>
            </w:pPr>
            <w:r w:rsidRPr="00A415FF">
              <w:t>identifying requirements for contribution and adjusting them as necessary to ensure they meet objectives</w:t>
            </w:r>
          </w:p>
          <w:p w:rsidR="00000000" w:rsidRPr="00A415FF" w:rsidP="00A415FF">
            <w:pPr>
              <w:pStyle w:val="ListBullet"/>
            </w:pPr>
            <w:r w:rsidRPr="00A415FF">
              <w:t>identifying, assessing, and prioritising competing objectives t</w:t>
            </w:r>
            <w:r w:rsidRPr="00A415FF">
              <w:t>o facilitate development of overall materiel logistics strategy</w:t>
            </w:r>
          </w:p>
          <w:p w:rsidR="00000000" w:rsidRPr="00A415FF" w:rsidP="00A415FF">
            <w:pPr>
              <w:pStyle w:val="ListBullet"/>
            </w:pPr>
            <w:r w:rsidRPr="00A415FF">
              <w:t>initiating and efficiently monitoring processes</w:t>
            </w:r>
          </w:p>
          <w:p w:rsidR="00000000" w:rsidRPr="00A415FF" w:rsidP="00A415FF">
            <w:pPr>
              <w:pStyle w:val="ListBullet"/>
            </w:pPr>
            <w:r w:rsidRPr="00A415FF">
              <w:t>initiating remedial action required</w:t>
            </w:r>
          </w:p>
          <w:p w:rsidR="00000000" w:rsidRPr="00A415FF" w:rsidP="00A415FF">
            <w:pPr>
              <w:pStyle w:val="ListBullet"/>
            </w:pPr>
            <w:r w:rsidRPr="00A415FF">
              <w:t>managing time and prioritising work to ensure objectives are met in accordance with required schedule</w:t>
            </w:r>
          </w:p>
          <w:p w:rsidR="00000000" w:rsidRPr="00A415FF" w:rsidP="00A415FF">
            <w:pPr>
              <w:pStyle w:val="ListBullet"/>
            </w:pPr>
            <w:r w:rsidRPr="00A415FF">
              <w:t>prepar</w:t>
            </w:r>
            <w:r w:rsidRPr="00A415FF">
              <w:t>ing complex and sensitive material, presenting information confidently and selecting appropriate medium for maximum communication effect to influence a range of audiences</w:t>
            </w:r>
          </w:p>
          <w:p w:rsidR="00000000" w:rsidRPr="00A415FF" w:rsidP="00A415FF">
            <w:pPr>
              <w:pStyle w:val="ListBullet"/>
            </w:pPr>
            <w:r w:rsidRPr="00A415FF">
              <w:t>sourcing information on best practice approaches adopted in public and private sector</w:t>
            </w:r>
            <w:r w:rsidRPr="00A415FF">
              <w:t>s, demonstrating an insight into how industry operates and business drivers that influence industry with their dealings, including environmental and sustainability issues</w:t>
            </w:r>
          </w:p>
          <w:p w:rsidR="00000000" w:rsidRPr="00A415FF" w:rsidP="00A415FF">
            <w:pPr>
              <w:pStyle w:val="ListBullet"/>
            </w:pPr>
            <w:r w:rsidRPr="00A415FF">
              <w:t>undertaking research and analysis to determine operational concepts and strategic obj</w:t>
            </w:r>
            <w:r w:rsidRPr="00A415FF">
              <w:t>ectives, and to identify impacts on materiel logistics environment.</w:t>
            </w:r>
          </w:p>
        </w:tc>
      </w:tr>
    </w:tbl>
    <w:p w:rsidR="00000000" w:rsidRPr="00A415FF" w:rsidP="00A415FF">
      <w:pPr>
        <w:pStyle w:val="BodyText"/>
      </w:pPr>
    </w:p>
    <w:p w:rsidR="00000000" w:rsidRPr="00A415FF" w:rsidP="00A415FF">
      <w:pPr>
        <w:pStyle w:val="AllowPageBreak"/>
      </w:pPr>
    </w:p>
    <w:p w:rsidR="00000000" w:rsidRPr="00A415FF" w:rsidP="00A415FF">
      <w:pPr>
        <w:pStyle w:val="Heading1"/>
      </w:pPr>
      <w:bookmarkStart w:id="3" w:name="O_755240"/>
      <w:bookmarkEnd w:id="3"/>
      <w:r w:rsidRPr="00A415FF">
        <w:t>Knowledge Evidence</w:t>
      </w:r>
    </w:p>
    <w:tbl>
      <w:tblPr>
        <w:tblW w:w="0" w:type="auto"/>
        <w:tblCellMar>
          <w:left w:w="62" w:type="dxa"/>
          <w:right w:w="62" w:type="dxa"/>
        </w:tblCellMar>
        <w:tblLook w:val="0000"/>
      </w:tblPr>
      <w:tblGrid>
        <w:gridCol w:w="9196"/>
      </w:tblGrid>
      <w:tr w:rsidTr="00C803FA">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A415FF">
            <w:pPr>
              <w:pStyle w:val="BodyText"/>
              <w:rPr>
                <w:lang w:val="en-NZ"/>
              </w:rPr>
            </w:pPr>
            <w:r w:rsidRPr="00A415FF">
              <w:t>Evidence required to demonstrate competence in this unit must be relevant to and satisfy all of the requirements of the elements and performance crite</w:t>
            </w:r>
            <w:r w:rsidRPr="00A415FF">
              <w:t>ria and include knowledge of:</w:t>
            </w:r>
          </w:p>
        </w:tc>
      </w:tr>
      <w:tr w:rsidTr="00C803FA">
        <w:tblPrEx>
          <w:tblW w:w="0" w:type="auto"/>
          <w:tblCellMar>
            <w:left w:w="62" w:type="dxa"/>
            <w:right w:w="62" w:type="dxa"/>
          </w:tblCellMar>
          <w:tblLook w:val="0000"/>
        </w:tblPrEx>
        <w:trPr>
          <w:trHeight w:val="567"/>
        </w:trPr>
        <w:tc>
          <w:tcPr>
            <w:tcW w:w="0" w:type="auto"/>
            <w:tcBorders>
              <w:top w:val="nil"/>
              <w:left w:val="nil"/>
              <w:bottom w:val="nil"/>
              <w:right w:val="nil"/>
            </w:tcBorders>
            <w:tcMar>
              <w:top w:w="0" w:type="dxa"/>
              <w:left w:w="62" w:type="dxa"/>
              <w:bottom w:w="0" w:type="dxa"/>
              <w:right w:w="62" w:type="dxa"/>
            </w:tcMar>
          </w:tcPr>
          <w:p w:rsidR="00000000" w:rsidRPr="00A415FF" w:rsidP="00A415FF">
            <w:pPr>
              <w:pStyle w:val="ListBullet"/>
            </w:pPr>
            <w:r w:rsidRPr="00A415FF">
              <w:t>acquisition processes</w:t>
            </w:r>
          </w:p>
          <w:p w:rsidR="00000000" w:rsidRPr="00A415FF" w:rsidP="00A415FF">
            <w:pPr>
              <w:pStyle w:val="ListBullet"/>
            </w:pPr>
            <w:r w:rsidRPr="00A415FF">
              <w:t>business processes</w:t>
            </w:r>
          </w:p>
          <w:p w:rsidR="00000000" w:rsidRPr="00A415FF" w:rsidP="00A415FF">
            <w:pPr>
              <w:pStyle w:val="ListBullet"/>
            </w:pPr>
            <w:r w:rsidRPr="00A415FF">
              <w:t>capability performance measurement</w:t>
            </w:r>
          </w:p>
          <w:p w:rsidR="00000000" w:rsidRPr="00A415FF" w:rsidP="00A415FF">
            <w:pPr>
              <w:pStyle w:val="ListBullet"/>
            </w:pPr>
            <w:r w:rsidRPr="00A415FF">
              <w:t>codification and cataloguing processes</w:t>
            </w:r>
          </w:p>
          <w:p w:rsidR="00000000" w:rsidRPr="00A415FF" w:rsidP="00A415FF">
            <w:pPr>
              <w:pStyle w:val="ListBullet"/>
            </w:pPr>
            <w:r w:rsidRPr="00A415FF">
              <w:t>costing, which may include life cycle costing</w:t>
            </w:r>
          </w:p>
          <w:p w:rsidR="00000000" w:rsidRPr="00A415FF" w:rsidP="00A415FF">
            <w:pPr>
              <w:pStyle w:val="ListBullet"/>
            </w:pPr>
            <w:r w:rsidRPr="00A415FF">
              <w:t>external environment scanning relating to environmental, sustainable, social, political, economic and technological developments</w:t>
            </w:r>
          </w:p>
          <w:p w:rsidR="00000000" w:rsidRPr="00A415FF" w:rsidP="00A415FF">
            <w:pPr>
              <w:pStyle w:val="ListBullet"/>
            </w:pPr>
            <w:r w:rsidRPr="00A415FF">
              <w:t>industrial base capability</w:t>
            </w:r>
          </w:p>
          <w:p w:rsidR="00000000" w:rsidRPr="00A415FF" w:rsidP="00A415FF">
            <w:pPr>
              <w:pStyle w:val="ListBullet"/>
            </w:pPr>
            <w:r w:rsidRPr="00A415FF">
              <w:t>integrated logistics support</w:t>
            </w:r>
          </w:p>
          <w:p w:rsidR="00000000" w:rsidRPr="00A415FF" w:rsidP="00A415FF">
            <w:pPr>
              <w:pStyle w:val="ListBullet"/>
            </w:pPr>
            <w:r w:rsidRPr="00A415FF">
              <w:t>international agreements and arrangements</w:t>
            </w:r>
          </w:p>
          <w:p w:rsidR="00000000" w:rsidRPr="00A415FF" w:rsidP="00A415FF">
            <w:pPr>
              <w:pStyle w:val="ListBullet"/>
            </w:pPr>
            <w:r w:rsidRPr="00A415FF">
              <w:t>interoperability</w:t>
            </w:r>
          </w:p>
          <w:p w:rsidR="00000000" w:rsidRPr="00A415FF" w:rsidP="00A415FF">
            <w:pPr>
              <w:pStyle w:val="ListBullet"/>
            </w:pPr>
            <w:r w:rsidRPr="00A415FF">
              <w:t xml:space="preserve">legislative </w:t>
            </w:r>
            <w:r w:rsidRPr="00A415FF">
              <w:t>and regulatory environment as it relates to materiel logistics</w:t>
            </w:r>
          </w:p>
          <w:p w:rsidR="00000000" w:rsidRPr="00A415FF" w:rsidP="00A415FF">
            <w:pPr>
              <w:pStyle w:val="ListBullet"/>
            </w:pPr>
            <w:r w:rsidRPr="00A415FF">
              <w:t>logistics governance</w:t>
            </w:r>
          </w:p>
          <w:p w:rsidR="00000000" w:rsidRPr="00A415FF" w:rsidP="00A415FF">
            <w:pPr>
              <w:pStyle w:val="ListBullet"/>
            </w:pPr>
            <w:r w:rsidRPr="00A415FF">
              <w:t>logistics support analysis principles and processes</w:t>
            </w:r>
          </w:p>
          <w:p w:rsidR="00000000" w:rsidRPr="00A415FF" w:rsidP="00A415FF">
            <w:pPr>
              <w:pStyle w:val="ListBullet"/>
            </w:pPr>
            <w:r w:rsidRPr="00A415FF">
              <w:t>materiel logistics</w:t>
            </w:r>
          </w:p>
          <w:p w:rsidR="00000000" w:rsidRPr="00A415FF" w:rsidP="00A415FF">
            <w:pPr>
              <w:pStyle w:val="ListBullet"/>
            </w:pPr>
            <w:r w:rsidRPr="00A415FF">
              <w:t>materiel system components</w:t>
            </w:r>
          </w:p>
          <w:p w:rsidR="00000000" w:rsidRPr="00A415FF" w:rsidP="00A415FF">
            <w:pPr>
              <w:pStyle w:val="ListBullet"/>
            </w:pPr>
            <w:r w:rsidRPr="00A415FF">
              <w:t>organisational policy and procedures</w:t>
            </w:r>
          </w:p>
          <w:p w:rsidR="00000000" w:rsidRPr="00A415FF" w:rsidP="00A415FF">
            <w:pPr>
              <w:pStyle w:val="ListBullet"/>
            </w:pPr>
            <w:r w:rsidRPr="00A415FF">
              <w:t>outsourcing/insourcing</w:t>
            </w:r>
          </w:p>
          <w:p w:rsidR="00000000" w:rsidRPr="00A415FF" w:rsidP="00A415FF">
            <w:pPr>
              <w:pStyle w:val="ListBullet"/>
            </w:pPr>
            <w:r w:rsidRPr="00A415FF">
              <w:t>performance measurement</w:t>
            </w:r>
          </w:p>
          <w:p w:rsidR="00000000" w:rsidRPr="00A415FF" w:rsidP="00A415FF">
            <w:pPr>
              <w:pStyle w:val="ListBullet"/>
            </w:pPr>
            <w:r w:rsidRPr="00A415FF">
              <w:t>project management</w:t>
            </w:r>
          </w:p>
          <w:p w:rsidR="00000000" w:rsidRPr="00A415FF" w:rsidP="00A415FF">
            <w:pPr>
              <w:pStyle w:val="ListBullet"/>
            </w:pPr>
            <w:r w:rsidRPr="00A415FF">
              <w:t>strategic planning methodology</w:t>
            </w:r>
          </w:p>
          <w:p w:rsidR="00000000" w:rsidRPr="00A415FF" w:rsidP="00A415FF">
            <w:pPr>
              <w:pStyle w:val="ListBullet"/>
            </w:pPr>
            <w:r w:rsidRPr="00A415FF">
              <w:t>supply chain concepts</w:t>
            </w:r>
          </w:p>
          <w:p w:rsidR="00000000" w:rsidRPr="00A415FF" w:rsidP="00A415FF">
            <w:pPr>
              <w:pStyle w:val="ListBullet"/>
            </w:pPr>
            <w:r w:rsidRPr="00A415FF">
              <w:t>technical regulation</w:t>
            </w:r>
          </w:p>
          <w:p w:rsidR="00000000" w:rsidRPr="00A415FF" w:rsidP="00A415FF">
            <w:pPr>
              <w:pStyle w:val="ListBullet"/>
            </w:pPr>
            <w:r w:rsidRPr="00A415FF">
              <w:t>value chain concepts.</w:t>
            </w:r>
          </w:p>
        </w:tc>
      </w:tr>
    </w:tbl>
    <w:p w:rsidR="00000000" w:rsidRPr="00A415FF" w:rsidP="00A415FF">
      <w:pPr>
        <w:pStyle w:val="BodyText"/>
      </w:pPr>
    </w:p>
    <w:p w:rsidR="00000000" w:rsidRPr="00A415FF" w:rsidP="00A415FF">
      <w:pPr>
        <w:pStyle w:val="AllowPageBreak"/>
      </w:pPr>
    </w:p>
    <w:p w:rsidR="00000000" w:rsidRPr="00A415FF" w:rsidP="00A415FF">
      <w:pPr>
        <w:pStyle w:val="Heading1"/>
      </w:pPr>
      <w:bookmarkStart w:id="4" w:name="O_755241"/>
      <w:bookmarkEnd w:id="4"/>
      <w:r w:rsidRPr="00A415FF">
        <w:t>Assessment Conditions</w:t>
      </w:r>
    </w:p>
    <w:tbl>
      <w:tblPr>
        <w:tblW w:w="0" w:type="auto"/>
        <w:tblCellMar>
          <w:left w:w="62" w:type="dxa"/>
          <w:right w:w="62" w:type="dxa"/>
        </w:tblCellMar>
        <w:tblLook w:val="0000"/>
      </w:tblPr>
      <w:tblGrid>
        <w:gridCol w:w="9196"/>
      </w:tblGrid>
      <w:tr w:rsidTr="00C803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415FF" w:rsidP="00A415FF">
            <w:pPr>
              <w:pStyle w:val="BodyText"/>
            </w:pPr>
            <w:r w:rsidRPr="00A415FF">
              <w:t>As a minimum, assessors must satisfy applicable regulatory requirements, whi</w:t>
            </w:r>
            <w:r w:rsidRPr="00A415FF">
              <w:t xml:space="preserve">ch include requirements in the </w:t>
            </w:r>
            <w:r w:rsidRPr="00A415FF">
              <w:rPr>
                <w:rStyle w:val="Emphasis"/>
              </w:rPr>
              <w:t>Standards for Registered Training Organisations</w:t>
            </w:r>
            <w:r w:rsidRPr="00A415FF">
              <w:t xml:space="preserve"> current at the time of assessment. </w:t>
            </w:r>
          </w:p>
          <w:p w:rsidR="00000000" w:rsidRPr="00A415FF" w:rsidP="00A415FF">
            <w:pPr>
              <w:pStyle w:val="BodyText"/>
            </w:pPr>
            <w:r w:rsidRPr="00A415FF">
              <w:t xml:space="preserve">As a minimum, assessment must satisfy applicable regulatory requirements, which include requirements in the </w:t>
            </w:r>
            <w:r w:rsidRPr="00A415FF">
              <w:rPr>
                <w:rStyle w:val="Emphasis"/>
              </w:rPr>
              <w:t>Standards for Registered Training</w:t>
            </w:r>
            <w:r w:rsidRPr="00A415FF">
              <w:rPr>
                <w:rStyle w:val="Emphasis"/>
              </w:rPr>
              <w:t xml:space="preserve"> Organisations</w:t>
            </w:r>
            <w:r w:rsidRPr="00A415FF">
              <w:t xml:space="preserve"> current at the time of assessment.</w:t>
            </w:r>
          </w:p>
          <w:p w:rsidR="00000000" w:rsidRPr="00A415FF" w:rsidP="00A415FF">
            <w:pPr>
              <w:pStyle w:val="BodyText"/>
            </w:pPr>
            <w:r w:rsidRPr="00A415FF">
              <w:t xml:space="preserve">Assessment must occur in workplace operational situations where it is appropriate to do so; where this is not appropriate, assessment must occur in simulated workplace operational situations that replicate </w:t>
            </w:r>
            <w:r w:rsidRPr="00A415FF">
              <w:t xml:space="preserve">workplace conditions. </w:t>
            </w:r>
          </w:p>
          <w:p w:rsidR="00000000" w:rsidRPr="00A415FF" w:rsidP="00A415FF">
            <w:pPr>
              <w:pStyle w:val="BodyText"/>
            </w:pPr>
            <w:r w:rsidRPr="00A415FF">
              <w:t>Assessment processes and techniques must be appropriate to the language, literacy and numeracy requirements of the work being performed and the needs of the candidate.</w:t>
            </w:r>
          </w:p>
          <w:p w:rsidR="00000000" w:rsidRPr="00A415FF" w:rsidP="00A415FF">
            <w:pPr>
              <w:pStyle w:val="BodyText"/>
            </w:pPr>
            <w:r w:rsidRPr="00A415FF">
              <w:t>Resources for assessment include:</w:t>
            </w:r>
          </w:p>
          <w:p w:rsidR="00000000" w:rsidRPr="00A415FF" w:rsidP="00A415FF">
            <w:pPr>
              <w:pStyle w:val="ListBullet"/>
            </w:pPr>
            <w:r w:rsidRPr="00A415FF">
              <w:t>a range of relevant exercises, case studies and/or simulations</w:t>
            </w:r>
          </w:p>
          <w:p w:rsidR="00000000" w:rsidRPr="00A415FF" w:rsidP="00A415FF">
            <w:pPr>
              <w:pStyle w:val="ListBullet"/>
            </w:pPr>
            <w:r w:rsidRPr="00A415FF">
              <w:t xml:space="preserve">relevant and appropriate materials, tools, equipment and personal protective equipment currently used in industry </w:t>
            </w:r>
          </w:p>
          <w:p w:rsidR="00000000" w:rsidRPr="00A415FF" w:rsidP="00A415FF">
            <w:pPr>
              <w:pStyle w:val="ListBullet"/>
            </w:pPr>
            <w:r w:rsidRPr="00A415FF">
              <w:t>applicable documentation including workplace procedures, regulations, codes of</w:t>
            </w:r>
            <w:r w:rsidRPr="00A415FF">
              <w:t xml:space="preserve"> practice and operation manuals</w:t>
            </w:r>
          </w:p>
          <w:p w:rsidR="00000000" w:rsidRPr="00A415FF" w:rsidP="00A415FF">
            <w:pPr>
              <w:pStyle w:val="ListBullet"/>
            </w:pPr>
            <w:r w:rsidRPr="00A415FF">
              <w:t>computer and relevant software</w:t>
            </w:r>
          </w:p>
          <w:p w:rsidR="00000000" w:rsidRPr="00A415FF" w:rsidP="00A415FF">
            <w:pPr>
              <w:pStyle w:val="ListBullet"/>
            </w:pPr>
            <w:r w:rsidRPr="00A415FF">
              <w:t>legislation, guidelines, procedures and protocols relating to materiel logistics</w:t>
            </w:r>
          </w:p>
          <w:p w:rsidR="00000000" w:rsidRPr="00A415FF" w:rsidP="00A415FF">
            <w:pPr>
              <w:pStyle w:val="ListBullet"/>
            </w:pPr>
            <w:r w:rsidRPr="00A415FF">
              <w:t>materiel logistics plans.</w:t>
            </w:r>
          </w:p>
        </w:tc>
      </w:tr>
    </w:tbl>
    <w:p w:rsidR="00C803FA" w:rsidP="00A415FF">
      <w:pPr>
        <w:pStyle w:val="BodyText"/>
      </w:pPr>
    </w:p>
    <w:p w:rsidR="00C803FA" w:rsidP="00A415FF">
      <w:pPr>
        <w:pStyle w:val="BodyText"/>
      </w:pPr>
    </w:p>
    <w:p w:rsidR="00000000" w:rsidRPr="00A415FF" w:rsidP="00A415FF">
      <w:pPr>
        <w:pStyle w:val="Heading1"/>
      </w:pPr>
      <w:bookmarkStart w:id="5" w:name="O_755244"/>
      <w:bookmarkEnd w:id="5"/>
      <w:r w:rsidRPr="00A415FF">
        <w:t>Links</w:t>
      </w:r>
    </w:p>
    <w:p w:rsidR="00000000" w:rsidRPr="00A415FF" w:rsidP="00C803FA">
      <w:pPr>
        <w:pStyle w:val="BodyText"/>
      </w:pPr>
      <w:r w:rsidRPr="00A415FF">
        <w:t>Companion Volume implementation guides are found in VETNet -</w:t>
      </w:r>
      <w:r w:rsidRPr="00A415FF">
        <w:t xml:space="preserve"> </w:t>
      </w:r>
      <w:r>
        <w:fldChar w:fldCharType="begin"/>
      </w:r>
      <w:r>
        <w:instrText xml:space="preserve"> HYPERLINK "https://vetnet.gov.au/Pages/TrainingDocs.aspx?q=df441c6e-213d-43e3-874c-0b3f7036d851" </w:instrText>
      </w:r>
      <w:r>
        <w:fldChar w:fldCharType="separate"/>
      </w:r>
      <w:r w:rsidRPr="00E41A91">
        <w:rPr>
          <w:rStyle w:val="Hyperlink"/>
        </w:rPr>
        <w:t>https://vetnet.gov.au/Pages/TrainingDocs.aspx?q=df441c6e-213d-43e3-874c-0b3f7036d851</w:t>
      </w:r>
      <w:r>
        <w:fldChar w:fldCharType="end"/>
      </w:r>
    </w:p>
    <w:p w:rsidR="00000000" w:rsidRPr="00A415FF" w:rsidP="00A415FF"/>
    <w:sectPr w:rsidSect="00A415F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5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5FF" w:rsidRPr="00C803FA" w:rsidP="00C803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5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3FA" w:rsidP="00A415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03FA" w:rsidP="00A415F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803FA" w:rsidP="00A415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5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3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15FF" w:rsidRPr="00C803FA" w:rsidP="00C803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5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3FA" w:rsidRPr="002D2AF8" w:rsidP="00A415FF">
    <w:pPr>
      <w:pStyle w:val="Header"/>
      <w:framePr w:wrap="around"/>
    </w:pPr>
    <w:r>
      <w:fldChar w:fldCharType="begin"/>
    </w:r>
    <w:r>
      <w:instrText xml:space="preserve"> TITLE   \* MERGEFORMAT </w:instrText>
    </w:r>
    <w:r>
      <w:fldChar w:fldCharType="separate"/>
    </w:r>
    <w:r>
      <w:t>Assessment Requirements for TLIX6002 Contribute to materiel logistics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C803FA" w:rsidP="00A415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4AE6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8889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5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15FF"/>
    <w:pPr>
      <w:spacing w:before="360" w:after="60"/>
      <w:outlineLvl w:val="0"/>
    </w:pPr>
    <w:rPr>
      <w:sz w:val="32"/>
    </w:rPr>
  </w:style>
  <w:style w:type="paragraph" w:styleId="Heading2">
    <w:name w:val="heading 2"/>
    <w:basedOn w:val="HeadingBase"/>
    <w:next w:val="BodyText"/>
    <w:link w:val="Heading2Char"/>
    <w:qFormat/>
    <w:rsid w:val="00A415FF"/>
    <w:pPr>
      <w:keepLines/>
      <w:spacing w:before="240" w:after="120"/>
      <w:outlineLvl w:val="1"/>
    </w:pPr>
    <w:rPr>
      <w:sz w:val="28"/>
      <w:szCs w:val="40"/>
    </w:rPr>
  </w:style>
  <w:style w:type="paragraph" w:styleId="Heading3">
    <w:name w:val="heading 3"/>
    <w:basedOn w:val="HeadingBase"/>
    <w:next w:val="BodyText"/>
    <w:link w:val="Heading3Char"/>
    <w:qFormat/>
    <w:rsid w:val="00A415FF"/>
    <w:pPr>
      <w:spacing w:before="180" w:after="120"/>
      <w:outlineLvl w:val="2"/>
    </w:pPr>
    <w:rPr>
      <w:spacing w:val="-10"/>
      <w:kern w:val="32"/>
    </w:rPr>
  </w:style>
  <w:style w:type="paragraph" w:styleId="Heading4">
    <w:name w:val="heading 4"/>
    <w:basedOn w:val="HeadingBase"/>
    <w:next w:val="BodyText"/>
    <w:link w:val="Heading4Char"/>
    <w:qFormat/>
    <w:rsid w:val="00A415FF"/>
    <w:pPr>
      <w:spacing w:before="160" w:after="120"/>
      <w:outlineLvl w:val="3"/>
    </w:pPr>
    <w:rPr>
      <w:sz w:val="22"/>
    </w:rPr>
  </w:style>
  <w:style w:type="paragraph" w:styleId="Heading5">
    <w:name w:val="heading 5"/>
    <w:basedOn w:val="HeadingBase"/>
    <w:next w:val="Normal"/>
    <w:link w:val="Heading5Char"/>
    <w:qFormat/>
    <w:rsid w:val="00A415FF"/>
    <w:pPr>
      <w:spacing w:before="80"/>
      <w:outlineLvl w:val="4"/>
    </w:pPr>
    <w:rPr>
      <w:color w:val="918585"/>
      <w:sz w:val="20"/>
    </w:rPr>
  </w:style>
  <w:style w:type="paragraph" w:styleId="Heading6">
    <w:name w:val="heading 6"/>
    <w:basedOn w:val="HeadingBase"/>
    <w:next w:val="Normal"/>
    <w:link w:val="Heading6Char"/>
    <w:qFormat/>
    <w:rsid w:val="00A415FF"/>
    <w:pPr>
      <w:spacing w:before="60"/>
      <w:outlineLvl w:val="5"/>
    </w:pPr>
    <w:rPr>
      <w:color w:val="918585"/>
      <w:sz w:val="20"/>
    </w:rPr>
  </w:style>
  <w:style w:type="paragraph" w:styleId="Heading7">
    <w:name w:val="heading 7"/>
    <w:basedOn w:val="Normal"/>
    <w:next w:val="Normal"/>
    <w:link w:val="Heading7Char"/>
    <w:qFormat/>
    <w:rsid w:val="00A415FF"/>
    <w:pPr>
      <w:ind w:left="720"/>
      <w:outlineLvl w:val="6"/>
    </w:pPr>
    <w:rPr>
      <w:i/>
    </w:rPr>
  </w:style>
  <w:style w:type="paragraph" w:styleId="Heading8">
    <w:name w:val="heading 8"/>
    <w:basedOn w:val="Normal"/>
    <w:next w:val="Normal"/>
    <w:link w:val="Heading8Char"/>
    <w:qFormat/>
    <w:rsid w:val="00A415FF"/>
    <w:pPr>
      <w:ind w:left="720"/>
      <w:outlineLvl w:val="7"/>
    </w:pPr>
    <w:rPr>
      <w:i/>
    </w:rPr>
  </w:style>
  <w:style w:type="paragraph" w:styleId="Heading9">
    <w:name w:val="heading 9"/>
    <w:basedOn w:val="Normal"/>
    <w:next w:val="Normal"/>
    <w:link w:val="Heading9Char"/>
    <w:qFormat/>
    <w:rsid w:val="00A415FF"/>
    <w:pPr>
      <w:ind w:left="720"/>
      <w:outlineLvl w:val="8"/>
    </w:pPr>
    <w:rPr>
      <w:i/>
    </w:rPr>
  </w:style>
  <w:style w:type="character" w:default="1" w:styleId="DefaultParagraphFont">
    <w:name w:val="Default Paragraph Font"/>
    <w:uiPriority w:val="1"/>
    <w:unhideWhenUsed/>
    <w:rsid w:val="00A415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15FF"/>
  </w:style>
  <w:style w:type="character" w:customStyle="1" w:styleId="Heading1Char">
    <w:name w:val="Heading 1 Char"/>
    <w:basedOn w:val="DefaultParagraphFont"/>
    <w:link w:val="Heading1"/>
    <w:rsid w:val="00A415FF"/>
    <w:rPr>
      <w:rFonts w:ascii="Times New Roman" w:eastAsia="Times New Roman" w:hAnsi="Times New Roman" w:cs="Times New Roman"/>
      <w:b/>
      <w:sz w:val="32"/>
      <w:szCs w:val="20"/>
      <w:lang w:eastAsia="en-US"/>
    </w:rPr>
  </w:style>
  <w:style w:type="paragraph" w:styleId="BodyText">
    <w:name w:val="Body Text"/>
    <w:basedOn w:val="Normal"/>
    <w:link w:val="BodyTextChar"/>
    <w:rsid w:val="00A415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15FF"/>
    <w:rPr>
      <w:rFonts w:ascii="Times New Roman" w:eastAsia="Times New Roman" w:hAnsi="Times New Roman" w:cs="Times New Roman"/>
      <w:sz w:val="24"/>
      <w:lang w:eastAsia="en-US"/>
    </w:rPr>
  </w:style>
  <w:style w:type="paragraph" w:styleId="ListBullet">
    <w:name w:val="List Bullet"/>
    <w:basedOn w:val="List"/>
    <w:rsid w:val="00A415FF"/>
    <w:pPr>
      <w:numPr>
        <w:numId w:val="11"/>
      </w:numPr>
      <w:tabs>
        <w:tab w:val="clear" w:pos="340"/>
      </w:tabs>
      <w:spacing w:before="40" w:after="40"/>
    </w:pPr>
  </w:style>
  <w:style w:type="character" w:styleId="Emphasis">
    <w:name w:val="Emphasis"/>
    <w:basedOn w:val="DefaultParagraphFont"/>
    <w:qFormat/>
    <w:rsid w:val="00A415FF"/>
    <w:rPr>
      <w:i/>
    </w:rPr>
  </w:style>
  <w:style w:type="paragraph" w:customStyle="1" w:styleId="SuperHeading">
    <w:name w:val="SuperHeading"/>
    <w:basedOn w:val="Normal"/>
    <w:rsid w:val="00A415FF"/>
    <w:pPr>
      <w:spacing w:before="240" w:after="120"/>
      <w:outlineLvl w:val="0"/>
    </w:pPr>
    <w:rPr>
      <w:rFonts w:ascii="Times New Roman" w:hAnsi="Times New Roman"/>
      <w:b/>
      <w:sz w:val="32"/>
    </w:rPr>
  </w:style>
  <w:style w:type="paragraph" w:customStyle="1" w:styleId="AllowPageBreak">
    <w:name w:val="AllowPageBreak"/>
    <w:rsid w:val="00A415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15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15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15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15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15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15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15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15FF"/>
    <w:rPr>
      <w:rFonts w:ascii="Courier New" w:eastAsia="Times New Roman" w:hAnsi="Courier New" w:cs="Times New Roman"/>
      <w:i/>
      <w:szCs w:val="20"/>
      <w:lang w:eastAsia="en-US"/>
    </w:rPr>
  </w:style>
  <w:style w:type="paragraph" w:customStyle="1" w:styleId="HeadingBase">
    <w:name w:val="Heading Base"/>
    <w:rsid w:val="00A415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15FF"/>
    <w:pPr>
      <w:tabs>
        <w:tab w:val="right" w:leader="dot" w:pos="9072"/>
      </w:tabs>
      <w:ind w:left="567"/>
    </w:pPr>
    <w:rPr>
      <w:szCs w:val="22"/>
    </w:rPr>
  </w:style>
  <w:style w:type="paragraph" w:customStyle="1" w:styleId="TOCBase">
    <w:name w:val="TOC Base"/>
    <w:rsid w:val="00A415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15FF"/>
    <w:pPr>
      <w:tabs>
        <w:tab w:val="right" w:leader="dot" w:pos="9072"/>
      </w:tabs>
      <w:spacing w:before="40" w:after="40"/>
      <w:ind w:left="284"/>
    </w:pPr>
    <w:rPr>
      <w:rFonts w:ascii="Times New Roman" w:hAnsi="Times New Roman"/>
    </w:rPr>
  </w:style>
  <w:style w:type="paragraph" w:styleId="TOC1">
    <w:name w:val="toc 1"/>
    <w:basedOn w:val="TOCBase"/>
    <w:next w:val="Normal"/>
    <w:rsid w:val="00A415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15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15FF"/>
    <w:rPr>
      <w:rFonts w:ascii="Times New Roman" w:eastAsia="Times New Roman" w:hAnsi="Times New Roman" w:cs="Times New Roman"/>
      <w:sz w:val="16"/>
      <w:lang w:eastAsia="en-US"/>
    </w:rPr>
  </w:style>
  <w:style w:type="paragraph" w:styleId="Title">
    <w:name w:val="Title"/>
    <w:basedOn w:val="HeadingBase"/>
    <w:link w:val="TitleChar"/>
    <w:qFormat/>
    <w:rsid w:val="00A415FF"/>
    <w:pPr>
      <w:spacing w:before="5040"/>
      <w:jc w:val="center"/>
    </w:pPr>
    <w:rPr>
      <w:sz w:val="48"/>
      <w:szCs w:val="72"/>
      <w:lang w:val="en-US"/>
    </w:rPr>
  </w:style>
  <w:style w:type="character" w:customStyle="1" w:styleId="TitleChar">
    <w:name w:val="Title Char"/>
    <w:basedOn w:val="DefaultParagraphFont"/>
    <w:link w:val="Title"/>
    <w:rsid w:val="00A415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15FF"/>
    <w:pPr>
      <w:tabs>
        <w:tab w:val="left" w:pos="3600"/>
        <w:tab w:val="left" w:pos="3958"/>
      </w:tabs>
    </w:pPr>
  </w:style>
  <w:style w:type="paragraph" w:styleId="List">
    <w:name w:val="List"/>
    <w:basedOn w:val="BodyText"/>
    <w:next w:val="BodyText"/>
    <w:rsid w:val="00A415FF"/>
    <w:pPr>
      <w:tabs>
        <w:tab w:val="left" w:pos="340"/>
      </w:tabs>
      <w:spacing w:before="60" w:after="60"/>
      <w:ind w:left="340" w:hanging="340"/>
    </w:pPr>
  </w:style>
  <w:style w:type="paragraph" w:customStyle="1" w:styleId="Note">
    <w:name w:val="Note"/>
    <w:basedOn w:val="BodyText"/>
    <w:rsid w:val="00A415F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415FF"/>
    <w:rPr>
      <w:b/>
      <w:spacing w:val="0"/>
    </w:rPr>
  </w:style>
  <w:style w:type="paragraph" w:customStyle="1" w:styleId="SuperTitle">
    <w:name w:val="SuperTitle"/>
    <w:basedOn w:val="Title"/>
    <w:rsid w:val="00A415FF"/>
    <w:pPr>
      <w:framePr w:wrap="auto" w:hAnchor="text" w:y="6049"/>
    </w:pPr>
    <w:rPr>
      <w:color w:val="000000"/>
      <w:sz w:val="40"/>
    </w:rPr>
  </w:style>
  <w:style w:type="paragraph" w:customStyle="1" w:styleId="TOCTitle">
    <w:name w:val="TOCTitle"/>
    <w:basedOn w:val="Heading1"/>
    <w:rsid w:val="00A415FF"/>
    <w:pPr>
      <w:spacing w:after="240"/>
      <w:jc w:val="center"/>
      <w:outlineLvl w:val="9"/>
    </w:pPr>
    <w:rPr>
      <w:caps/>
    </w:rPr>
  </w:style>
  <w:style w:type="paragraph" w:customStyle="1" w:styleId="Version">
    <w:name w:val="Version"/>
    <w:rsid w:val="00A415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15FF"/>
    <w:pPr>
      <w:numPr>
        <w:numId w:val="12"/>
      </w:numPr>
      <w:tabs>
        <w:tab w:val="clear" w:pos="680"/>
      </w:tabs>
    </w:pPr>
  </w:style>
  <w:style w:type="paragraph" w:styleId="Index1">
    <w:name w:val="index 1"/>
    <w:basedOn w:val="Normal"/>
    <w:next w:val="Normal"/>
    <w:semiHidden/>
    <w:rsid w:val="00A415FF"/>
    <w:pPr>
      <w:keepNext w:val="0"/>
      <w:tabs>
        <w:tab w:val="right" w:pos="4176"/>
      </w:tabs>
      <w:ind w:left="198" w:hanging="198"/>
    </w:pPr>
    <w:rPr>
      <w:rFonts w:ascii="Garamond" w:hAnsi="Garamond"/>
    </w:rPr>
  </w:style>
  <w:style w:type="paragraph" w:styleId="IndexHeading">
    <w:name w:val="index heading"/>
    <w:basedOn w:val="Normal"/>
    <w:next w:val="Index1"/>
    <w:semiHidden/>
    <w:rsid w:val="00A415FF"/>
    <w:pPr>
      <w:spacing w:before="120" w:after="120"/>
    </w:pPr>
    <w:rPr>
      <w:rFonts w:ascii="Arial" w:hAnsi="Arial"/>
      <w:b/>
      <w:color w:val="918585"/>
      <w:sz w:val="24"/>
    </w:rPr>
  </w:style>
  <w:style w:type="paragraph" w:styleId="Header">
    <w:name w:val="header"/>
    <w:basedOn w:val="Normal"/>
    <w:link w:val="HeaderChar"/>
    <w:rsid w:val="00A415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15FF"/>
    <w:rPr>
      <w:rFonts w:ascii="Times New Roman" w:eastAsia="Times New Roman" w:hAnsi="Times New Roman" w:cs="Times New Roman"/>
      <w:sz w:val="16"/>
      <w:szCs w:val="20"/>
      <w:lang w:val="en-GB" w:eastAsia="en-US"/>
    </w:rPr>
  </w:style>
  <w:style w:type="paragraph" w:customStyle="1" w:styleId="Chapter">
    <w:name w:val="Chapter"/>
    <w:basedOn w:val="Normal"/>
    <w:rsid w:val="00A415FF"/>
    <w:pPr>
      <w:spacing w:before="240"/>
    </w:pPr>
    <w:rPr>
      <w:rFonts w:ascii="Times New Roman" w:hAnsi="Times New Roman"/>
      <w:smallCaps/>
      <w:spacing w:val="80"/>
      <w:sz w:val="28"/>
    </w:rPr>
  </w:style>
  <w:style w:type="paragraph" w:customStyle="1" w:styleId="InChapter">
    <w:name w:val="InChapter"/>
    <w:basedOn w:val="Heading3"/>
    <w:rsid w:val="00A415FF"/>
    <w:pPr>
      <w:spacing w:after="240"/>
      <w:outlineLvl w:val="9"/>
    </w:pPr>
    <w:rPr>
      <w:noProof/>
    </w:rPr>
  </w:style>
  <w:style w:type="paragraph" w:styleId="Index2">
    <w:name w:val="index 2"/>
    <w:basedOn w:val="Normal"/>
    <w:next w:val="Normal"/>
    <w:semiHidden/>
    <w:rsid w:val="00A415FF"/>
    <w:pPr>
      <w:tabs>
        <w:tab w:val="right" w:pos="4176"/>
      </w:tabs>
      <w:ind w:left="568" w:hanging="284"/>
    </w:pPr>
    <w:rPr>
      <w:rFonts w:ascii="Garamond" w:hAnsi="Garamond"/>
    </w:rPr>
  </w:style>
  <w:style w:type="paragraph" w:customStyle="1" w:styleId="Byline">
    <w:name w:val="Byline"/>
    <w:rsid w:val="00A415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15FF"/>
    <w:pPr>
      <w:tabs>
        <w:tab w:val="clear" w:pos="3600"/>
        <w:tab w:val="clear" w:pos="3958"/>
      </w:tabs>
      <w:jc w:val="right"/>
    </w:pPr>
  </w:style>
  <w:style w:type="paragraph" w:styleId="Caption">
    <w:name w:val="caption"/>
    <w:basedOn w:val="BodyText"/>
    <w:next w:val="Normal"/>
    <w:qFormat/>
    <w:rsid w:val="00A415FF"/>
    <w:pPr>
      <w:framePr w:w="2268" w:hSpace="181" w:vSpace="181" w:wrap="around" w:vAnchor="text" w:hAnchor="page" w:x="1135" w:y="285" w:anchorLock="1"/>
    </w:pPr>
    <w:rPr>
      <w:i/>
    </w:rPr>
  </w:style>
  <w:style w:type="paragraph" w:customStyle="1" w:styleId="MiniTOCTitle">
    <w:name w:val="MiniTOCTitle"/>
    <w:basedOn w:val="Heading4"/>
    <w:rsid w:val="00A415FF"/>
    <w:pPr>
      <w:spacing w:before="240"/>
      <w:outlineLvl w:val="9"/>
    </w:pPr>
    <w:rPr>
      <w:noProof/>
      <w:sz w:val="24"/>
    </w:rPr>
  </w:style>
  <w:style w:type="paragraph" w:customStyle="1" w:styleId="MiniTOCItem">
    <w:name w:val="MiniTOCItem"/>
    <w:basedOn w:val="ListBullet"/>
    <w:rsid w:val="00A415FF"/>
    <w:pPr>
      <w:numPr>
        <w:numId w:val="0"/>
      </w:numPr>
      <w:tabs>
        <w:tab w:val="right" w:leader="dot" w:pos="6521"/>
      </w:tabs>
      <w:spacing w:before="0" w:after="0"/>
    </w:pPr>
  </w:style>
  <w:style w:type="paragraph" w:customStyle="1" w:styleId="TOFTitle">
    <w:name w:val="TOFTitle"/>
    <w:basedOn w:val="TOCTitle"/>
    <w:rsid w:val="00A415FF"/>
  </w:style>
  <w:style w:type="paragraph" w:styleId="TableofFigures">
    <w:name w:val="table of figures"/>
    <w:basedOn w:val="Normal"/>
    <w:next w:val="Normal"/>
    <w:semiHidden/>
    <w:rsid w:val="00A415FF"/>
    <w:pPr>
      <w:tabs>
        <w:tab w:val="right" w:leader="dot" w:pos="9072"/>
      </w:tabs>
      <w:ind w:left="970" w:hanging="403"/>
    </w:pPr>
    <w:rPr>
      <w:rFonts w:ascii="Times New Roman" w:hAnsi="Times New Roman"/>
      <w:b/>
    </w:rPr>
  </w:style>
  <w:style w:type="paragraph" w:styleId="ListNumber">
    <w:name w:val="List Number"/>
    <w:basedOn w:val="List"/>
    <w:rsid w:val="00A415FF"/>
    <w:pPr>
      <w:numPr>
        <w:numId w:val="14"/>
      </w:numPr>
      <w:tabs>
        <w:tab w:val="clear" w:pos="340"/>
      </w:tabs>
    </w:pPr>
  </w:style>
  <w:style w:type="character" w:customStyle="1" w:styleId="WingdingSymbols">
    <w:name w:val="Wingding Symbols"/>
    <w:rsid w:val="00A415FF"/>
    <w:rPr>
      <w:rFonts w:ascii="Wingdings" w:hAnsi="Wingdings"/>
    </w:rPr>
  </w:style>
  <w:style w:type="paragraph" w:customStyle="1" w:styleId="TableHeading">
    <w:name w:val="Table Heading"/>
    <w:basedOn w:val="HeadingBase"/>
    <w:rsid w:val="00A415FF"/>
    <w:pPr>
      <w:keepLines/>
      <w:pBdr>
        <w:bottom w:val="single" w:sz="6" w:space="1" w:color="918585"/>
      </w:pBdr>
      <w:spacing w:before="240"/>
    </w:pPr>
  </w:style>
  <w:style w:type="character" w:customStyle="1" w:styleId="HotSpot">
    <w:name w:val="HotSpot"/>
    <w:rsid w:val="00A415FF"/>
    <w:rPr>
      <w:color w:val="0033CC"/>
      <w:u w:val="none"/>
    </w:rPr>
  </w:style>
  <w:style w:type="paragraph" w:customStyle="1" w:styleId="BodyTextRight">
    <w:name w:val="Body Text Right"/>
    <w:basedOn w:val="BodyText"/>
    <w:rsid w:val="00A415FF"/>
    <w:pPr>
      <w:spacing w:before="0" w:after="0"/>
      <w:jc w:val="right"/>
    </w:pPr>
  </w:style>
  <w:style w:type="paragraph" w:styleId="Index3">
    <w:name w:val="index 3"/>
    <w:basedOn w:val="ListNumber2"/>
    <w:next w:val="Normal"/>
    <w:semiHidden/>
    <w:rsid w:val="00A415FF"/>
    <w:pPr>
      <w:numPr>
        <w:numId w:val="0"/>
      </w:numPr>
      <w:tabs>
        <w:tab w:val="right" w:leader="dot" w:pos="4176"/>
      </w:tabs>
    </w:pPr>
  </w:style>
  <w:style w:type="paragraph" w:styleId="ListNumber2">
    <w:name w:val="List Number 2"/>
    <w:basedOn w:val="List2"/>
    <w:rsid w:val="00A415FF"/>
    <w:pPr>
      <w:numPr>
        <w:numId w:val="9"/>
      </w:numPr>
      <w:tabs>
        <w:tab w:val="clear" w:pos="1060"/>
      </w:tabs>
    </w:pPr>
  </w:style>
  <w:style w:type="paragraph" w:customStyle="1" w:styleId="MarginNote">
    <w:name w:val="Margin Note"/>
    <w:basedOn w:val="BodyText"/>
    <w:rsid w:val="00A415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15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15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15FF"/>
    <w:rPr>
      <w:sz w:val="32"/>
    </w:rPr>
  </w:style>
  <w:style w:type="paragraph" w:customStyle="1" w:styleId="HeadingProcedure">
    <w:name w:val="Heading Procedure"/>
    <w:basedOn w:val="HeadingBase"/>
    <w:next w:val="Normal"/>
    <w:rsid w:val="00A415FF"/>
    <w:pPr>
      <w:tabs>
        <w:tab w:val="left" w:pos="0"/>
      </w:tabs>
      <w:spacing w:before="120" w:after="60"/>
    </w:pPr>
    <w:rPr>
      <w:i/>
      <w:color w:val="918585"/>
      <w:sz w:val="22"/>
    </w:rPr>
  </w:style>
  <w:style w:type="paragraph" w:customStyle="1" w:styleId="TableBodyText">
    <w:name w:val="Table Body Text"/>
    <w:basedOn w:val="BodyText"/>
    <w:rsid w:val="00A415FF"/>
    <w:pPr>
      <w:spacing w:before="60" w:after="60"/>
    </w:pPr>
  </w:style>
  <w:style w:type="paragraph" w:styleId="ListContinue">
    <w:name w:val="List Continue"/>
    <w:basedOn w:val="List"/>
    <w:rsid w:val="00A415FF"/>
    <w:pPr>
      <w:ind w:firstLine="0"/>
    </w:pPr>
  </w:style>
  <w:style w:type="paragraph" w:customStyle="1" w:styleId="ListNote">
    <w:name w:val="List Note"/>
    <w:basedOn w:val="List"/>
    <w:rsid w:val="00A415FF"/>
    <w:pPr>
      <w:pBdr>
        <w:top w:val="single" w:sz="6" w:space="2" w:color="918585"/>
        <w:bottom w:val="single" w:sz="6" w:space="2" w:color="918585"/>
      </w:pBdr>
      <w:tabs>
        <w:tab w:val="left" w:pos="1021"/>
      </w:tabs>
      <w:ind w:firstLine="0"/>
    </w:pPr>
  </w:style>
  <w:style w:type="paragraph" w:customStyle="1" w:styleId="Warning">
    <w:name w:val="Warning"/>
    <w:basedOn w:val="BodyText"/>
    <w:rsid w:val="00A415FF"/>
    <w:pPr>
      <w:shd w:val="clear" w:color="auto" w:fill="D9D9D9"/>
      <w:tabs>
        <w:tab w:val="left" w:pos="992"/>
      </w:tabs>
      <w:ind w:left="119" w:right="119"/>
    </w:pPr>
    <w:rPr>
      <w:sz w:val="20"/>
    </w:rPr>
  </w:style>
  <w:style w:type="paragraph" w:customStyle="1" w:styleId="MarginIcons">
    <w:name w:val="Margin Icons"/>
    <w:basedOn w:val="BodyText"/>
    <w:rsid w:val="00A415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15FF"/>
    <w:rPr>
      <w:rFonts w:ascii="Courier New" w:hAnsi="Courier New"/>
    </w:rPr>
  </w:style>
  <w:style w:type="paragraph" w:customStyle="1" w:styleId="NoteBullet">
    <w:name w:val="Note Bullet"/>
    <w:basedOn w:val="Note"/>
    <w:rsid w:val="00A415FF"/>
    <w:pPr>
      <w:tabs>
        <w:tab w:val="clear" w:pos="680"/>
      </w:tabs>
      <w:spacing w:before="60" w:after="60"/>
    </w:pPr>
  </w:style>
  <w:style w:type="paragraph" w:customStyle="1" w:styleId="SubHeading2">
    <w:name w:val="SubHeading2"/>
    <w:basedOn w:val="HeadingBase"/>
    <w:rsid w:val="00A415FF"/>
    <w:pPr>
      <w:spacing w:before="240" w:after="60"/>
    </w:pPr>
    <w:rPr>
      <w:sz w:val="20"/>
    </w:rPr>
  </w:style>
  <w:style w:type="paragraph" w:customStyle="1" w:styleId="SubHeading1">
    <w:name w:val="SubHeading1"/>
    <w:basedOn w:val="HeadingBase"/>
    <w:rsid w:val="00A415FF"/>
    <w:pPr>
      <w:spacing w:before="240" w:after="60"/>
    </w:pPr>
    <w:rPr>
      <w:color w:val="918585"/>
      <w:sz w:val="22"/>
    </w:rPr>
  </w:style>
  <w:style w:type="paragraph" w:customStyle="1" w:styleId="SideHeading">
    <w:name w:val="Side Heading"/>
    <w:basedOn w:val="HeadingBase"/>
    <w:rsid w:val="00A415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15FF"/>
    <w:pPr>
      <w:numPr>
        <w:numId w:val="10"/>
      </w:numPr>
    </w:pPr>
  </w:style>
  <w:style w:type="paragraph" w:styleId="PlainText">
    <w:name w:val="Plain Text"/>
    <w:basedOn w:val="Normal"/>
    <w:link w:val="PlainTextChar"/>
    <w:rsid w:val="00A415FF"/>
    <w:rPr>
      <w:sz w:val="20"/>
    </w:rPr>
  </w:style>
  <w:style w:type="character" w:customStyle="1" w:styleId="PlainTextChar">
    <w:name w:val="Plain Text Char"/>
    <w:basedOn w:val="DefaultParagraphFont"/>
    <w:link w:val="PlainText"/>
    <w:rsid w:val="00A415FF"/>
    <w:rPr>
      <w:rFonts w:ascii="Courier New" w:eastAsia="Times New Roman" w:hAnsi="Courier New" w:cs="Times New Roman"/>
      <w:sz w:val="20"/>
      <w:szCs w:val="20"/>
      <w:lang w:eastAsia="en-US"/>
    </w:rPr>
  </w:style>
  <w:style w:type="character" w:customStyle="1" w:styleId="MenuOption">
    <w:name w:val="Menu Option"/>
    <w:basedOn w:val="DefaultParagraphFont"/>
    <w:rsid w:val="00A415FF"/>
    <w:rPr>
      <w:b/>
      <w:smallCaps/>
    </w:rPr>
  </w:style>
  <w:style w:type="paragraph" w:customStyle="1" w:styleId="TableListNumber">
    <w:name w:val="Table List Number"/>
    <w:basedOn w:val="ListNumber"/>
    <w:rsid w:val="00A415FF"/>
    <w:pPr>
      <w:numPr>
        <w:numId w:val="0"/>
      </w:numPr>
    </w:pPr>
  </w:style>
  <w:style w:type="paragraph" w:styleId="TOC4">
    <w:name w:val="toc 4"/>
    <w:basedOn w:val="TOCBase"/>
    <w:next w:val="Normal"/>
    <w:semiHidden/>
    <w:rsid w:val="00A415FF"/>
    <w:pPr>
      <w:tabs>
        <w:tab w:val="right" w:leader="dot" w:pos="9071"/>
      </w:tabs>
      <w:ind w:left="1701"/>
    </w:pPr>
  </w:style>
  <w:style w:type="paragraph" w:customStyle="1" w:styleId="ListAlpha">
    <w:name w:val="List Alpha"/>
    <w:basedOn w:val="List"/>
    <w:rsid w:val="00A415FF"/>
    <w:pPr>
      <w:numPr>
        <w:numId w:val="8"/>
      </w:numPr>
    </w:pPr>
  </w:style>
  <w:style w:type="paragraph" w:customStyle="1" w:styleId="ListAlpha2">
    <w:name w:val="List Alpha 2"/>
    <w:basedOn w:val="List2"/>
    <w:rsid w:val="00A415FF"/>
    <w:pPr>
      <w:numPr>
        <w:numId w:val="7"/>
      </w:numPr>
    </w:pPr>
  </w:style>
  <w:style w:type="paragraph" w:styleId="List2">
    <w:name w:val="List 2"/>
    <w:basedOn w:val="BodyText"/>
    <w:rsid w:val="00A415FF"/>
    <w:pPr>
      <w:tabs>
        <w:tab w:val="left" w:pos="680"/>
      </w:tabs>
      <w:spacing w:before="60" w:after="60"/>
      <w:ind w:left="680" w:hanging="340"/>
    </w:pPr>
  </w:style>
  <w:style w:type="paragraph" w:styleId="List3">
    <w:name w:val="List 3"/>
    <w:basedOn w:val="BodyText"/>
    <w:rsid w:val="00A415FF"/>
    <w:pPr>
      <w:tabs>
        <w:tab w:val="left" w:pos="1021"/>
      </w:tabs>
      <w:spacing w:before="60" w:after="60"/>
      <w:ind w:left="1020" w:hanging="340"/>
    </w:pPr>
  </w:style>
  <w:style w:type="paragraph" w:styleId="List4">
    <w:name w:val="List 4"/>
    <w:basedOn w:val="BodyText"/>
    <w:rsid w:val="00A415FF"/>
    <w:pPr>
      <w:tabs>
        <w:tab w:val="left" w:pos="1361"/>
      </w:tabs>
      <w:spacing w:before="60" w:after="60"/>
      <w:ind w:left="1361" w:hanging="340"/>
    </w:pPr>
  </w:style>
  <w:style w:type="paragraph" w:styleId="List5">
    <w:name w:val="List 5"/>
    <w:basedOn w:val="BodyText"/>
    <w:rsid w:val="00A415FF"/>
    <w:pPr>
      <w:tabs>
        <w:tab w:val="left" w:pos="1701"/>
      </w:tabs>
      <w:spacing w:before="60" w:after="60"/>
      <w:ind w:left="1701" w:hanging="340"/>
    </w:pPr>
  </w:style>
  <w:style w:type="paragraph" w:styleId="ListBullet3">
    <w:name w:val="List Bullet 3"/>
    <w:basedOn w:val="List3"/>
    <w:rsid w:val="00A415FF"/>
    <w:pPr>
      <w:numPr>
        <w:numId w:val="13"/>
      </w:numPr>
      <w:tabs>
        <w:tab w:val="clear" w:pos="1021"/>
      </w:tabs>
      <w:ind w:left="1037" w:hanging="357"/>
    </w:pPr>
  </w:style>
  <w:style w:type="paragraph" w:styleId="ListBullet4">
    <w:name w:val="List Bullet 4"/>
    <w:basedOn w:val="List4"/>
    <w:rsid w:val="00A415FF"/>
    <w:pPr>
      <w:numPr>
        <w:numId w:val="2"/>
      </w:numPr>
      <w:tabs>
        <w:tab w:val="clear" w:pos="1361"/>
      </w:tabs>
    </w:pPr>
  </w:style>
  <w:style w:type="paragraph" w:styleId="ListBullet5">
    <w:name w:val="List Bullet 5"/>
    <w:basedOn w:val="List5"/>
    <w:rsid w:val="00A415FF"/>
    <w:pPr>
      <w:numPr>
        <w:numId w:val="3"/>
      </w:numPr>
    </w:pPr>
  </w:style>
  <w:style w:type="paragraph" w:styleId="ListContinue2">
    <w:name w:val="List Continue 2"/>
    <w:basedOn w:val="List2"/>
    <w:rsid w:val="00A415FF"/>
    <w:pPr>
      <w:ind w:firstLine="0"/>
    </w:pPr>
  </w:style>
  <w:style w:type="paragraph" w:styleId="ListContinue3">
    <w:name w:val="List Continue 3"/>
    <w:basedOn w:val="List3"/>
    <w:rsid w:val="00A415FF"/>
    <w:pPr>
      <w:ind w:left="1021" w:firstLine="0"/>
    </w:pPr>
  </w:style>
  <w:style w:type="paragraph" w:styleId="ListContinue4">
    <w:name w:val="List Continue 4"/>
    <w:basedOn w:val="List4"/>
    <w:rsid w:val="00A415FF"/>
    <w:pPr>
      <w:ind w:firstLine="0"/>
    </w:pPr>
  </w:style>
  <w:style w:type="paragraph" w:styleId="ListContinue5">
    <w:name w:val="List Continue 5"/>
    <w:basedOn w:val="List5"/>
    <w:rsid w:val="00A415FF"/>
    <w:pPr>
      <w:ind w:firstLine="0"/>
    </w:pPr>
  </w:style>
  <w:style w:type="paragraph" w:styleId="ListNumber3">
    <w:name w:val="List Number 3"/>
    <w:basedOn w:val="List3"/>
    <w:rsid w:val="00A415FF"/>
    <w:pPr>
      <w:numPr>
        <w:numId w:val="4"/>
      </w:numPr>
    </w:pPr>
  </w:style>
  <w:style w:type="paragraph" w:styleId="ListNumber4">
    <w:name w:val="List Number 4"/>
    <w:basedOn w:val="List4"/>
    <w:rsid w:val="00A415FF"/>
    <w:pPr>
      <w:numPr>
        <w:numId w:val="5"/>
      </w:numPr>
    </w:pPr>
  </w:style>
  <w:style w:type="paragraph" w:styleId="ListNumber5">
    <w:name w:val="List Number 5"/>
    <w:basedOn w:val="List5"/>
    <w:rsid w:val="00A415FF"/>
    <w:pPr>
      <w:numPr>
        <w:numId w:val="6"/>
      </w:numPr>
    </w:pPr>
  </w:style>
  <w:style w:type="paragraph" w:styleId="BlockText">
    <w:name w:val="Block Text"/>
    <w:basedOn w:val="Normal"/>
    <w:rsid w:val="00A415FF"/>
    <w:pPr>
      <w:spacing w:after="120"/>
      <w:ind w:left="1440" w:right="1440"/>
    </w:pPr>
  </w:style>
  <w:style w:type="character" w:customStyle="1" w:styleId="Subscript">
    <w:name w:val="Subscript"/>
    <w:basedOn w:val="DefaultParagraphFont"/>
    <w:rsid w:val="00A415FF"/>
    <w:rPr>
      <w:sz w:val="16"/>
      <w:vertAlign w:val="subscript"/>
    </w:rPr>
  </w:style>
  <w:style w:type="character" w:customStyle="1" w:styleId="Superscript">
    <w:name w:val="Superscript"/>
    <w:basedOn w:val="DefaultParagraphFont"/>
    <w:rsid w:val="00A415FF"/>
    <w:rPr>
      <w:sz w:val="16"/>
      <w:vertAlign w:val="superscript"/>
    </w:rPr>
  </w:style>
  <w:style w:type="character" w:customStyle="1" w:styleId="Symbols">
    <w:name w:val="Symbols"/>
    <w:basedOn w:val="DefaultParagraphFont"/>
    <w:rsid w:val="00A415FF"/>
    <w:rPr>
      <w:rFonts w:ascii="Symbol" w:hAnsi="Symbol"/>
    </w:rPr>
  </w:style>
  <w:style w:type="character" w:customStyle="1" w:styleId="MenuOptions">
    <w:name w:val="Menu Options"/>
    <w:basedOn w:val="DefaultParagraphFont"/>
    <w:rsid w:val="00A415FF"/>
    <w:rPr>
      <w:rFonts w:ascii="Arial Narrow" w:hAnsi="Arial Narrow"/>
      <w:smallCaps/>
    </w:rPr>
  </w:style>
  <w:style w:type="character" w:customStyle="1" w:styleId="Buttons">
    <w:name w:val="Buttons"/>
    <w:basedOn w:val="DefaultParagraphFont"/>
    <w:rsid w:val="00A415FF"/>
    <w:rPr>
      <w:b/>
    </w:rPr>
  </w:style>
  <w:style w:type="character" w:customStyle="1" w:styleId="Underlined">
    <w:name w:val="Underlined"/>
    <w:basedOn w:val="DefaultParagraphFont"/>
    <w:rsid w:val="00A415FF"/>
    <w:rPr>
      <w:u w:val="single"/>
    </w:rPr>
  </w:style>
  <w:style w:type="paragraph" w:customStyle="1" w:styleId="TableBodyTextRight">
    <w:name w:val="Table Body Text Right"/>
    <w:basedOn w:val="TableBodyText"/>
    <w:rsid w:val="00A415FF"/>
    <w:pPr>
      <w:widowControl w:val="0"/>
      <w:autoSpaceDE w:val="0"/>
      <w:autoSpaceDN w:val="0"/>
      <w:adjustRightInd w:val="0"/>
      <w:jc w:val="right"/>
    </w:pPr>
    <w:rPr>
      <w:rFonts w:cs="Arial"/>
      <w:szCs w:val="18"/>
    </w:rPr>
  </w:style>
  <w:style w:type="paragraph" w:customStyle="1" w:styleId="CopyrightText">
    <w:name w:val="Copyright Text"/>
    <w:basedOn w:val="BodyText"/>
    <w:rsid w:val="00A415FF"/>
    <w:rPr>
      <w:sz w:val="18"/>
    </w:rPr>
  </w:style>
  <w:style w:type="paragraph" w:customStyle="1" w:styleId="BodySmallRight">
    <w:name w:val="Body Small Right"/>
    <w:basedOn w:val="BodyTextRight"/>
    <w:rsid w:val="00A415FF"/>
    <w:rPr>
      <w:sz w:val="18"/>
      <w:szCs w:val="18"/>
    </w:rPr>
  </w:style>
  <w:style w:type="paragraph" w:customStyle="1" w:styleId="MarginEdition">
    <w:name w:val="Margin Edition"/>
    <w:basedOn w:val="MarginNote"/>
    <w:rsid w:val="00A415FF"/>
    <w:pPr>
      <w:spacing w:before="0" w:after="0"/>
    </w:pPr>
    <w:rPr>
      <w:rFonts w:ascii="Times New Roman" w:hAnsi="Times New Roman"/>
      <w:color w:val="999999"/>
    </w:rPr>
  </w:style>
  <w:style w:type="paragraph" w:customStyle="1" w:styleId="Spacer">
    <w:name w:val="Spacer"/>
    <w:basedOn w:val="Normal"/>
    <w:rsid w:val="00A415FF"/>
    <w:rPr>
      <w:sz w:val="2"/>
      <w:szCs w:val="2"/>
    </w:rPr>
  </w:style>
  <w:style w:type="character" w:customStyle="1" w:styleId="Small">
    <w:name w:val="Small"/>
    <w:basedOn w:val="DefaultParagraphFont"/>
    <w:rsid w:val="00A415FF"/>
    <w:rPr>
      <w:sz w:val="16"/>
    </w:rPr>
  </w:style>
  <w:style w:type="paragraph" w:customStyle="1" w:styleId="WideTable">
    <w:name w:val="Wide Table"/>
    <w:basedOn w:val="Normal"/>
    <w:rsid w:val="00A415FF"/>
    <w:pPr>
      <w:ind w:left="-1418"/>
    </w:pPr>
    <w:rPr>
      <w:sz w:val="2"/>
      <w:szCs w:val="2"/>
    </w:rPr>
  </w:style>
  <w:style w:type="character" w:styleId="PageNumber">
    <w:name w:val="page number"/>
    <w:basedOn w:val="DefaultParagraphFont"/>
    <w:rsid w:val="00A415FF"/>
  </w:style>
  <w:style w:type="paragraph" w:styleId="Quote">
    <w:name w:val="Quote"/>
    <w:basedOn w:val="Heading1"/>
    <w:link w:val="QuoteChar"/>
    <w:qFormat/>
    <w:rsid w:val="00A415FF"/>
    <w:rPr>
      <w:b w:val="0"/>
      <w:sz w:val="72"/>
      <w:szCs w:val="72"/>
      <w:lang w:val="en-NZ"/>
    </w:rPr>
  </w:style>
  <w:style w:type="character" w:customStyle="1" w:styleId="QuoteChar">
    <w:name w:val="Quote Char"/>
    <w:basedOn w:val="DefaultParagraphFont"/>
    <w:link w:val="Quote"/>
    <w:rsid w:val="00A415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15FF"/>
    <w:pPr>
      <w:pageBreakBefore/>
    </w:pPr>
  </w:style>
  <w:style w:type="paragraph" w:customStyle="1" w:styleId="Border">
    <w:name w:val="Border"/>
    <w:basedOn w:val="Normal"/>
    <w:qFormat/>
    <w:rsid w:val="00A415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15FF"/>
    <w:rPr>
      <w:b/>
      <w:bCs/>
      <w:i/>
      <w:iCs/>
      <w:color w:val="auto"/>
    </w:rPr>
  </w:style>
  <w:style w:type="paragraph" w:styleId="IntenseQuote">
    <w:name w:val="Intense Quote"/>
    <w:basedOn w:val="Normal"/>
    <w:next w:val="Normal"/>
    <w:link w:val="IntenseQuoteChar"/>
    <w:uiPriority w:val="30"/>
    <w:qFormat/>
    <w:rsid w:val="00A415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15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15FF"/>
    <w:rPr>
      <w:smallCaps/>
      <w:color w:val="auto"/>
      <w:u w:val="single"/>
    </w:rPr>
  </w:style>
  <w:style w:type="character" w:styleId="IntenseReference">
    <w:name w:val="Intense Reference"/>
    <w:basedOn w:val="DefaultParagraphFont"/>
    <w:uiPriority w:val="32"/>
    <w:qFormat/>
    <w:rsid w:val="00A415FF"/>
    <w:rPr>
      <w:b/>
      <w:bCs/>
      <w:smallCaps/>
      <w:color w:val="auto"/>
      <w:spacing w:val="5"/>
      <w:u w:val="single"/>
    </w:rPr>
  </w:style>
  <w:style w:type="paragraph" w:customStyle="1" w:styleId="2ColumnHeading">
    <w:name w:val="2Column Heading"/>
    <w:basedOn w:val="BodyText"/>
    <w:qFormat/>
    <w:rsid w:val="00A415FF"/>
    <w:pPr>
      <w:spacing w:after="60"/>
      <w:ind w:left="-2268"/>
    </w:pPr>
    <w:rPr>
      <w:b/>
    </w:rPr>
  </w:style>
  <w:style w:type="paragraph" w:customStyle="1" w:styleId="Heading1TOC">
    <w:name w:val="Heading1 TOC"/>
    <w:basedOn w:val="Normal"/>
    <w:qFormat/>
    <w:rsid w:val="00A415FF"/>
    <w:pPr>
      <w:spacing w:before="240" w:after="120"/>
    </w:pPr>
    <w:rPr>
      <w:rFonts w:ascii="Times New Roman" w:hAnsi="Times New Roman"/>
      <w:b/>
      <w:sz w:val="32"/>
    </w:rPr>
  </w:style>
  <w:style w:type="paragraph" w:customStyle="1" w:styleId="Heading2TOC">
    <w:name w:val="Heading2 TOC"/>
    <w:basedOn w:val="Normal"/>
    <w:qFormat/>
    <w:rsid w:val="00A415FF"/>
    <w:pPr>
      <w:spacing w:before="240" w:after="60"/>
    </w:pPr>
    <w:rPr>
      <w:rFonts w:ascii="Times New Roman" w:hAnsi="Times New Roman"/>
      <w:b/>
      <w:sz w:val="28"/>
    </w:rPr>
  </w:style>
  <w:style w:type="character" w:customStyle="1" w:styleId="Underline">
    <w:name w:val="Underline"/>
    <w:basedOn w:val="DefaultParagraphFont"/>
    <w:qFormat/>
    <w:rsid w:val="00A415FF"/>
    <w:rPr>
      <w:u w:val="single"/>
    </w:rPr>
  </w:style>
  <w:style w:type="character" w:customStyle="1" w:styleId="BoldandItalics">
    <w:name w:val="Bold and Italics"/>
    <w:qFormat/>
    <w:rsid w:val="00A415FF"/>
    <w:rPr>
      <w:b/>
      <w:i/>
      <w:u w:val="none"/>
    </w:rPr>
  </w:style>
  <w:style w:type="paragraph" w:styleId="BalloonText">
    <w:name w:val="Balloon Text"/>
    <w:basedOn w:val="Normal"/>
    <w:link w:val="BalloonTextChar"/>
    <w:rsid w:val="00A415FF"/>
    <w:rPr>
      <w:rFonts w:ascii="Tahoma" w:hAnsi="Tahoma" w:cs="Tahoma"/>
      <w:sz w:val="16"/>
      <w:szCs w:val="16"/>
    </w:rPr>
  </w:style>
  <w:style w:type="character" w:customStyle="1" w:styleId="BalloonTextChar">
    <w:name w:val="Balloon Text Char"/>
    <w:basedOn w:val="DefaultParagraphFont"/>
    <w:link w:val="BalloonText"/>
    <w:rsid w:val="00A415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15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15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15FF"/>
    <w:rPr>
      <w:b/>
      <w:color w:val="660033"/>
      <w:spacing w:val="0"/>
    </w:rPr>
  </w:style>
  <w:style w:type="paragraph" w:customStyle="1" w:styleId="Nameditemlist">
    <w:name w:val="Named item list"/>
    <w:basedOn w:val="BodyText"/>
    <w:qFormat/>
    <w:rsid w:val="00A415FF"/>
    <w:pPr>
      <w:tabs>
        <w:tab w:val="left" w:pos="2835"/>
      </w:tabs>
      <w:ind w:left="2835" w:hanging="2835"/>
    </w:pPr>
  </w:style>
  <w:style w:type="paragraph" w:customStyle="1" w:styleId="BodyTextnopadding">
    <w:name w:val="Body Text no padding"/>
    <w:basedOn w:val="BodyText"/>
    <w:qFormat/>
    <w:rsid w:val="00A415FF"/>
    <w:pPr>
      <w:spacing w:before="0" w:after="0"/>
    </w:pPr>
  </w:style>
  <w:style w:type="paragraph" w:customStyle="1" w:styleId="BodyTextBold">
    <w:name w:val="Body Text Bold"/>
    <w:basedOn w:val="BodyText"/>
    <w:qFormat/>
    <w:rsid w:val="00A415FF"/>
    <w:rPr>
      <w:b/>
    </w:rPr>
  </w:style>
  <w:style w:type="character" w:styleId="Hyperlink">
    <w:name w:val="Hyperlink"/>
    <w:basedOn w:val="DefaultParagraphFont"/>
    <w:uiPriority w:val="99"/>
    <w:unhideWhenUsed/>
    <w:rsid w:val="00C803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622</Words>
  <Characters>4392</Characters>
  <Application>Microsoft Office Word</Application>
  <DocSecurity>0</DocSecurity>
  <Lines>91</Lines>
  <Paragraphs>72</Paragraphs>
  <ScaleCrop>false</ScaleCrop>
  <Company>Author-it Software Corporation Ltd.</Company>
  <LinksUpToDate>false</LinksUpToDate>
  <CharactersWithSpaces>4942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TLIX6002 Contribute to materiel logistics strategies</dc:title>
  <dc:subject>Approved</dc:subject>
  <dc:creator>Australian Industry Standards</dc:creator>
  <cp:keywords>Release: 1</cp:keywords>
  <dc:description>Review Date: 12 April 2008</dc:description>
  <cp:lastModifiedBy>HSD_TPCMSd.prod</cp:lastModifiedBy>
  <cp:revision>3</cp:revision>
  <dcterms:created xsi:type="dcterms:W3CDTF">2022-10-25T04:52:00Z</dcterms:created>
  <dcterms:modified xsi:type="dcterms:W3CDTF">2022-10-25T04:52:00Z</dcterms:modified>
</cp:coreProperties>
</file>