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E4C" w:rsidP="00682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TLIX5058 Review decisions of regulatory bodies</w:t>
      </w:r>
      <w:r>
        <w:fldChar w:fldCharType="end"/>
      </w:r>
    </w:p>
    <w:p w:rsidR="00682E4C" w:rsidP="00682E4C">
      <w:pPr>
        <w:pStyle w:val="Version"/>
        <w:sectPr w:rsidSect="00693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595" w:rsidP="00693595">
      <w:pPr>
        <w:pStyle w:val="SuperHeading"/>
      </w:pPr>
      <w:r w:rsidRPr="00693595">
        <w:t>TLIX5058 Review decisions of regulatory bodies</w:t>
      </w:r>
    </w:p>
    <w:p w:rsidR="00000000" w:rsidRPr="00693595" w:rsidP="00693595">
      <w:pPr>
        <w:pStyle w:val="Heading1"/>
      </w:pPr>
      <w:bookmarkStart w:id="1" w:name="O_838653"/>
      <w:bookmarkEnd w:id="1"/>
      <w:r w:rsidRPr="00693595">
        <w:t>Modification History</w:t>
      </w:r>
    </w:p>
    <w:p w:rsidR="00682E4C" w:rsidP="00682E4C">
      <w:pPr>
        <w:pStyle w:val="BodyText"/>
      </w:pPr>
      <w:r w:rsidRPr="00693595">
        <w:t>Release 1. This is the first release of this unit of competency in the TLI Transport and Logistics Training Package.</w:t>
      </w:r>
    </w:p>
    <w:p w:rsidR="00000000" w:rsidRPr="00693595" w:rsidP="00693595">
      <w:pPr>
        <w:pStyle w:val="Heading1"/>
      </w:pPr>
      <w:bookmarkStart w:id="2" w:name="O_838654"/>
      <w:bookmarkEnd w:id="2"/>
      <w:r w:rsidRPr="0069359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t xml:space="preserve">This unit involves the skills and knowledge required to review the decisions of </w:t>
            </w:r>
            <w:r w:rsidRPr="00693595">
              <w:t>regulatory bodies including current Australian Government departments with the responsibility for customs issues. It includes evaluating the need to initiate and/or respond to a dispute, developing and submitting a response and initiating further action.</w:t>
            </w:r>
          </w:p>
          <w:p w:rsidR="00000000" w:rsidRPr="00693595" w:rsidP="00693595">
            <w:pPr>
              <w:pStyle w:val="BodyText"/>
            </w:pPr>
            <w:r w:rsidRPr="00693595">
              <w:t>T</w:t>
            </w:r>
            <w:r w:rsidRPr="00693595">
              <w:t>his unit applies to individuals who work in the role of Customs Broker in an on-the-job environment.</w:t>
            </w:r>
          </w:p>
          <w:p w:rsidR="00000000" w:rsidRPr="00693595" w:rsidP="00693595">
            <w:pPr>
              <w:pStyle w:val="BodyText"/>
            </w:pPr>
            <w:r w:rsidRPr="00693595">
              <w:t>No licensing, legislative or certification requirements apply to this unit at the time of publication.</w:t>
            </w:r>
          </w:p>
        </w:tc>
      </w:tr>
    </w:tbl>
    <w:p w:rsidR="00682E4C" w:rsidP="00693595">
      <w:pPr>
        <w:pStyle w:val="BodyText"/>
      </w:pPr>
    </w:p>
    <w:p w:rsidR="00682E4C" w:rsidP="00693595">
      <w:pPr>
        <w:pStyle w:val="BodyText"/>
      </w:pPr>
    </w:p>
    <w:p w:rsidR="00000000" w:rsidRPr="00693595" w:rsidP="00693595">
      <w:pPr>
        <w:pStyle w:val="Heading1"/>
      </w:pPr>
      <w:bookmarkStart w:id="3" w:name="O_838655"/>
      <w:bookmarkEnd w:id="3"/>
      <w:r w:rsidRPr="00693595">
        <w:t>Pre-requisite Unit</w:t>
      </w:r>
    </w:p>
    <w:p w:rsidR="00682E4C" w:rsidP="00682E4C">
      <w:pPr>
        <w:pStyle w:val="BodyText"/>
      </w:pPr>
      <w:r w:rsidRPr="00693595">
        <w:t>Not applicabl</w:t>
      </w:r>
      <w:r w:rsidRPr="00693595">
        <w:t>e.</w:t>
      </w:r>
    </w:p>
    <w:p w:rsidR="00000000" w:rsidRPr="00693595" w:rsidP="00693595">
      <w:pPr>
        <w:pStyle w:val="Heading1"/>
      </w:pPr>
      <w:bookmarkStart w:id="4" w:name="O_838656"/>
      <w:bookmarkEnd w:id="4"/>
      <w:r w:rsidRPr="00693595">
        <w:t>Competency Field</w:t>
      </w:r>
    </w:p>
    <w:p w:rsidR="00682E4C" w:rsidP="00682E4C">
      <w:pPr>
        <w:pStyle w:val="BodyText"/>
      </w:pPr>
      <w:r w:rsidRPr="00693595">
        <w:t>X – Logistics</w:t>
      </w:r>
    </w:p>
    <w:p w:rsidR="00000000" w:rsidRPr="00693595" w:rsidP="00693595">
      <w:pPr>
        <w:pStyle w:val="Heading1"/>
      </w:pPr>
      <w:bookmarkStart w:id="5" w:name="O_838657"/>
      <w:bookmarkEnd w:id="5"/>
      <w:r w:rsidRPr="00693595">
        <w:t>Unit Sector</w:t>
      </w:r>
    </w:p>
    <w:p w:rsidR="00682E4C" w:rsidP="00682E4C">
      <w:pPr>
        <w:pStyle w:val="BodyText"/>
      </w:pPr>
      <w:r w:rsidRPr="00693595">
        <w:t>Not applicable.</w:t>
      </w:r>
    </w:p>
    <w:p w:rsidR="00000000" w:rsidRPr="00693595" w:rsidP="00693595">
      <w:pPr>
        <w:pStyle w:val="Heading1"/>
      </w:pPr>
      <w:bookmarkStart w:id="6" w:name="O_838658"/>
      <w:bookmarkEnd w:id="6"/>
      <w:r w:rsidRPr="006935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"/>
        <w:gridCol w:w="1975"/>
        <w:gridCol w:w="555"/>
        <w:gridCol w:w="6304"/>
      </w:tblGrid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rPr>
                <w:rStyle w:val="SpecialBold"/>
              </w:rPr>
              <w:t>PERFORMANCE CRITERIA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Performance criteria describe the performance needed to demonstrate achievement of the element.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rPr>
                <w:rStyle w:val="SpecialBold"/>
              </w:rPr>
              <w:t xml:space="preserve">Determine review </w:t>
            </w:r>
            <w:r w:rsidRPr="00693595">
              <w:rPr>
                <w:rStyle w:val="SpecialBold"/>
              </w:rPr>
              <w:t>options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Regulatory body decision is evaluated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Available internal appeal procedures are explained and exhausted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Available review mechanisms are outlined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Consultation is held with client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rPr>
                <w:rStyle w:val="SpecialBold"/>
              </w:rPr>
              <w:t>Develop dispute 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Appropriate dispute resolution protocols are followed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Stakeholders are engaged and consulted in response to development process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 xml:space="preserve">Response is drafted and feedback is sought from stakeholders to refine response as required 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rPr>
                <w:rStyle w:val="SpecialBold"/>
              </w:rPr>
              <w:t>Submit dispute 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Import declaration is paid under protest in accordance with Customs Act Section167 as required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Dispute response documentation is forwarded to relevant regulatory authority in accordance with workplace procedures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rPr>
                <w:rStyle w:val="SpecialBold"/>
              </w:rPr>
              <w:t>Initiate further 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Dispute response is read and outcomes are evaluated to determine appropriateness of further action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Stakeholders are consulted about appropriateness of further action and advice about escalating and/or retreating is provided</w:t>
            </w:r>
          </w:p>
        </w:tc>
      </w:tr>
      <w:tr w:rsidTr="00682E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95">
            <w:pPr>
              <w:pStyle w:val="BodyText"/>
              <w:rPr>
                <w:lang w:val="en-NZ"/>
              </w:rPr>
            </w:pPr>
            <w:r w:rsidRPr="0069359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95" w:rsidP="00693595">
            <w:pPr>
              <w:pStyle w:val="BodyText"/>
            </w:pPr>
            <w:r w:rsidRPr="00693595">
              <w:t>Appropriate action is taken based on stakeholder consultation, in accordance with workplace procedures</w:t>
            </w:r>
          </w:p>
        </w:tc>
      </w:tr>
    </w:tbl>
    <w:p w:rsidR="00682E4C" w:rsidP="00693595">
      <w:pPr>
        <w:pStyle w:val="BodyText"/>
      </w:pPr>
    </w:p>
    <w:p w:rsidR="00682E4C" w:rsidP="00693595">
      <w:pPr>
        <w:pStyle w:val="BodyText"/>
      </w:pPr>
    </w:p>
    <w:p w:rsidR="00000000" w:rsidRPr="00693595" w:rsidP="00693595">
      <w:pPr>
        <w:pStyle w:val="Heading1"/>
      </w:pPr>
      <w:bookmarkStart w:id="7" w:name="O_838659"/>
      <w:bookmarkEnd w:id="7"/>
      <w:r w:rsidRPr="00693595">
        <w:t>F</w:t>
      </w:r>
      <w:r w:rsidRPr="00693595">
        <w:t>oundation Skills</w:t>
      </w:r>
    </w:p>
    <w:p w:rsidR="00682E4C" w:rsidP="00682E4C">
      <w:pPr>
        <w:pStyle w:val="BodyText"/>
      </w:pPr>
      <w:r w:rsidRPr="00693595">
        <w:t>Foundation skills essential to performance are explicit in the performance criteria of this unit of competency.</w:t>
      </w:r>
    </w:p>
    <w:p w:rsidR="00000000" w:rsidRPr="00693595" w:rsidP="00693595">
      <w:pPr>
        <w:pStyle w:val="Heading1"/>
      </w:pPr>
      <w:bookmarkStart w:id="8" w:name="O_838660"/>
      <w:bookmarkEnd w:id="8"/>
      <w:r w:rsidRPr="00693595">
        <w:t>Range of Conditions</w:t>
      </w:r>
    </w:p>
    <w:p w:rsidR="00000000" w:rsidRPr="00693595" w:rsidP="00682E4C">
      <w:pPr>
        <w:pStyle w:val="BodyText"/>
      </w:pPr>
      <w:r w:rsidRPr="00693595">
        <w:t>Range is restricted to essential operating conditions and any other variables essential to the work environment.</w:t>
      </w:r>
    </w:p>
    <w:p w:rsidR="00682E4C" w:rsidP="00682E4C">
      <w:pPr>
        <w:pStyle w:val="BodyText"/>
      </w:pPr>
      <w:r w:rsidRPr="00693595">
        <w:t>Non</w:t>
      </w:r>
      <w:r w:rsidRPr="00693595">
        <w:noBreakHyphen/>
        <w:t>essential conditions can be found in the Companion Volume Implementation Guide.</w:t>
      </w:r>
    </w:p>
    <w:p w:rsidR="00000000" w:rsidRPr="00693595" w:rsidP="00693595">
      <w:pPr>
        <w:pStyle w:val="Heading1"/>
      </w:pPr>
      <w:bookmarkStart w:id="9" w:name="O_838661"/>
      <w:bookmarkEnd w:id="9"/>
      <w:r w:rsidRPr="00693595">
        <w:t>Unit Mapping Information</w:t>
      </w:r>
    </w:p>
    <w:p w:rsidR="00682E4C" w:rsidP="00682E4C">
      <w:pPr>
        <w:pStyle w:val="BodyText"/>
      </w:pPr>
      <w:r w:rsidRPr="00693595">
        <w:t>This unit replac</w:t>
      </w:r>
      <w:r w:rsidRPr="00693595">
        <w:t>es and is equivalent to TLIX5058A Review decisions of regulatory bodies.</w:t>
      </w:r>
    </w:p>
    <w:p w:rsidR="00000000" w:rsidRPr="00693595" w:rsidP="00693595">
      <w:pPr>
        <w:pStyle w:val="Heading1"/>
      </w:pPr>
      <w:bookmarkStart w:id="10" w:name="O_838668"/>
      <w:bookmarkEnd w:id="10"/>
      <w:r w:rsidRPr="00693595">
        <w:t>Links</w:t>
      </w:r>
    </w:p>
    <w:p w:rsidR="00000000" w:rsidRPr="00693595" w:rsidP="00682E4C">
      <w:pPr>
        <w:pStyle w:val="BodyText"/>
      </w:pPr>
      <w:r w:rsidRPr="006935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72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3595" w:rsidP="00693595"/>
    <w:sectPr w:rsidSect="006935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95" w:rsidRPr="00682E4C" w:rsidP="00682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4C" w:rsidP="00693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E4C" w:rsidP="00693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2E4C" w:rsidP="00693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595" w:rsidRPr="00682E4C" w:rsidP="00682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4C" w:rsidRPr="002D2AF8" w:rsidP="00693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TLIX5058 Review decisions of regulatory bodies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682E4C" w:rsidP="00693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595"/>
  </w:style>
  <w:style w:type="character" w:customStyle="1" w:styleId="Heading1Char">
    <w:name w:val="Heading 1 Char"/>
    <w:basedOn w:val="DefaultParagraphFont"/>
    <w:link w:val="Heading1"/>
    <w:rsid w:val="00693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5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3595"/>
    <w:rPr>
      <w:b/>
      <w:spacing w:val="0"/>
    </w:rPr>
  </w:style>
  <w:style w:type="paragraph" w:customStyle="1" w:styleId="SuperHeading">
    <w:name w:val="SuperHeading"/>
    <w:basedOn w:val="Normal"/>
    <w:rsid w:val="00693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5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5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5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595"/>
    <w:rPr>
      <w:i/>
    </w:rPr>
  </w:style>
  <w:style w:type="paragraph" w:styleId="Caption">
    <w:name w:val="caption"/>
    <w:basedOn w:val="BodyText"/>
    <w:next w:val="Normal"/>
    <w:qFormat/>
    <w:rsid w:val="00693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595"/>
  </w:style>
  <w:style w:type="paragraph" w:styleId="TableofFigures">
    <w:name w:val="table of figures"/>
    <w:basedOn w:val="Normal"/>
    <w:next w:val="Normal"/>
    <w:semiHidden/>
    <w:rsid w:val="00693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5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3595"/>
    <w:rPr>
      <w:rFonts w:ascii="Wingdings" w:hAnsi="Wingdings"/>
    </w:rPr>
  </w:style>
  <w:style w:type="paragraph" w:customStyle="1" w:styleId="TableHeading">
    <w:name w:val="Table Heading"/>
    <w:basedOn w:val="HeadingBase"/>
    <w:rsid w:val="00693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595"/>
    <w:rPr>
      <w:color w:val="0033CC"/>
      <w:u w:val="none"/>
    </w:rPr>
  </w:style>
  <w:style w:type="paragraph" w:customStyle="1" w:styleId="BodyTextRight">
    <w:name w:val="Body Text Right"/>
    <w:basedOn w:val="BodyText"/>
    <w:rsid w:val="00693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5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595"/>
    <w:rPr>
      <w:sz w:val="32"/>
    </w:rPr>
  </w:style>
  <w:style w:type="paragraph" w:customStyle="1" w:styleId="HeadingProcedure">
    <w:name w:val="Heading Procedure"/>
    <w:basedOn w:val="HeadingBase"/>
    <w:next w:val="Normal"/>
    <w:rsid w:val="00693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595"/>
    <w:pPr>
      <w:spacing w:before="60" w:after="60"/>
    </w:pPr>
  </w:style>
  <w:style w:type="paragraph" w:styleId="ListContinue">
    <w:name w:val="List Continue"/>
    <w:basedOn w:val="List"/>
    <w:rsid w:val="00693595"/>
    <w:pPr>
      <w:ind w:firstLine="0"/>
    </w:pPr>
  </w:style>
  <w:style w:type="paragraph" w:customStyle="1" w:styleId="ListNote">
    <w:name w:val="List Note"/>
    <w:basedOn w:val="List"/>
    <w:rsid w:val="00693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595"/>
    <w:rPr>
      <w:rFonts w:ascii="Courier New" w:hAnsi="Courier New"/>
    </w:rPr>
  </w:style>
  <w:style w:type="paragraph" w:customStyle="1" w:styleId="NoteBullet">
    <w:name w:val="Note Bullet"/>
    <w:basedOn w:val="Note"/>
    <w:rsid w:val="00693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5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3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595"/>
    <w:rPr>
      <w:b/>
      <w:smallCaps/>
    </w:rPr>
  </w:style>
  <w:style w:type="paragraph" w:customStyle="1" w:styleId="TableListNumber">
    <w:name w:val="Table List Number"/>
    <w:basedOn w:val="ListNumber"/>
    <w:rsid w:val="00693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595"/>
    <w:pPr>
      <w:numPr>
        <w:numId w:val="7"/>
      </w:numPr>
    </w:pPr>
  </w:style>
  <w:style w:type="paragraph" w:customStyle="1" w:styleId="ListAlpha2">
    <w:name w:val="List Alpha 2"/>
    <w:basedOn w:val="List2"/>
    <w:rsid w:val="00693595"/>
    <w:pPr>
      <w:numPr>
        <w:numId w:val="6"/>
      </w:numPr>
    </w:pPr>
  </w:style>
  <w:style w:type="paragraph" w:styleId="List2">
    <w:name w:val="List 2"/>
    <w:basedOn w:val="BodyText"/>
    <w:rsid w:val="00693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5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5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3595"/>
    <w:pPr>
      <w:numPr>
        <w:numId w:val="2"/>
      </w:numPr>
    </w:pPr>
  </w:style>
  <w:style w:type="paragraph" w:styleId="ListContinue2">
    <w:name w:val="List Continue 2"/>
    <w:basedOn w:val="List2"/>
    <w:rsid w:val="00693595"/>
    <w:pPr>
      <w:ind w:firstLine="0"/>
    </w:pPr>
  </w:style>
  <w:style w:type="paragraph" w:styleId="ListContinue3">
    <w:name w:val="List Continue 3"/>
    <w:basedOn w:val="List3"/>
    <w:rsid w:val="00693595"/>
    <w:pPr>
      <w:ind w:left="1021" w:firstLine="0"/>
    </w:pPr>
  </w:style>
  <w:style w:type="paragraph" w:styleId="ListContinue4">
    <w:name w:val="List Continue 4"/>
    <w:basedOn w:val="List4"/>
    <w:rsid w:val="00693595"/>
    <w:pPr>
      <w:ind w:firstLine="0"/>
    </w:pPr>
  </w:style>
  <w:style w:type="paragraph" w:styleId="ListContinue5">
    <w:name w:val="List Continue 5"/>
    <w:basedOn w:val="List5"/>
    <w:rsid w:val="00693595"/>
    <w:pPr>
      <w:ind w:firstLine="0"/>
    </w:pPr>
  </w:style>
  <w:style w:type="paragraph" w:styleId="ListNumber3">
    <w:name w:val="List Number 3"/>
    <w:basedOn w:val="List3"/>
    <w:rsid w:val="00693595"/>
    <w:pPr>
      <w:numPr>
        <w:numId w:val="3"/>
      </w:numPr>
    </w:pPr>
  </w:style>
  <w:style w:type="paragraph" w:styleId="ListNumber4">
    <w:name w:val="List Number 4"/>
    <w:basedOn w:val="List4"/>
    <w:rsid w:val="00693595"/>
    <w:pPr>
      <w:numPr>
        <w:numId w:val="4"/>
      </w:numPr>
    </w:pPr>
  </w:style>
  <w:style w:type="paragraph" w:styleId="ListNumber5">
    <w:name w:val="List Number 5"/>
    <w:basedOn w:val="List5"/>
    <w:rsid w:val="00693595"/>
    <w:pPr>
      <w:numPr>
        <w:numId w:val="5"/>
      </w:numPr>
    </w:pPr>
  </w:style>
  <w:style w:type="paragraph" w:styleId="BlockText">
    <w:name w:val="Block Text"/>
    <w:basedOn w:val="Normal"/>
    <w:rsid w:val="00693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595"/>
    <w:rPr>
      <w:sz w:val="16"/>
      <w:vertAlign w:val="superscript"/>
    </w:rPr>
  </w:style>
  <w:style w:type="character" w:customStyle="1" w:styleId="Symbols">
    <w:name w:val="Symbols"/>
    <w:basedOn w:val="DefaultParagraphFont"/>
    <w:rsid w:val="00693595"/>
    <w:rPr>
      <w:rFonts w:ascii="Symbol" w:hAnsi="Symbol"/>
    </w:rPr>
  </w:style>
  <w:style w:type="character" w:customStyle="1" w:styleId="MenuOptions">
    <w:name w:val="Menu Options"/>
    <w:basedOn w:val="DefaultParagraphFont"/>
    <w:rsid w:val="00693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595"/>
    <w:rPr>
      <w:b/>
    </w:rPr>
  </w:style>
  <w:style w:type="character" w:customStyle="1" w:styleId="Underlined">
    <w:name w:val="Underlined"/>
    <w:basedOn w:val="DefaultParagraphFont"/>
    <w:rsid w:val="00693595"/>
    <w:rPr>
      <w:u w:val="single"/>
    </w:rPr>
  </w:style>
  <w:style w:type="paragraph" w:customStyle="1" w:styleId="TableBodyTextRight">
    <w:name w:val="Table Body Text Right"/>
    <w:basedOn w:val="TableBodyText"/>
    <w:rsid w:val="00693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595"/>
    <w:rPr>
      <w:sz w:val="18"/>
    </w:rPr>
  </w:style>
  <w:style w:type="paragraph" w:customStyle="1" w:styleId="BodySmallRight">
    <w:name w:val="Body Small Right"/>
    <w:basedOn w:val="BodyTextRight"/>
    <w:rsid w:val="00693595"/>
    <w:rPr>
      <w:sz w:val="18"/>
      <w:szCs w:val="18"/>
    </w:rPr>
  </w:style>
  <w:style w:type="paragraph" w:customStyle="1" w:styleId="MarginEdition">
    <w:name w:val="Margin Edition"/>
    <w:basedOn w:val="MarginNote"/>
    <w:rsid w:val="00693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595"/>
    <w:rPr>
      <w:sz w:val="2"/>
      <w:szCs w:val="2"/>
    </w:rPr>
  </w:style>
  <w:style w:type="character" w:customStyle="1" w:styleId="Small">
    <w:name w:val="Small"/>
    <w:basedOn w:val="DefaultParagraphFont"/>
    <w:rsid w:val="00693595"/>
    <w:rPr>
      <w:sz w:val="16"/>
    </w:rPr>
  </w:style>
  <w:style w:type="paragraph" w:customStyle="1" w:styleId="WideTable">
    <w:name w:val="Wide Table"/>
    <w:basedOn w:val="Normal"/>
    <w:rsid w:val="00693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595"/>
  </w:style>
  <w:style w:type="paragraph" w:styleId="Quote">
    <w:name w:val="Quote"/>
    <w:basedOn w:val="Heading1"/>
    <w:link w:val="QuoteChar"/>
    <w:qFormat/>
    <w:rsid w:val="00693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595"/>
    <w:pPr>
      <w:pageBreakBefore/>
    </w:pPr>
  </w:style>
  <w:style w:type="paragraph" w:customStyle="1" w:styleId="Border">
    <w:name w:val="Border"/>
    <w:basedOn w:val="Normal"/>
    <w:qFormat/>
    <w:rsid w:val="00693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595"/>
    <w:rPr>
      <w:u w:val="single"/>
    </w:rPr>
  </w:style>
  <w:style w:type="character" w:customStyle="1" w:styleId="BoldandItalics">
    <w:name w:val="Bold and Italics"/>
    <w:qFormat/>
    <w:rsid w:val="00693595"/>
    <w:rPr>
      <w:b/>
      <w:i/>
      <w:u w:val="none"/>
    </w:rPr>
  </w:style>
  <w:style w:type="paragraph" w:styleId="BalloonText">
    <w:name w:val="Balloon Text"/>
    <w:basedOn w:val="Normal"/>
    <w:link w:val="BalloonTextChar"/>
    <w:rsid w:val="00693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595"/>
    <w:pPr>
      <w:spacing w:before="0" w:after="0"/>
    </w:pPr>
  </w:style>
  <w:style w:type="paragraph" w:customStyle="1" w:styleId="BodyTextBold">
    <w:name w:val="Body Text Bold"/>
    <w:basedOn w:val="BodyText"/>
    <w:qFormat/>
    <w:rsid w:val="00693595"/>
    <w:rPr>
      <w:b/>
    </w:rPr>
  </w:style>
  <w:style w:type="character" w:styleId="Hyperlink">
    <w:name w:val="Hyperlink"/>
    <w:basedOn w:val="DefaultParagraphFont"/>
    <w:uiPriority w:val="99"/>
    <w:unhideWhenUsed/>
    <w:rsid w:val="00682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2594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TLIX5058 Review decisions of regulatory bodies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2022-04-07T06:57:00Z</dcterms:created>
  <dcterms:modified xsi:type="dcterms:W3CDTF">2022-04-07T06:57:00Z</dcterms:modified>
</cp:coreProperties>
</file>