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747" w:rsidP="005F2747">
      <w:pPr>
        <w:pStyle w:val="Title"/>
      </w:pPr>
      <w:r>
        <w:fldChar w:fldCharType="begin"/>
      </w:r>
      <w:r>
        <w:instrText xml:space="preserve"> TITLE   \* MERGEFORMAT </w:instrText>
      </w:r>
      <w:r>
        <w:fldChar w:fldCharType="separate"/>
      </w:r>
      <w:r>
        <w:t>TLIX5058 Review decisions of regulatory bodies</w:t>
      </w:r>
      <w:r>
        <w:fldChar w:fldCharType="end"/>
      </w:r>
    </w:p>
    <w:p w:rsidR="005F2747" w:rsidP="005F2747">
      <w:pPr>
        <w:pStyle w:val="Version"/>
        <w:sectPr w:rsidSect="00056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002" w:rsidP="00056002">
      <w:pPr>
        <w:pStyle w:val="SuperHeading"/>
      </w:pPr>
      <w:r w:rsidRPr="00056002">
        <w:t>TLIX5058 Review decisions of regulatory bodies</w:t>
      </w:r>
    </w:p>
    <w:p w:rsidR="00000000" w:rsidRPr="00056002" w:rsidP="00056002">
      <w:pPr>
        <w:pStyle w:val="Heading1"/>
      </w:pPr>
      <w:bookmarkStart w:id="1" w:name="O_838653"/>
      <w:bookmarkEnd w:id="1"/>
      <w:r w:rsidRPr="00056002">
        <w:t>Modification History</w:t>
      </w:r>
    </w:p>
    <w:p w:rsidR="005F2747" w:rsidP="005F2747">
      <w:pPr>
        <w:pStyle w:val="BodyText"/>
      </w:pPr>
      <w:r w:rsidRPr="00056002">
        <w:t>Release 1. This is the first release of this unit of competency in the TLI Transport and Logistics Training Package.</w:t>
      </w:r>
    </w:p>
    <w:p w:rsidR="00000000" w:rsidRPr="00056002" w:rsidP="00056002">
      <w:pPr>
        <w:pStyle w:val="Heading1"/>
      </w:pPr>
      <w:bookmarkStart w:id="2" w:name="O_838654"/>
      <w:bookmarkEnd w:id="2"/>
      <w:r w:rsidRPr="00056002">
        <w:t>Application</w:t>
      </w:r>
    </w:p>
    <w:tbl>
      <w:tblPr>
        <w:tblW w:w="0" w:type="auto"/>
        <w:tblCellMar>
          <w:left w:w="62" w:type="dxa"/>
          <w:right w:w="62" w:type="dxa"/>
        </w:tblCellMar>
        <w:tblLook w:val="0000"/>
      </w:tblPr>
      <w:tblGrid>
        <w:gridCol w:w="9196"/>
      </w:tblGrid>
      <w:tr w:rsidTr="005F27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t xml:space="preserve">This unit involves the skills and knowledge required to review the decisions of </w:t>
            </w:r>
            <w:r w:rsidRPr="00056002">
              <w:t>regulatory bodies including current Australian Government departments with the responsibility for customs issues. It includes evaluating the need to initiate and/or respond to a dispute, developing and submitting a response and initiating further action.</w:t>
            </w:r>
          </w:p>
          <w:p w:rsidR="00000000" w:rsidRPr="00056002" w:rsidP="00056002">
            <w:pPr>
              <w:pStyle w:val="BodyText"/>
            </w:pPr>
            <w:r w:rsidRPr="00056002">
              <w:t>T</w:t>
            </w:r>
            <w:r w:rsidRPr="00056002">
              <w:t>his unit applies to individuals who work in the role of Customs Broker in an on-the-job environment.</w:t>
            </w:r>
          </w:p>
          <w:p w:rsidR="00000000" w:rsidRPr="00056002" w:rsidP="00056002">
            <w:pPr>
              <w:pStyle w:val="BodyText"/>
            </w:pPr>
            <w:r w:rsidRPr="00056002">
              <w:t>No licensing, legislative or certification requirements apply to this unit at the time of publication.</w:t>
            </w:r>
          </w:p>
        </w:tc>
      </w:tr>
    </w:tbl>
    <w:p w:rsidR="005F2747" w:rsidP="00056002">
      <w:pPr>
        <w:pStyle w:val="BodyText"/>
      </w:pPr>
    </w:p>
    <w:p w:rsidR="005F2747" w:rsidP="00056002">
      <w:pPr>
        <w:pStyle w:val="BodyText"/>
      </w:pPr>
    </w:p>
    <w:p w:rsidR="00000000" w:rsidRPr="00056002" w:rsidP="00056002">
      <w:pPr>
        <w:pStyle w:val="Heading1"/>
      </w:pPr>
      <w:bookmarkStart w:id="3" w:name="O_838655"/>
      <w:bookmarkEnd w:id="3"/>
      <w:r w:rsidRPr="00056002">
        <w:t>Pre-requisite Unit</w:t>
      </w:r>
    </w:p>
    <w:p w:rsidR="005F2747" w:rsidP="005F2747">
      <w:pPr>
        <w:pStyle w:val="BodyText"/>
      </w:pPr>
      <w:r w:rsidRPr="00056002">
        <w:t>Not applicabl</w:t>
      </w:r>
      <w:r w:rsidRPr="00056002">
        <w:t>e.</w:t>
      </w:r>
    </w:p>
    <w:p w:rsidR="00000000" w:rsidRPr="00056002" w:rsidP="00056002">
      <w:pPr>
        <w:pStyle w:val="Heading1"/>
      </w:pPr>
      <w:bookmarkStart w:id="4" w:name="O_838656"/>
      <w:bookmarkEnd w:id="4"/>
      <w:r w:rsidRPr="00056002">
        <w:t>Competency Field</w:t>
      </w:r>
    </w:p>
    <w:p w:rsidR="005F2747" w:rsidP="005F2747">
      <w:pPr>
        <w:pStyle w:val="BodyText"/>
      </w:pPr>
      <w:r w:rsidRPr="00056002">
        <w:t>X – Logistics</w:t>
      </w:r>
    </w:p>
    <w:p w:rsidR="00000000" w:rsidRPr="00056002" w:rsidP="00056002">
      <w:pPr>
        <w:pStyle w:val="Heading1"/>
      </w:pPr>
      <w:bookmarkStart w:id="5" w:name="O_838657"/>
      <w:bookmarkEnd w:id="5"/>
      <w:r w:rsidRPr="00056002">
        <w:t>Unit Sector</w:t>
      </w:r>
    </w:p>
    <w:p w:rsidR="005F2747" w:rsidP="005F2747">
      <w:pPr>
        <w:pStyle w:val="BodyText"/>
      </w:pPr>
      <w:r w:rsidRPr="00056002">
        <w:t>Not applicable.</w:t>
      </w:r>
    </w:p>
    <w:p w:rsidR="00000000" w:rsidRPr="00056002" w:rsidP="00056002">
      <w:pPr>
        <w:pStyle w:val="Heading1"/>
      </w:pPr>
      <w:bookmarkStart w:id="6" w:name="O_838658"/>
      <w:bookmarkEnd w:id="6"/>
      <w:r w:rsidRPr="00056002">
        <w:t>Elements and Performance Criteria</w:t>
      </w:r>
    </w:p>
    <w:tbl>
      <w:tblPr>
        <w:tblW w:w="0" w:type="auto"/>
        <w:tblCellMar>
          <w:left w:w="62" w:type="dxa"/>
          <w:right w:w="62" w:type="dxa"/>
        </w:tblCellMar>
        <w:tblLook w:val="0000"/>
      </w:tblPr>
      <w:tblGrid>
        <w:gridCol w:w="362"/>
        <w:gridCol w:w="1975"/>
        <w:gridCol w:w="555"/>
        <w:gridCol w:w="6304"/>
      </w:tblGrid>
      <w:tr w:rsidTr="005F27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rPr>
                <w:rStyle w:val="SpecialBold"/>
              </w:rPr>
              <w:t>PERFORMANCE CRITERIA</w:t>
            </w:r>
          </w:p>
        </w:tc>
      </w:tr>
      <w:tr w:rsidTr="005F27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Performance criteria describe the performance needed to demonstrate achievement of the element.</w:t>
            </w:r>
          </w:p>
        </w:tc>
      </w:tr>
      <w:tr w:rsidTr="005F27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rPr>
                <w:rStyle w:val="SpecialBold"/>
              </w:rPr>
              <w:t xml:space="preserve">Determine review </w:t>
            </w:r>
            <w:r w:rsidRPr="00056002">
              <w:rPr>
                <w:rStyle w:val="SpecialBold"/>
              </w:rPr>
              <w:t>options</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1.1</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Regulatory body decision is evaluated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1.2</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Available internal appeal procedures are explained and exhausted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1.3</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Available review mechanisms are outlined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1.4</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Consultation is held with client</w:t>
            </w:r>
          </w:p>
        </w:tc>
      </w:tr>
      <w:tr w:rsidTr="005F27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rPr>
                <w:rStyle w:val="SpecialBold"/>
              </w:rPr>
              <w:t>Develop dispute response</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2.1</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Appropriate dispute resolution protocols are followed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2.2</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Stakeholders are engaged and consulted in response to development process</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2.3</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 xml:space="preserve">Response is drafted and feedback is sought from stakeholders to refine response as required </w:t>
            </w:r>
          </w:p>
        </w:tc>
      </w:tr>
      <w:tr w:rsidTr="005F27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rPr>
                <w:rStyle w:val="SpecialBold"/>
              </w:rPr>
              <w:t>Submit dispute response</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3.1</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Import declaration is paid under protest in accordance with Customs Act Section167 as required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3.2</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Dispute response documentation</w:t>
            </w:r>
            <w:r w:rsidRPr="00056002">
              <w:t xml:space="preserve"> is forwarded to relevant regulatory authority in accordance with workplace procedures</w:t>
            </w:r>
          </w:p>
        </w:tc>
      </w:tr>
      <w:tr w:rsidTr="005F27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rPr>
                <w:rStyle w:val="SpecialBold"/>
              </w:rPr>
              <w:t>Initiate further action</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4.1</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Dispute response is read and outcomes are evaluated to determine appropriateness of further action</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4.2</w:t>
            </w: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Stakeholder</w:t>
            </w:r>
            <w:r w:rsidRPr="00056002">
              <w:t>s are consulted about appropriateness of further action and advice about escalating and/or retreating is provided</w:t>
            </w:r>
          </w:p>
        </w:tc>
      </w:tr>
      <w:tr w:rsidTr="005F27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4.3</w:t>
            </w:r>
          </w:p>
        </w:tc>
        <w:tc>
          <w:tcPr>
            <w:tcW w:w="0" w:type="auto"/>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t>Appropriate action is taken based on stakeholder consultation, in accordance with workplace procedures</w:t>
            </w:r>
          </w:p>
        </w:tc>
      </w:tr>
    </w:tbl>
    <w:p w:rsidR="005F2747" w:rsidP="00056002">
      <w:pPr>
        <w:pStyle w:val="BodyText"/>
      </w:pPr>
    </w:p>
    <w:p w:rsidR="005F2747" w:rsidP="00056002">
      <w:pPr>
        <w:pStyle w:val="BodyText"/>
      </w:pPr>
    </w:p>
    <w:p w:rsidR="00000000" w:rsidRPr="00056002" w:rsidP="00056002">
      <w:pPr>
        <w:pStyle w:val="Heading1"/>
      </w:pPr>
      <w:bookmarkStart w:id="7" w:name="O_838659"/>
      <w:bookmarkEnd w:id="7"/>
      <w:r w:rsidRPr="00056002">
        <w:t>Foundation Skills</w:t>
      </w:r>
    </w:p>
    <w:p w:rsidR="005F2747" w:rsidP="005F2747">
      <w:pPr>
        <w:pStyle w:val="BodyText"/>
      </w:pPr>
      <w:r w:rsidRPr="00056002">
        <w:t>Foundation skills essential to performance are explicit in the performance criteria of this unit of competency.</w:t>
      </w:r>
    </w:p>
    <w:p w:rsidR="00000000" w:rsidRPr="00056002" w:rsidP="00056002">
      <w:pPr>
        <w:pStyle w:val="Heading1"/>
      </w:pPr>
      <w:bookmarkStart w:id="8" w:name="O_838660"/>
      <w:bookmarkEnd w:id="8"/>
      <w:r w:rsidRPr="00056002">
        <w:t>Range of Conditions</w:t>
      </w:r>
    </w:p>
    <w:p w:rsidR="00000000" w:rsidRPr="00056002" w:rsidP="005F2747">
      <w:pPr>
        <w:pStyle w:val="BodyText"/>
      </w:pPr>
      <w:r w:rsidRPr="00056002">
        <w:t xml:space="preserve">Range is restricted to essential operating conditions and any other variables essential </w:t>
      </w:r>
      <w:r w:rsidRPr="00056002">
        <w:t>to the work environment.</w:t>
      </w:r>
    </w:p>
    <w:p w:rsidR="005F2747" w:rsidP="005F2747">
      <w:pPr>
        <w:pStyle w:val="BodyText"/>
      </w:pPr>
      <w:r w:rsidRPr="00056002">
        <w:t>Non</w:t>
      </w:r>
      <w:r w:rsidRPr="00056002">
        <w:noBreakHyphen/>
        <w:t>essential conditions can be found in the Companion Volume Implementation Guide.</w:t>
      </w:r>
    </w:p>
    <w:p w:rsidR="00000000" w:rsidRPr="00056002" w:rsidP="00056002">
      <w:pPr>
        <w:pStyle w:val="Heading1"/>
      </w:pPr>
      <w:bookmarkStart w:id="9" w:name="O_838661"/>
      <w:bookmarkEnd w:id="9"/>
      <w:r w:rsidRPr="00056002">
        <w:t>Unit Mapping Information</w:t>
      </w:r>
    </w:p>
    <w:p w:rsidR="005F2747" w:rsidP="005F2747">
      <w:pPr>
        <w:pStyle w:val="BodyText"/>
      </w:pPr>
      <w:r w:rsidRPr="00056002">
        <w:t>This unit replaces and is equivalent to TLIX5058A Review decisions of regulatory bodies.</w:t>
      </w:r>
    </w:p>
    <w:p w:rsidR="00000000" w:rsidRPr="00056002" w:rsidP="00056002">
      <w:pPr>
        <w:pStyle w:val="Heading1"/>
      </w:pPr>
      <w:bookmarkStart w:id="10" w:name="O_838668"/>
      <w:bookmarkEnd w:id="10"/>
      <w:r w:rsidRPr="00056002">
        <w:t>Links</w:t>
      </w:r>
    </w:p>
    <w:p w:rsidR="00000000" w:rsidRPr="00056002" w:rsidP="005F2747">
      <w:pPr>
        <w:pStyle w:val="BodyText"/>
      </w:pPr>
      <w:r w:rsidRPr="0005600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B7AC2">
        <w:rPr>
          <w:rStyle w:val="Hyperlink"/>
        </w:rPr>
        <w:t>https://vetnet.gov.au/Pages/TrainingDocs.aspx?q=df441c6e-213d-43e3-874c-0b3f7036d851</w:t>
      </w:r>
      <w:r>
        <w:fldChar w:fldCharType="end"/>
      </w:r>
    </w:p>
    <w:p w:rsidR="00000000" w:rsidRPr="00056002" w:rsidP="005F2747">
      <w:pPr>
        <w:pStyle w:val="BodyText"/>
        <w:sectPr w:rsidSect="00056002">
          <w:headerReference w:type="default" r:id="rId10"/>
          <w:footerReference w:type="default" r:id="rId11"/>
          <w:pgSz w:w="11908" w:h="16833"/>
          <w:pgMar w:top="1702" w:right="1418" w:bottom="1702" w:left="1418" w:header="992" w:footer="992" w:gutter="0"/>
          <w:cols w:space="720"/>
          <w:noEndnote/>
          <w:docGrid w:linePitch="299"/>
        </w:sectPr>
      </w:pPr>
    </w:p>
    <w:p w:rsidR="00000000" w:rsidRPr="00056002" w:rsidP="00056002">
      <w:pPr>
        <w:pStyle w:val="SuperHeading"/>
      </w:pPr>
      <w:r w:rsidRPr="00056002">
        <w:t xml:space="preserve">Assessment </w:t>
      </w:r>
      <w:r w:rsidRPr="00056002">
        <w:t>Requirements for TLIX5058 Review decisions of regulatory bodies</w:t>
      </w:r>
    </w:p>
    <w:p w:rsidR="00000000" w:rsidRPr="00056002" w:rsidP="00056002">
      <w:pPr>
        <w:pStyle w:val="Heading1"/>
      </w:pPr>
      <w:bookmarkStart w:id="11" w:name="O_838663"/>
      <w:bookmarkEnd w:id="11"/>
      <w:r w:rsidRPr="00056002">
        <w:t>Modification History</w:t>
      </w:r>
    </w:p>
    <w:p w:rsidR="005F2747" w:rsidP="005F2747">
      <w:pPr>
        <w:pStyle w:val="BodyText"/>
      </w:pPr>
      <w:r w:rsidRPr="00056002">
        <w:t>Release 1. This is the first release of this unit of competency in the TLI Transport and Logistics Training Package.</w:t>
      </w:r>
    </w:p>
    <w:p w:rsidR="00000000" w:rsidRPr="00056002" w:rsidP="00056002">
      <w:pPr>
        <w:pStyle w:val="Heading1"/>
      </w:pPr>
      <w:bookmarkStart w:id="12" w:name="O_838664"/>
      <w:bookmarkEnd w:id="12"/>
      <w:r w:rsidRPr="00056002">
        <w:t>Performance Evidence</w:t>
      </w:r>
    </w:p>
    <w:tbl>
      <w:tblPr>
        <w:tblW w:w="0" w:type="auto"/>
        <w:tblCellMar>
          <w:left w:w="62" w:type="dxa"/>
          <w:right w:w="62" w:type="dxa"/>
        </w:tblCellMar>
        <w:tblLook w:val="0000"/>
      </w:tblPr>
      <w:tblGrid>
        <w:gridCol w:w="9196"/>
      </w:tblGrid>
      <w:tr w:rsidTr="005F274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Evidence required to demonstrate competence in this unit must be relevant to and satisfy all of the requirements of the elements and performance criteria on at least one occasion and include:</w:t>
            </w:r>
          </w:p>
        </w:tc>
      </w:tr>
      <w:tr w:rsidTr="005F274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56002" w:rsidP="00056002">
            <w:pPr>
              <w:pStyle w:val="ListBullet"/>
            </w:pPr>
            <w:r w:rsidRPr="00056002">
              <w:t>applying escalation and/or retreat processes as required</w:t>
            </w:r>
          </w:p>
          <w:p w:rsidR="00000000" w:rsidRPr="00056002" w:rsidP="00056002">
            <w:pPr>
              <w:pStyle w:val="ListBullet"/>
            </w:pPr>
            <w:r w:rsidRPr="00056002">
              <w:t>communicating with clients to outline further actions to be taken</w:t>
            </w:r>
          </w:p>
          <w:p w:rsidR="00000000" w:rsidRPr="00056002" w:rsidP="00056002">
            <w:pPr>
              <w:pStyle w:val="ListBullet"/>
            </w:pPr>
            <w:r w:rsidRPr="00056002">
              <w:t>determining action for the effective resolution of outstanding issues</w:t>
            </w:r>
          </w:p>
          <w:p w:rsidR="00000000" w:rsidRPr="00056002" w:rsidP="00056002">
            <w:pPr>
              <w:pStyle w:val="ListBullet"/>
            </w:pPr>
            <w:r w:rsidRPr="00056002">
              <w:t xml:space="preserve">engaging and consulting with clients and stakeholders </w:t>
            </w:r>
          </w:p>
          <w:p w:rsidR="00000000" w:rsidRPr="00056002" w:rsidP="00056002">
            <w:pPr>
              <w:pStyle w:val="ListBullet"/>
            </w:pPr>
            <w:r w:rsidRPr="00056002">
              <w:t>ensuring currency of relevant legislative and regulatory knowledg</w:t>
            </w:r>
            <w:r w:rsidRPr="00056002">
              <w:t>e</w:t>
            </w:r>
          </w:p>
          <w:p w:rsidR="00000000" w:rsidRPr="00056002" w:rsidP="00056002">
            <w:pPr>
              <w:pStyle w:val="ListBullet"/>
            </w:pPr>
            <w:r w:rsidRPr="00056002">
              <w:t>following procedures</w:t>
            </w:r>
          </w:p>
          <w:p w:rsidR="00000000" w:rsidRPr="00056002" w:rsidP="00056002">
            <w:pPr>
              <w:pStyle w:val="ListBullet"/>
            </w:pPr>
            <w:r w:rsidRPr="00056002">
              <w:t>reading and interpreting legislation</w:t>
            </w:r>
          </w:p>
          <w:p w:rsidR="00000000" w:rsidRPr="00056002" w:rsidP="00056002">
            <w:pPr>
              <w:pStyle w:val="ListBullet"/>
            </w:pPr>
            <w:r w:rsidRPr="00056002">
              <w:t>sequencing a submission in logical order.</w:t>
            </w:r>
          </w:p>
        </w:tc>
      </w:tr>
    </w:tbl>
    <w:p w:rsidR="005F2747" w:rsidP="00056002">
      <w:pPr>
        <w:pStyle w:val="BodyText"/>
      </w:pPr>
    </w:p>
    <w:p w:rsidR="005F2747" w:rsidP="00056002">
      <w:pPr>
        <w:pStyle w:val="BodyText"/>
      </w:pPr>
    </w:p>
    <w:p w:rsidR="00000000" w:rsidRPr="00056002" w:rsidP="00056002">
      <w:pPr>
        <w:pStyle w:val="Heading1"/>
      </w:pPr>
      <w:bookmarkStart w:id="13" w:name="O_838665"/>
      <w:bookmarkEnd w:id="13"/>
      <w:r w:rsidRPr="00056002">
        <w:t>Knowledge Evidence</w:t>
      </w:r>
    </w:p>
    <w:tbl>
      <w:tblPr>
        <w:tblW w:w="0" w:type="auto"/>
        <w:tblCellMar>
          <w:left w:w="62" w:type="dxa"/>
          <w:right w:w="62" w:type="dxa"/>
        </w:tblCellMar>
        <w:tblLook w:val="0000"/>
      </w:tblPr>
      <w:tblGrid>
        <w:gridCol w:w="9196"/>
      </w:tblGrid>
      <w:tr w:rsidTr="005F274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56002">
            <w:pPr>
              <w:pStyle w:val="BodyText"/>
              <w:rPr>
                <w:lang w:val="en-NZ"/>
              </w:rPr>
            </w:pPr>
            <w:r w:rsidRPr="00056002">
              <w:t>Evidence required to demonstrate competence in this unit must be relevant to</w:t>
            </w:r>
            <w:r w:rsidRPr="00056002">
              <w:t xml:space="preserve"> and satisfy all of the requirements of the elements and performance criteria and include knowledge of:</w:t>
            </w:r>
          </w:p>
        </w:tc>
      </w:tr>
      <w:tr w:rsidTr="005F274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056002" w:rsidP="00056002">
            <w:pPr>
              <w:pStyle w:val="ListBullet"/>
            </w:pPr>
            <w:r w:rsidRPr="00056002">
              <w:t>clearance advice procedures in accordance with border control policy sections of the Customs Act dealing with payments under protest</w:t>
            </w:r>
          </w:p>
          <w:p w:rsidR="00000000" w:rsidRPr="00056002" w:rsidP="00056002">
            <w:pPr>
              <w:pStyle w:val="ListBullet"/>
            </w:pPr>
            <w:r w:rsidRPr="00056002">
              <w:t>customs prosecutions</w:t>
            </w:r>
          </w:p>
          <w:p w:rsidR="00000000" w:rsidRPr="00056002" w:rsidP="00056002">
            <w:pPr>
              <w:pStyle w:val="ListBullet"/>
            </w:pPr>
            <w:r w:rsidRPr="00056002">
              <w:t xml:space="preserve">forfeiture, seizure and condemnation provisions of the Customs Act </w:t>
            </w:r>
          </w:p>
          <w:p w:rsidR="00000000" w:rsidRPr="00056002" w:rsidP="00056002">
            <w:pPr>
              <w:pStyle w:val="ListBullet"/>
            </w:pPr>
            <w:r w:rsidRPr="00056002">
              <w:t xml:space="preserve">internal and external appeal processes for reviewing decisions </w:t>
            </w:r>
          </w:p>
          <w:p w:rsidR="00000000" w:rsidRPr="00056002" w:rsidP="00056002">
            <w:pPr>
              <w:pStyle w:val="ListBullet"/>
            </w:pPr>
            <w:r w:rsidRPr="00056002">
              <w:t>monitoring and export examination powers under the relevant and current Customs Act, and related infrin</w:t>
            </w:r>
            <w:r w:rsidRPr="00056002">
              <w:t>gement notice guidelines and infringement notice regulations.</w:t>
            </w:r>
          </w:p>
        </w:tc>
      </w:tr>
    </w:tbl>
    <w:p w:rsidR="005F2747" w:rsidP="00056002">
      <w:pPr>
        <w:pStyle w:val="BodyText"/>
      </w:pPr>
    </w:p>
    <w:p w:rsidR="005F2747" w:rsidP="00056002">
      <w:pPr>
        <w:pStyle w:val="BodyText"/>
      </w:pPr>
    </w:p>
    <w:p w:rsidR="00000000" w:rsidRPr="00056002" w:rsidP="00056002">
      <w:pPr>
        <w:pStyle w:val="Heading1"/>
      </w:pPr>
      <w:bookmarkStart w:id="14" w:name="O_838666"/>
      <w:bookmarkEnd w:id="14"/>
      <w:r w:rsidRPr="00056002">
        <w:t>Assessment Conditions</w:t>
      </w:r>
    </w:p>
    <w:tbl>
      <w:tblPr>
        <w:tblW w:w="0" w:type="auto"/>
        <w:tblCellMar>
          <w:left w:w="62" w:type="dxa"/>
          <w:right w:w="62" w:type="dxa"/>
        </w:tblCellMar>
        <w:tblLook w:val="0000"/>
      </w:tblPr>
      <w:tblGrid>
        <w:gridCol w:w="9196"/>
      </w:tblGrid>
      <w:tr w:rsidTr="005F27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6002" w:rsidP="00056002">
            <w:pPr>
              <w:pStyle w:val="BodyText"/>
            </w:pPr>
            <w:r w:rsidRPr="00056002">
              <w:t xml:space="preserve">As a minimum, assessors must satisfy applicable regulatory requirements, which include requirements in the </w:t>
            </w:r>
            <w:r w:rsidRPr="00056002">
              <w:rPr>
                <w:rStyle w:val="Emphasis"/>
              </w:rPr>
              <w:t>Standards for Registered Training Organisatio</w:t>
            </w:r>
            <w:r w:rsidRPr="00056002">
              <w:rPr>
                <w:rStyle w:val="Emphasis"/>
              </w:rPr>
              <w:t>ns</w:t>
            </w:r>
            <w:r w:rsidRPr="00056002">
              <w:t xml:space="preserve"> current at the time of assessment. </w:t>
            </w:r>
          </w:p>
          <w:p w:rsidR="00000000" w:rsidRPr="00056002" w:rsidP="00056002">
            <w:pPr>
              <w:pStyle w:val="BodyText"/>
            </w:pPr>
            <w:r w:rsidRPr="00056002">
              <w:t xml:space="preserve">As a minimum, assessment must satisfy applicable regulatory requirements, which include requirements in the </w:t>
            </w:r>
            <w:r w:rsidRPr="00056002">
              <w:rPr>
                <w:rStyle w:val="Emphasis"/>
              </w:rPr>
              <w:t>Standards for Registered Training Organisations</w:t>
            </w:r>
            <w:r w:rsidRPr="00056002">
              <w:t xml:space="preserve"> current at the time of assessment.</w:t>
            </w:r>
          </w:p>
          <w:p w:rsidR="00000000" w:rsidRPr="00056002" w:rsidP="00056002">
            <w:pPr>
              <w:pStyle w:val="BodyText"/>
            </w:pPr>
            <w:r w:rsidRPr="00056002">
              <w:t>Assessment must occur in w</w:t>
            </w:r>
            <w:r w:rsidRPr="00056002">
              <w:t xml:space="preserve">orkplace operational situations where it is appropriate to do so. Where this is not appropriate, assessment must occur in simulated workplace operational situations that replicate workplace conditions. </w:t>
            </w:r>
          </w:p>
          <w:p w:rsidR="00000000" w:rsidRPr="00056002" w:rsidP="00056002">
            <w:pPr>
              <w:pStyle w:val="BodyText"/>
            </w:pPr>
            <w:r w:rsidRPr="00056002">
              <w:t>Assessment processes and techniques must be appropriate to the language, literacy and numeracy requirements of the work being performed and the needs of the candidate.</w:t>
            </w:r>
          </w:p>
          <w:p w:rsidR="00000000" w:rsidRPr="00056002" w:rsidP="00056002">
            <w:pPr>
              <w:pStyle w:val="BodyText"/>
            </w:pPr>
            <w:r w:rsidRPr="00056002">
              <w:t>Resources for assessment include:</w:t>
            </w:r>
          </w:p>
          <w:p w:rsidR="00000000" w:rsidRPr="00056002" w:rsidP="00056002">
            <w:pPr>
              <w:pStyle w:val="ListBullet"/>
            </w:pPr>
            <w:r w:rsidRPr="00056002">
              <w:t>a range of relevant exercises, case studies and/or si</w:t>
            </w:r>
            <w:r w:rsidRPr="00056002">
              <w:t>mulations</w:t>
            </w:r>
          </w:p>
          <w:p w:rsidR="00000000" w:rsidRPr="00056002" w:rsidP="00056002">
            <w:pPr>
              <w:pStyle w:val="ListBullet"/>
            </w:pPr>
            <w:r w:rsidRPr="00056002">
              <w:t xml:space="preserve">applicable documentation including workplace procedures, regulations, codes of practice and operation manuals </w:t>
            </w:r>
          </w:p>
          <w:p w:rsidR="00000000" w:rsidRPr="00056002" w:rsidP="00056002">
            <w:pPr>
              <w:pStyle w:val="ListBullet"/>
            </w:pPr>
            <w:r w:rsidRPr="00056002">
              <w:t>relevant materials, tools, equipment and personal protective equipment currently used in industry.</w:t>
            </w:r>
          </w:p>
        </w:tc>
      </w:tr>
    </w:tbl>
    <w:p w:rsidR="005F2747" w:rsidP="00056002">
      <w:pPr>
        <w:pStyle w:val="BodyText"/>
      </w:pPr>
    </w:p>
    <w:p w:rsidR="005F2747" w:rsidP="00056002">
      <w:pPr>
        <w:pStyle w:val="BodyText"/>
      </w:pPr>
    </w:p>
    <w:p w:rsidR="00000000" w:rsidRPr="00056002" w:rsidP="00056002">
      <w:pPr>
        <w:pStyle w:val="Heading1"/>
      </w:pPr>
      <w:bookmarkStart w:id="15" w:name="O_838669"/>
      <w:bookmarkEnd w:id="15"/>
      <w:r w:rsidRPr="00056002">
        <w:t>Links</w:t>
      </w:r>
    </w:p>
    <w:p w:rsidR="00000000" w:rsidRPr="00056002" w:rsidP="005F2747">
      <w:pPr>
        <w:pStyle w:val="BodyText"/>
      </w:pPr>
      <w:r w:rsidRPr="00056002">
        <w:t xml:space="preserve">Companion </w:t>
      </w:r>
      <w:r w:rsidRPr="00056002">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0B7AC2">
        <w:rPr>
          <w:rStyle w:val="Hyperlink"/>
        </w:rPr>
        <w:t>https://vetnet.gov.au/Pages/TrainingDocs.aspx?q=df441c6e-213d-43e3-874c-0b3f7036d851</w:t>
      </w:r>
      <w:r>
        <w:fldChar w:fldCharType="end"/>
      </w:r>
    </w:p>
    <w:p w:rsidR="00000000" w:rsidRPr="00056002" w:rsidP="00056002"/>
    <w:sectPr w:rsidSect="000560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rsidRPr="005F2747" w:rsidP="005F2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7" w:rsidP="00056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747" w:rsidP="000560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2747" w:rsidP="000560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rsidP="00056002">
    <w:pPr>
      <w:pStyle w:val="Footer"/>
      <w:framePr w:wrap="around"/>
    </w:pPr>
    <w:r>
      <w:fldChar w:fldCharType="begin"/>
    </w:r>
    <w:r>
      <w:instrText xml:space="preserve"> DOCPROPERTY  Subject  \* MERGEFORMAT </w:instrText>
    </w:r>
    <w:r>
      <w:fldChar w:fldCharType="separate"/>
    </w:r>
    <w:r w:rsidR="005F2747">
      <w:t>Approved</w:t>
    </w:r>
    <w:r w:rsidR="005F2747">
      <w:fldChar w:fldCharType="end"/>
    </w:r>
    <w:r>
      <w:tab/>
      <w:t xml:space="preserve">Page </w:t>
    </w:r>
    <w:r>
      <w:fldChar w:fldCharType="begin"/>
    </w:r>
    <w:r>
      <w:instrText xml:space="preserve"> PAGE  \* Arabic  \* MERGEFORMAT </w:instrText>
    </w:r>
    <w:r>
      <w:fldChar w:fldCharType="separate"/>
    </w:r>
    <w:r w:rsidR="005F27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747">
      <w:rPr>
        <w:noProof/>
      </w:rPr>
      <w:t>4</w:t>
    </w:r>
    <w:r>
      <w:rPr>
        <w:noProof/>
      </w:rPr>
      <w:fldChar w:fldCharType="end"/>
    </w:r>
  </w:p>
  <w:p w:rsidR="00056002" w:rsidP="00056002">
    <w:pPr>
      <w:pStyle w:val="Footer"/>
      <w:framePr w:wrap="around"/>
    </w:pPr>
    <w:r>
      <w:t xml:space="preserve">© Commonwealth of Australia, </w:t>
    </w:r>
    <w:r>
      <w:fldChar w:fldCharType="begin"/>
    </w:r>
    <w:r>
      <w:instrText xml:space="preserve"> DATE  \@ "yyyy"  \* MERGEFORMAT </w:instrText>
    </w:r>
    <w:r>
      <w:fldChar w:fldCharType="separate"/>
    </w:r>
    <w:r w:rsidR="005F2747">
      <w:rPr>
        <w:noProof/>
      </w:rPr>
      <w:t>2025</w:t>
    </w:r>
    <w:r>
      <w:fldChar w:fldCharType="end"/>
    </w:r>
    <w:r>
      <w:tab/>
    </w:r>
    <w:r>
      <w:fldChar w:fldCharType="begin"/>
    </w:r>
    <w:r>
      <w:instrText xml:space="preserve"> DOCPROPERTY  Author  \* MERGEFORMAT </w:instrText>
    </w:r>
    <w:r>
      <w:fldChar w:fldCharType="separate"/>
    </w:r>
    <w:r w:rsidR="005F2747">
      <w:t>Industry Skills Australia</w:t>
    </w:r>
    <w:r w:rsidR="005F2747">
      <w:fldChar w:fldCharType="end"/>
    </w:r>
  </w:p>
  <w:p w:rsidR="00056002" w:rsidP="00056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002" w:rsidRPr="005F2747" w:rsidP="005F2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7" w:rsidRPr="002D2AF8" w:rsidP="00056002">
    <w:pPr>
      <w:pStyle w:val="Header"/>
      <w:framePr w:wrap="around"/>
    </w:pPr>
    <w:r>
      <w:fldChar w:fldCharType="begin"/>
    </w:r>
    <w:r>
      <w:instrText xml:space="preserve"> TITLE   \* MERGEFORMAT </w:instrText>
    </w:r>
    <w:r>
      <w:fldChar w:fldCharType="separate"/>
    </w:r>
    <w:r>
      <w:t>TLIX5058 Review decisions of regulatory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2747" w:rsidP="000560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2" w:rsidRPr="002D2AF8" w:rsidP="00056002">
    <w:pPr>
      <w:pStyle w:val="Header"/>
      <w:framePr w:wrap="around"/>
    </w:pPr>
    <w:r>
      <w:fldChar w:fldCharType="begin"/>
    </w:r>
    <w:r>
      <w:instrText xml:space="preserve"> TITLE   \* MERGEFORMAT </w:instrText>
    </w:r>
    <w:r>
      <w:fldChar w:fldCharType="separate"/>
    </w:r>
    <w:r w:rsidR="005F2747">
      <w:t>TLIX5058 Review decisions of regulatory bodies</w:t>
    </w:r>
    <w:r w:rsidR="005F2747">
      <w:fldChar w:fldCharType="end"/>
    </w:r>
    <w:r>
      <w:tab/>
      <w:t xml:space="preserve">Date this document was generated: </w:t>
    </w:r>
    <w:r>
      <w:fldChar w:fldCharType="begin"/>
    </w:r>
    <w:r>
      <w:instrText xml:space="preserve"> CREATEDATE  \@ "d MMMM yyyy"  \* MERGEFORMAT </w:instrText>
    </w:r>
    <w:r>
      <w:fldChar w:fldCharType="separate"/>
    </w:r>
    <w:r w:rsidR="005F2747">
      <w:rPr>
        <w:noProof/>
      </w:rPr>
      <w:t>1 March 2025</w:t>
    </w:r>
    <w:r>
      <w:fldChar w:fldCharType="end"/>
    </w:r>
  </w:p>
  <w:p w:rsidR="00056002" w:rsidP="00056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480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BAD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002"/>
    <w:pPr>
      <w:spacing w:before="360" w:after="60"/>
      <w:outlineLvl w:val="0"/>
    </w:pPr>
    <w:rPr>
      <w:sz w:val="32"/>
    </w:rPr>
  </w:style>
  <w:style w:type="paragraph" w:styleId="Heading2">
    <w:name w:val="heading 2"/>
    <w:basedOn w:val="HeadingBase"/>
    <w:next w:val="BodyText"/>
    <w:link w:val="Heading2Char"/>
    <w:qFormat/>
    <w:rsid w:val="00056002"/>
    <w:pPr>
      <w:keepLines/>
      <w:spacing w:before="240" w:after="120"/>
      <w:outlineLvl w:val="1"/>
    </w:pPr>
    <w:rPr>
      <w:sz w:val="28"/>
      <w:szCs w:val="40"/>
    </w:rPr>
  </w:style>
  <w:style w:type="paragraph" w:styleId="Heading3">
    <w:name w:val="heading 3"/>
    <w:basedOn w:val="HeadingBase"/>
    <w:next w:val="BodyText"/>
    <w:link w:val="Heading3Char"/>
    <w:qFormat/>
    <w:rsid w:val="00056002"/>
    <w:pPr>
      <w:spacing w:before="180" w:after="120"/>
      <w:outlineLvl w:val="2"/>
    </w:pPr>
    <w:rPr>
      <w:spacing w:val="-10"/>
      <w:kern w:val="32"/>
    </w:rPr>
  </w:style>
  <w:style w:type="paragraph" w:styleId="Heading4">
    <w:name w:val="heading 4"/>
    <w:basedOn w:val="HeadingBase"/>
    <w:next w:val="BodyText"/>
    <w:link w:val="Heading4Char"/>
    <w:qFormat/>
    <w:rsid w:val="00056002"/>
    <w:pPr>
      <w:spacing w:before="160" w:after="120"/>
      <w:outlineLvl w:val="3"/>
    </w:pPr>
    <w:rPr>
      <w:sz w:val="22"/>
    </w:rPr>
  </w:style>
  <w:style w:type="paragraph" w:styleId="Heading5">
    <w:name w:val="heading 5"/>
    <w:basedOn w:val="HeadingBase"/>
    <w:next w:val="Normal"/>
    <w:link w:val="Heading5Char"/>
    <w:qFormat/>
    <w:rsid w:val="00056002"/>
    <w:pPr>
      <w:spacing w:before="80"/>
      <w:outlineLvl w:val="4"/>
    </w:pPr>
    <w:rPr>
      <w:color w:val="918585"/>
      <w:sz w:val="20"/>
    </w:rPr>
  </w:style>
  <w:style w:type="paragraph" w:styleId="Heading6">
    <w:name w:val="heading 6"/>
    <w:basedOn w:val="HeadingBase"/>
    <w:next w:val="Normal"/>
    <w:link w:val="Heading6Char"/>
    <w:qFormat/>
    <w:rsid w:val="00056002"/>
    <w:pPr>
      <w:spacing w:before="60"/>
      <w:outlineLvl w:val="5"/>
    </w:pPr>
    <w:rPr>
      <w:color w:val="918585"/>
      <w:sz w:val="20"/>
    </w:rPr>
  </w:style>
  <w:style w:type="paragraph" w:styleId="Heading7">
    <w:name w:val="heading 7"/>
    <w:basedOn w:val="Normal"/>
    <w:next w:val="Normal"/>
    <w:link w:val="Heading7Char"/>
    <w:qFormat/>
    <w:rsid w:val="00056002"/>
    <w:pPr>
      <w:ind w:left="720"/>
      <w:outlineLvl w:val="6"/>
    </w:pPr>
    <w:rPr>
      <w:i/>
    </w:rPr>
  </w:style>
  <w:style w:type="paragraph" w:styleId="Heading8">
    <w:name w:val="heading 8"/>
    <w:basedOn w:val="Normal"/>
    <w:next w:val="Normal"/>
    <w:link w:val="Heading8Char"/>
    <w:qFormat/>
    <w:rsid w:val="00056002"/>
    <w:pPr>
      <w:ind w:left="720"/>
      <w:outlineLvl w:val="7"/>
    </w:pPr>
    <w:rPr>
      <w:i/>
    </w:rPr>
  </w:style>
  <w:style w:type="paragraph" w:styleId="Heading9">
    <w:name w:val="heading 9"/>
    <w:basedOn w:val="Normal"/>
    <w:next w:val="Normal"/>
    <w:link w:val="Heading9Char"/>
    <w:qFormat/>
    <w:rsid w:val="00056002"/>
    <w:pPr>
      <w:ind w:left="720"/>
      <w:outlineLvl w:val="8"/>
    </w:pPr>
    <w:rPr>
      <w:i/>
    </w:rPr>
  </w:style>
  <w:style w:type="character" w:default="1" w:styleId="DefaultParagraphFont">
    <w:name w:val="Default Paragraph Font"/>
    <w:uiPriority w:val="1"/>
    <w:unhideWhenUsed/>
    <w:rsid w:val="00056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002"/>
  </w:style>
  <w:style w:type="character" w:customStyle="1" w:styleId="Heading1Char">
    <w:name w:val="Heading 1 Char"/>
    <w:basedOn w:val="DefaultParagraphFont"/>
    <w:link w:val="Heading1"/>
    <w:rsid w:val="00056002"/>
    <w:rPr>
      <w:rFonts w:ascii="Times New Roman" w:eastAsia="Times New Roman" w:hAnsi="Times New Roman" w:cs="Times New Roman"/>
      <w:b/>
      <w:sz w:val="32"/>
      <w:szCs w:val="20"/>
      <w:lang w:eastAsia="en-US"/>
    </w:rPr>
  </w:style>
  <w:style w:type="paragraph" w:styleId="BodyText">
    <w:name w:val="Body Text"/>
    <w:basedOn w:val="Normal"/>
    <w:link w:val="BodyTextChar"/>
    <w:rsid w:val="00056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002"/>
    <w:rPr>
      <w:rFonts w:ascii="Times New Roman" w:eastAsia="Times New Roman" w:hAnsi="Times New Roman" w:cs="Times New Roman"/>
      <w:sz w:val="24"/>
      <w:lang w:eastAsia="en-US"/>
    </w:rPr>
  </w:style>
  <w:style w:type="paragraph" w:styleId="ListBullet">
    <w:name w:val="List Bullet"/>
    <w:basedOn w:val="List"/>
    <w:rsid w:val="00056002"/>
    <w:pPr>
      <w:numPr>
        <w:numId w:val="11"/>
      </w:numPr>
      <w:tabs>
        <w:tab w:val="clear" w:pos="340"/>
      </w:tabs>
      <w:spacing w:before="40" w:after="40"/>
    </w:pPr>
  </w:style>
  <w:style w:type="character" w:customStyle="1" w:styleId="SpecialBold">
    <w:name w:val="Special Bold"/>
    <w:basedOn w:val="DefaultParagraphFont"/>
    <w:rsid w:val="00056002"/>
    <w:rPr>
      <w:b/>
      <w:spacing w:val="0"/>
    </w:rPr>
  </w:style>
  <w:style w:type="character" w:styleId="Emphasis">
    <w:name w:val="Emphasis"/>
    <w:basedOn w:val="DefaultParagraphFont"/>
    <w:qFormat/>
    <w:rsid w:val="00056002"/>
    <w:rPr>
      <w:i/>
    </w:rPr>
  </w:style>
  <w:style w:type="paragraph" w:customStyle="1" w:styleId="SuperHeading">
    <w:name w:val="SuperHeading"/>
    <w:basedOn w:val="Normal"/>
    <w:rsid w:val="00056002"/>
    <w:pPr>
      <w:spacing w:before="240" w:after="120"/>
      <w:outlineLvl w:val="0"/>
    </w:pPr>
    <w:rPr>
      <w:rFonts w:ascii="Times New Roman" w:hAnsi="Times New Roman"/>
      <w:b/>
      <w:sz w:val="32"/>
    </w:rPr>
  </w:style>
  <w:style w:type="paragraph" w:customStyle="1" w:styleId="AllowPageBreak">
    <w:name w:val="AllowPageBreak"/>
    <w:rsid w:val="00056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002"/>
    <w:rPr>
      <w:rFonts w:ascii="Courier New" w:eastAsia="Times New Roman" w:hAnsi="Courier New" w:cs="Times New Roman"/>
      <w:i/>
      <w:szCs w:val="20"/>
      <w:lang w:eastAsia="en-US"/>
    </w:rPr>
  </w:style>
  <w:style w:type="paragraph" w:customStyle="1" w:styleId="HeadingBase">
    <w:name w:val="Heading Base"/>
    <w:rsid w:val="00056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002"/>
    <w:pPr>
      <w:tabs>
        <w:tab w:val="right" w:leader="dot" w:pos="9072"/>
      </w:tabs>
      <w:ind w:left="567"/>
    </w:pPr>
    <w:rPr>
      <w:szCs w:val="22"/>
    </w:rPr>
  </w:style>
  <w:style w:type="paragraph" w:customStyle="1" w:styleId="TOCBase">
    <w:name w:val="TOC Base"/>
    <w:rsid w:val="00056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002"/>
    <w:pPr>
      <w:tabs>
        <w:tab w:val="right" w:leader="dot" w:pos="9072"/>
      </w:tabs>
      <w:spacing w:before="40" w:after="40"/>
      <w:ind w:left="284"/>
    </w:pPr>
    <w:rPr>
      <w:rFonts w:ascii="Times New Roman" w:hAnsi="Times New Roman"/>
    </w:rPr>
  </w:style>
  <w:style w:type="paragraph" w:styleId="TOC1">
    <w:name w:val="toc 1"/>
    <w:basedOn w:val="TOCBase"/>
    <w:next w:val="Normal"/>
    <w:rsid w:val="00056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002"/>
    <w:rPr>
      <w:rFonts w:ascii="Times New Roman" w:eastAsia="Times New Roman" w:hAnsi="Times New Roman" w:cs="Times New Roman"/>
      <w:sz w:val="16"/>
      <w:lang w:eastAsia="en-US"/>
    </w:rPr>
  </w:style>
  <w:style w:type="paragraph" w:styleId="Title">
    <w:name w:val="Title"/>
    <w:basedOn w:val="HeadingBase"/>
    <w:link w:val="TitleChar"/>
    <w:qFormat/>
    <w:rsid w:val="00056002"/>
    <w:pPr>
      <w:spacing w:before="5040"/>
      <w:jc w:val="center"/>
    </w:pPr>
    <w:rPr>
      <w:sz w:val="48"/>
      <w:szCs w:val="72"/>
      <w:lang w:val="en-US"/>
    </w:rPr>
  </w:style>
  <w:style w:type="character" w:customStyle="1" w:styleId="TitleChar">
    <w:name w:val="Title Char"/>
    <w:basedOn w:val="DefaultParagraphFont"/>
    <w:link w:val="Title"/>
    <w:rsid w:val="00056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002"/>
    <w:pPr>
      <w:tabs>
        <w:tab w:val="left" w:pos="3600"/>
        <w:tab w:val="left" w:pos="3958"/>
      </w:tabs>
    </w:pPr>
  </w:style>
  <w:style w:type="paragraph" w:styleId="List">
    <w:name w:val="List"/>
    <w:basedOn w:val="BodyText"/>
    <w:next w:val="BodyText"/>
    <w:rsid w:val="00056002"/>
    <w:pPr>
      <w:tabs>
        <w:tab w:val="left" w:pos="340"/>
      </w:tabs>
      <w:spacing w:before="60" w:after="60"/>
      <w:ind w:left="340" w:hanging="340"/>
    </w:pPr>
  </w:style>
  <w:style w:type="paragraph" w:customStyle="1" w:styleId="Note">
    <w:name w:val="Note"/>
    <w:basedOn w:val="BodyText"/>
    <w:rsid w:val="00056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002"/>
    <w:pPr>
      <w:framePr w:wrap="auto" w:hAnchor="text" w:y="6049"/>
    </w:pPr>
    <w:rPr>
      <w:color w:val="000000"/>
      <w:sz w:val="40"/>
    </w:rPr>
  </w:style>
  <w:style w:type="paragraph" w:customStyle="1" w:styleId="TOCTitle">
    <w:name w:val="TOCTitle"/>
    <w:basedOn w:val="Heading1"/>
    <w:rsid w:val="00056002"/>
    <w:pPr>
      <w:spacing w:after="240"/>
      <w:jc w:val="center"/>
      <w:outlineLvl w:val="9"/>
    </w:pPr>
    <w:rPr>
      <w:caps/>
    </w:rPr>
  </w:style>
  <w:style w:type="paragraph" w:customStyle="1" w:styleId="Version">
    <w:name w:val="Version"/>
    <w:rsid w:val="00056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002"/>
    <w:pPr>
      <w:numPr>
        <w:numId w:val="12"/>
      </w:numPr>
      <w:tabs>
        <w:tab w:val="clear" w:pos="680"/>
      </w:tabs>
    </w:pPr>
  </w:style>
  <w:style w:type="paragraph" w:styleId="Index1">
    <w:name w:val="index 1"/>
    <w:basedOn w:val="Normal"/>
    <w:next w:val="Normal"/>
    <w:semiHidden/>
    <w:rsid w:val="00056002"/>
    <w:pPr>
      <w:keepNext w:val="0"/>
      <w:tabs>
        <w:tab w:val="right" w:pos="4176"/>
      </w:tabs>
      <w:ind w:left="198" w:hanging="198"/>
    </w:pPr>
    <w:rPr>
      <w:rFonts w:ascii="Garamond" w:hAnsi="Garamond"/>
    </w:rPr>
  </w:style>
  <w:style w:type="paragraph" w:styleId="IndexHeading">
    <w:name w:val="index heading"/>
    <w:basedOn w:val="Normal"/>
    <w:next w:val="Index1"/>
    <w:semiHidden/>
    <w:rsid w:val="00056002"/>
    <w:pPr>
      <w:spacing w:before="120" w:after="120"/>
    </w:pPr>
    <w:rPr>
      <w:rFonts w:ascii="Arial" w:hAnsi="Arial"/>
      <w:b/>
      <w:color w:val="918585"/>
      <w:sz w:val="24"/>
    </w:rPr>
  </w:style>
  <w:style w:type="paragraph" w:styleId="Header">
    <w:name w:val="header"/>
    <w:basedOn w:val="Normal"/>
    <w:link w:val="HeaderChar"/>
    <w:rsid w:val="00056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002"/>
    <w:rPr>
      <w:rFonts w:ascii="Times New Roman" w:eastAsia="Times New Roman" w:hAnsi="Times New Roman" w:cs="Times New Roman"/>
      <w:sz w:val="16"/>
      <w:szCs w:val="20"/>
      <w:lang w:val="en-GB" w:eastAsia="en-US"/>
    </w:rPr>
  </w:style>
  <w:style w:type="paragraph" w:customStyle="1" w:styleId="Chapter">
    <w:name w:val="Chapter"/>
    <w:basedOn w:val="Normal"/>
    <w:rsid w:val="00056002"/>
    <w:pPr>
      <w:spacing w:before="240"/>
    </w:pPr>
    <w:rPr>
      <w:rFonts w:ascii="Times New Roman" w:hAnsi="Times New Roman"/>
      <w:smallCaps/>
      <w:spacing w:val="80"/>
      <w:sz w:val="28"/>
    </w:rPr>
  </w:style>
  <w:style w:type="paragraph" w:customStyle="1" w:styleId="InChapter">
    <w:name w:val="InChapter"/>
    <w:basedOn w:val="Heading3"/>
    <w:rsid w:val="00056002"/>
    <w:pPr>
      <w:spacing w:after="240"/>
      <w:outlineLvl w:val="9"/>
    </w:pPr>
    <w:rPr>
      <w:noProof/>
    </w:rPr>
  </w:style>
  <w:style w:type="paragraph" w:styleId="Index2">
    <w:name w:val="index 2"/>
    <w:basedOn w:val="Normal"/>
    <w:next w:val="Normal"/>
    <w:semiHidden/>
    <w:rsid w:val="00056002"/>
    <w:pPr>
      <w:tabs>
        <w:tab w:val="right" w:pos="4176"/>
      </w:tabs>
      <w:ind w:left="568" w:hanging="284"/>
    </w:pPr>
    <w:rPr>
      <w:rFonts w:ascii="Garamond" w:hAnsi="Garamond"/>
    </w:rPr>
  </w:style>
  <w:style w:type="paragraph" w:customStyle="1" w:styleId="Byline">
    <w:name w:val="Byline"/>
    <w:rsid w:val="00056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002"/>
    <w:pPr>
      <w:tabs>
        <w:tab w:val="clear" w:pos="3600"/>
        <w:tab w:val="clear" w:pos="3958"/>
      </w:tabs>
      <w:jc w:val="right"/>
    </w:pPr>
  </w:style>
  <w:style w:type="paragraph" w:styleId="Caption">
    <w:name w:val="caption"/>
    <w:basedOn w:val="BodyText"/>
    <w:next w:val="Normal"/>
    <w:qFormat/>
    <w:rsid w:val="00056002"/>
    <w:pPr>
      <w:framePr w:w="2268" w:hSpace="181" w:vSpace="181" w:wrap="around" w:vAnchor="text" w:hAnchor="page" w:x="1135" w:y="285" w:anchorLock="1"/>
    </w:pPr>
    <w:rPr>
      <w:i/>
    </w:rPr>
  </w:style>
  <w:style w:type="paragraph" w:customStyle="1" w:styleId="MiniTOCTitle">
    <w:name w:val="MiniTOCTitle"/>
    <w:basedOn w:val="Heading4"/>
    <w:rsid w:val="00056002"/>
    <w:pPr>
      <w:spacing w:before="240"/>
      <w:outlineLvl w:val="9"/>
    </w:pPr>
    <w:rPr>
      <w:noProof/>
      <w:sz w:val="24"/>
    </w:rPr>
  </w:style>
  <w:style w:type="paragraph" w:customStyle="1" w:styleId="MiniTOCItem">
    <w:name w:val="MiniTOCItem"/>
    <w:basedOn w:val="ListBullet"/>
    <w:rsid w:val="00056002"/>
    <w:pPr>
      <w:numPr>
        <w:numId w:val="0"/>
      </w:numPr>
      <w:tabs>
        <w:tab w:val="right" w:leader="dot" w:pos="6521"/>
      </w:tabs>
      <w:spacing w:before="0" w:after="0"/>
    </w:pPr>
  </w:style>
  <w:style w:type="paragraph" w:customStyle="1" w:styleId="TOFTitle">
    <w:name w:val="TOFTitle"/>
    <w:basedOn w:val="TOCTitle"/>
    <w:rsid w:val="00056002"/>
  </w:style>
  <w:style w:type="paragraph" w:styleId="TableofFigures">
    <w:name w:val="table of figures"/>
    <w:basedOn w:val="Normal"/>
    <w:next w:val="Normal"/>
    <w:semiHidden/>
    <w:rsid w:val="00056002"/>
    <w:pPr>
      <w:tabs>
        <w:tab w:val="right" w:leader="dot" w:pos="9072"/>
      </w:tabs>
      <w:ind w:left="970" w:hanging="403"/>
    </w:pPr>
    <w:rPr>
      <w:rFonts w:ascii="Times New Roman" w:hAnsi="Times New Roman"/>
      <w:b/>
    </w:rPr>
  </w:style>
  <w:style w:type="paragraph" w:styleId="ListNumber">
    <w:name w:val="List Number"/>
    <w:basedOn w:val="List"/>
    <w:rsid w:val="00056002"/>
    <w:pPr>
      <w:numPr>
        <w:numId w:val="14"/>
      </w:numPr>
      <w:tabs>
        <w:tab w:val="clear" w:pos="340"/>
      </w:tabs>
    </w:pPr>
  </w:style>
  <w:style w:type="character" w:customStyle="1" w:styleId="WingdingSymbols">
    <w:name w:val="Wingding Symbols"/>
    <w:rsid w:val="00056002"/>
    <w:rPr>
      <w:rFonts w:ascii="Wingdings" w:hAnsi="Wingdings"/>
    </w:rPr>
  </w:style>
  <w:style w:type="paragraph" w:customStyle="1" w:styleId="TableHeading">
    <w:name w:val="Table Heading"/>
    <w:basedOn w:val="HeadingBase"/>
    <w:rsid w:val="00056002"/>
    <w:pPr>
      <w:keepLines/>
      <w:pBdr>
        <w:bottom w:val="single" w:sz="6" w:space="1" w:color="918585"/>
      </w:pBdr>
      <w:spacing w:before="240"/>
    </w:pPr>
  </w:style>
  <w:style w:type="character" w:customStyle="1" w:styleId="HotSpot">
    <w:name w:val="HotSpot"/>
    <w:rsid w:val="00056002"/>
    <w:rPr>
      <w:color w:val="0033CC"/>
      <w:u w:val="none"/>
    </w:rPr>
  </w:style>
  <w:style w:type="paragraph" w:customStyle="1" w:styleId="BodyTextRight">
    <w:name w:val="Body Text Right"/>
    <w:basedOn w:val="BodyText"/>
    <w:rsid w:val="00056002"/>
    <w:pPr>
      <w:spacing w:before="0" w:after="0"/>
      <w:jc w:val="right"/>
    </w:pPr>
  </w:style>
  <w:style w:type="paragraph" w:styleId="Index3">
    <w:name w:val="index 3"/>
    <w:basedOn w:val="ListNumber2"/>
    <w:next w:val="Normal"/>
    <w:semiHidden/>
    <w:rsid w:val="00056002"/>
    <w:pPr>
      <w:numPr>
        <w:numId w:val="0"/>
      </w:numPr>
      <w:tabs>
        <w:tab w:val="right" w:leader="dot" w:pos="4176"/>
      </w:tabs>
    </w:pPr>
  </w:style>
  <w:style w:type="paragraph" w:styleId="ListNumber2">
    <w:name w:val="List Number 2"/>
    <w:basedOn w:val="List2"/>
    <w:rsid w:val="00056002"/>
    <w:pPr>
      <w:numPr>
        <w:numId w:val="9"/>
      </w:numPr>
      <w:tabs>
        <w:tab w:val="clear" w:pos="1060"/>
      </w:tabs>
    </w:pPr>
  </w:style>
  <w:style w:type="paragraph" w:customStyle="1" w:styleId="MarginNote">
    <w:name w:val="Margin Note"/>
    <w:basedOn w:val="BodyText"/>
    <w:rsid w:val="00056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002"/>
    <w:rPr>
      <w:sz w:val="32"/>
    </w:rPr>
  </w:style>
  <w:style w:type="paragraph" w:customStyle="1" w:styleId="HeadingProcedure">
    <w:name w:val="Heading Procedure"/>
    <w:basedOn w:val="HeadingBase"/>
    <w:next w:val="Normal"/>
    <w:rsid w:val="00056002"/>
    <w:pPr>
      <w:tabs>
        <w:tab w:val="left" w:pos="0"/>
      </w:tabs>
      <w:spacing w:before="120" w:after="60"/>
    </w:pPr>
    <w:rPr>
      <w:i/>
      <w:color w:val="918585"/>
      <w:sz w:val="22"/>
    </w:rPr>
  </w:style>
  <w:style w:type="paragraph" w:customStyle="1" w:styleId="TableBodyText">
    <w:name w:val="Table Body Text"/>
    <w:basedOn w:val="BodyText"/>
    <w:rsid w:val="00056002"/>
    <w:pPr>
      <w:spacing w:before="60" w:after="60"/>
    </w:pPr>
  </w:style>
  <w:style w:type="paragraph" w:styleId="ListContinue">
    <w:name w:val="List Continue"/>
    <w:basedOn w:val="List"/>
    <w:rsid w:val="00056002"/>
    <w:pPr>
      <w:ind w:firstLine="0"/>
    </w:pPr>
  </w:style>
  <w:style w:type="paragraph" w:customStyle="1" w:styleId="ListNote">
    <w:name w:val="List Note"/>
    <w:basedOn w:val="List"/>
    <w:rsid w:val="00056002"/>
    <w:pPr>
      <w:pBdr>
        <w:top w:val="single" w:sz="6" w:space="2" w:color="918585"/>
        <w:bottom w:val="single" w:sz="6" w:space="2" w:color="918585"/>
      </w:pBdr>
      <w:tabs>
        <w:tab w:val="left" w:pos="1021"/>
      </w:tabs>
      <w:ind w:firstLine="0"/>
    </w:pPr>
  </w:style>
  <w:style w:type="paragraph" w:customStyle="1" w:styleId="Warning">
    <w:name w:val="Warning"/>
    <w:basedOn w:val="BodyText"/>
    <w:rsid w:val="00056002"/>
    <w:pPr>
      <w:shd w:val="clear" w:color="auto" w:fill="D9D9D9"/>
      <w:tabs>
        <w:tab w:val="left" w:pos="992"/>
      </w:tabs>
      <w:ind w:left="119" w:right="119"/>
    </w:pPr>
    <w:rPr>
      <w:sz w:val="20"/>
    </w:rPr>
  </w:style>
  <w:style w:type="paragraph" w:customStyle="1" w:styleId="MarginIcons">
    <w:name w:val="Margin Icons"/>
    <w:basedOn w:val="BodyText"/>
    <w:rsid w:val="00056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002"/>
    <w:rPr>
      <w:rFonts w:ascii="Courier New" w:hAnsi="Courier New"/>
    </w:rPr>
  </w:style>
  <w:style w:type="paragraph" w:customStyle="1" w:styleId="NoteBullet">
    <w:name w:val="Note Bullet"/>
    <w:basedOn w:val="Note"/>
    <w:rsid w:val="00056002"/>
    <w:pPr>
      <w:tabs>
        <w:tab w:val="clear" w:pos="680"/>
      </w:tabs>
      <w:spacing w:before="60" w:after="60"/>
    </w:pPr>
  </w:style>
  <w:style w:type="paragraph" w:customStyle="1" w:styleId="SubHeading2">
    <w:name w:val="SubHeading2"/>
    <w:basedOn w:val="HeadingBase"/>
    <w:rsid w:val="00056002"/>
    <w:pPr>
      <w:spacing w:before="240" w:after="60"/>
    </w:pPr>
    <w:rPr>
      <w:sz w:val="20"/>
    </w:rPr>
  </w:style>
  <w:style w:type="paragraph" w:customStyle="1" w:styleId="SubHeading1">
    <w:name w:val="SubHeading1"/>
    <w:basedOn w:val="HeadingBase"/>
    <w:rsid w:val="00056002"/>
    <w:pPr>
      <w:spacing w:before="240" w:after="60"/>
    </w:pPr>
    <w:rPr>
      <w:color w:val="918585"/>
      <w:sz w:val="22"/>
    </w:rPr>
  </w:style>
  <w:style w:type="paragraph" w:customStyle="1" w:styleId="SideHeading">
    <w:name w:val="Side Heading"/>
    <w:basedOn w:val="HeadingBase"/>
    <w:rsid w:val="00056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002"/>
    <w:pPr>
      <w:numPr>
        <w:numId w:val="10"/>
      </w:numPr>
    </w:pPr>
  </w:style>
  <w:style w:type="paragraph" w:styleId="PlainText">
    <w:name w:val="Plain Text"/>
    <w:basedOn w:val="Normal"/>
    <w:link w:val="PlainTextChar"/>
    <w:rsid w:val="00056002"/>
    <w:rPr>
      <w:sz w:val="20"/>
    </w:rPr>
  </w:style>
  <w:style w:type="character" w:customStyle="1" w:styleId="PlainTextChar">
    <w:name w:val="Plain Text Char"/>
    <w:basedOn w:val="DefaultParagraphFont"/>
    <w:link w:val="PlainText"/>
    <w:rsid w:val="00056002"/>
    <w:rPr>
      <w:rFonts w:ascii="Courier New" w:eastAsia="Times New Roman" w:hAnsi="Courier New" w:cs="Times New Roman"/>
      <w:sz w:val="20"/>
      <w:szCs w:val="20"/>
      <w:lang w:eastAsia="en-US"/>
    </w:rPr>
  </w:style>
  <w:style w:type="character" w:customStyle="1" w:styleId="MenuOption">
    <w:name w:val="Menu Option"/>
    <w:basedOn w:val="DefaultParagraphFont"/>
    <w:rsid w:val="00056002"/>
    <w:rPr>
      <w:b/>
      <w:smallCaps/>
    </w:rPr>
  </w:style>
  <w:style w:type="paragraph" w:customStyle="1" w:styleId="TableListNumber">
    <w:name w:val="Table List Number"/>
    <w:basedOn w:val="ListNumber"/>
    <w:rsid w:val="00056002"/>
    <w:pPr>
      <w:numPr>
        <w:numId w:val="0"/>
      </w:numPr>
    </w:pPr>
  </w:style>
  <w:style w:type="paragraph" w:styleId="TOC4">
    <w:name w:val="toc 4"/>
    <w:basedOn w:val="TOCBase"/>
    <w:next w:val="Normal"/>
    <w:semiHidden/>
    <w:rsid w:val="00056002"/>
    <w:pPr>
      <w:tabs>
        <w:tab w:val="right" w:leader="dot" w:pos="9071"/>
      </w:tabs>
      <w:ind w:left="1701"/>
    </w:pPr>
  </w:style>
  <w:style w:type="paragraph" w:customStyle="1" w:styleId="ListAlpha">
    <w:name w:val="List Alpha"/>
    <w:basedOn w:val="List"/>
    <w:rsid w:val="00056002"/>
    <w:pPr>
      <w:numPr>
        <w:numId w:val="8"/>
      </w:numPr>
    </w:pPr>
  </w:style>
  <w:style w:type="paragraph" w:customStyle="1" w:styleId="ListAlpha2">
    <w:name w:val="List Alpha 2"/>
    <w:basedOn w:val="List2"/>
    <w:rsid w:val="00056002"/>
    <w:pPr>
      <w:numPr>
        <w:numId w:val="7"/>
      </w:numPr>
    </w:pPr>
  </w:style>
  <w:style w:type="paragraph" w:styleId="List2">
    <w:name w:val="List 2"/>
    <w:basedOn w:val="BodyText"/>
    <w:rsid w:val="00056002"/>
    <w:pPr>
      <w:tabs>
        <w:tab w:val="left" w:pos="680"/>
      </w:tabs>
      <w:spacing w:before="60" w:after="60"/>
      <w:ind w:left="680" w:hanging="340"/>
    </w:pPr>
  </w:style>
  <w:style w:type="paragraph" w:styleId="List3">
    <w:name w:val="List 3"/>
    <w:basedOn w:val="BodyText"/>
    <w:rsid w:val="00056002"/>
    <w:pPr>
      <w:tabs>
        <w:tab w:val="left" w:pos="1021"/>
      </w:tabs>
      <w:spacing w:before="60" w:after="60"/>
      <w:ind w:left="1020" w:hanging="340"/>
    </w:pPr>
  </w:style>
  <w:style w:type="paragraph" w:styleId="List4">
    <w:name w:val="List 4"/>
    <w:basedOn w:val="BodyText"/>
    <w:rsid w:val="00056002"/>
    <w:pPr>
      <w:tabs>
        <w:tab w:val="left" w:pos="1361"/>
      </w:tabs>
      <w:spacing w:before="60" w:after="60"/>
      <w:ind w:left="1361" w:hanging="340"/>
    </w:pPr>
  </w:style>
  <w:style w:type="paragraph" w:styleId="List5">
    <w:name w:val="List 5"/>
    <w:basedOn w:val="BodyText"/>
    <w:rsid w:val="00056002"/>
    <w:pPr>
      <w:tabs>
        <w:tab w:val="left" w:pos="1701"/>
      </w:tabs>
      <w:spacing w:before="60" w:after="60"/>
      <w:ind w:left="1701" w:hanging="340"/>
    </w:pPr>
  </w:style>
  <w:style w:type="paragraph" w:styleId="ListBullet3">
    <w:name w:val="List Bullet 3"/>
    <w:basedOn w:val="List3"/>
    <w:rsid w:val="00056002"/>
    <w:pPr>
      <w:numPr>
        <w:numId w:val="13"/>
      </w:numPr>
      <w:tabs>
        <w:tab w:val="clear" w:pos="1021"/>
      </w:tabs>
      <w:ind w:left="1037" w:hanging="357"/>
    </w:pPr>
  </w:style>
  <w:style w:type="paragraph" w:styleId="ListBullet4">
    <w:name w:val="List Bullet 4"/>
    <w:basedOn w:val="List4"/>
    <w:rsid w:val="00056002"/>
    <w:pPr>
      <w:numPr>
        <w:numId w:val="2"/>
      </w:numPr>
      <w:tabs>
        <w:tab w:val="clear" w:pos="1361"/>
      </w:tabs>
    </w:pPr>
  </w:style>
  <w:style w:type="paragraph" w:styleId="ListBullet5">
    <w:name w:val="List Bullet 5"/>
    <w:basedOn w:val="List5"/>
    <w:rsid w:val="00056002"/>
    <w:pPr>
      <w:numPr>
        <w:numId w:val="3"/>
      </w:numPr>
    </w:pPr>
  </w:style>
  <w:style w:type="paragraph" w:styleId="ListContinue2">
    <w:name w:val="List Continue 2"/>
    <w:basedOn w:val="List2"/>
    <w:rsid w:val="00056002"/>
    <w:pPr>
      <w:ind w:firstLine="0"/>
    </w:pPr>
  </w:style>
  <w:style w:type="paragraph" w:styleId="ListContinue3">
    <w:name w:val="List Continue 3"/>
    <w:basedOn w:val="List3"/>
    <w:rsid w:val="00056002"/>
    <w:pPr>
      <w:ind w:left="1021" w:firstLine="0"/>
    </w:pPr>
  </w:style>
  <w:style w:type="paragraph" w:styleId="ListContinue4">
    <w:name w:val="List Continue 4"/>
    <w:basedOn w:val="List4"/>
    <w:rsid w:val="00056002"/>
    <w:pPr>
      <w:ind w:firstLine="0"/>
    </w:pPr>
  </w:style>
  <w:style w:type="paragraph" w:styleId="ListContinue5">
    <w:name w:val="List Continue 5"/>
    <w:basedOn w:val="List5"/>
    <w:rsid w:val="00056002"/>
    <w:pPr>
      <w:ind w:firstLine="0"/>
    </w:pPr>
  </w:style>
  <w:style w:type="paragraph" w:styleId="ListNumber3">
    <w:name w:val="List Number 3"/>
    <w:basedOn w:val="List3"/>
    <w:rsid w:val="00056002"/>
    <w:pPr>
      <w:numPr>
        <w:numId w:val="4"/>
      </w:numPr>
    </w:pPr>
  </w:style>
  <w:style w:type="paragraph" w:styleId="ListNumber4">
    <w:name w:val="List Number 4"/>
    <w:basedOn w:val="List4"/>
    <w:rsid w:val="00056002"/>
    <w:pPr>
      <w:numPr>
        <w:numId w:val="5"/>
      </w:numPr>
    </w:pPr>
  </w:style>
  <w:style w:type="paragraph" w:styleId="ListNumber5">
    <w:name w:val="List Number 5"/>
    <w:basedOn w:val="List5"/>
    <w:rsid w:val="00056002"/>
    <w:pPr>
      <w:numPr>
        <w:numId w:val="6"/>
      </w:numPr>
    </w:pPr>
  </w:style>
  <w:style w:type="paragraph" w:styleId="BlockText">
    <w:name w:val="Block Text"/>
    <w:basedOn w:val="Normal"/>
    <w:rsid w:val="00056002"/>
    <w:pPr>
      <w:spacing w:after="120"/>
      <w:ind w:left="1440" w:right="1440"/>
    </w:pPr>
  </w:style>
  <w:style w:type="character" w:customStyle="1" w:styleId="Subscript">
    <w:name w:val="Subscript"/>
    <w:basedOn w:val="DefaultParagraphFont"/>
    <w:rsid w:val="00056002"/>
    <w:rPr>
      <w:sz w:val="16"/>
      <w:vertAlign w:val="subscript"/>
    </w:rPr>
  </w:style>
  <w:style w:type="character" w:customStyle="1" w:styleId="Superscript">
    <w:name w:val="Superscript"/>
    <w:basedOn w:val="DefaultParagraphFont"/>
    <w:rsid w:val="00056002"/>
    <w:rPr>
      <w:sz w:val="16"/>
      <w:vertAlign w:val="superscript"/>
    </w:rPr>
  </w:style>
  <w:style w:type="character" w:customStyle="1" w:styleId="Symbols">
    <w:name w:val="Symbols"/>
    <w:basedOn w:val="DefaultParagraphFont"/>
    <w:rsid w:val="00056002"/>
    <w:rPr>
      <w:rFonts w:ascii="Symbol" w:hAnsi="Symbol"/>
    </w:rPr>
  </w:style>
  <w:style w:type="character" w:customStyle="1" w:styleId="MenuOptions">
    <w:name w:val="Menu Options"/>
    <w:basedOn w:val="DefaultParagraphFont"/>
    <w:rsid w:val="00056002"/>
    <w:rPr>
      <w:rFonts w:ascii="Arial Narrow" w:hAnsi="Arial Narrow"/>
      <w:smallCaps/>
    </w:rPr>
  </w:style>
  <w:style w:type="character" w:customStyle="1" w:styleId="Buttons">
    <w:name w:val="Buttons"/>
    <w:basedOn w:val="DefaultParagraphFont"/>
    <w:rsid w:val="00056002"/>
    <w:rPr>
      <w:b/>
    </w:rPr>
  </w:style>
  <w:style w:type="character" w:customStyle="1" w:styleId="Underlined">
    <w:name w:val="Underlined"/>
    <w:basedOn w:val="DefaultParagraphFont"/>
    <w:rsid w:val="00056002"/>
    <w:rPr>
      <w:u w:val="single"/>
    </w:rPr>
  </w:style>
  <w:style w:type="paragraph" w:customStyle="1" w:styleId="TableBodyTextRight">
    <w:name w:val="Table Body Text Right"/>
    <w:basedOn w:val="TableBodyText"/>
    <w:rsid w:val="00056002"/>
    <w:pPr>
      <w:widowControl w:val="0"/>
      <w:autoSpaceDE w:val="0"/>
      <w:autoSpaceDN w:val="0"/>
      <w:adjustRightInd w:val="0"/>
      <w:jc w:val="right"/>
    </w:pPr>
    <w:rPr>
      <w:rFonts w:cs="Arial"/>
      <w:szCs w:val="18"/>
    </w:rPr>
  </w:style>
  <w:style w:type="paragraph" w:customStyle="1" w:styleId="CopyrightText">
    <w:name w:val="Copyright Text"/>
    <w:basedOn w:val="BodyText"/>
    <w:rsid w:val="00056002"/>
    <w:rPr>
      <w:sz w:val="18"/>
    </w:rPr>
  </w:style>
  <w:style w:type="paragraph" w:customStyle="1" w:styleId="BodySmallRight">
    <w:name w:val="Body Small Right"/>
    <w:basedOn w:val="BodyTextRight"/>
    <w:rsid w:val="00056002"/>
    <w:rPr>
      <w:sz w:val="18"/>
      <w:szCs w:val="18"/>
    </w:rPr>
  </w:style>
  <w:style w:type="paragraph" w:customStyle="1" w:styleId="MarginEdition">
    <w:name w:val="Margin Edition"/>
    <w:basedOn w:val="MarginNote"/>
    <w:rsid w:val="00056002"/>
    <w:pPr>
      <w:spacing w:before="0" w:after="0"/>
    </w:pPr>
    <w:rPr>
      <w:rFonts w:ascii="Times New Roman" w:hAnsi="Times New Roman"/>
      <w:color w:val="999999"/>
    </w:rPr>
  </w:style>
  <w:style w:type="paragraph" w:customStyle="1" w:styleId="Spacer">
    <w:name w:val="Spacer"/>
    <w:basedOn w:val="Normal"/>
    <w:rsid w:val="00056002"/>
    <w:rPr>
      <w:sz w:val="2"/>
      <w:szCs w:val="2"/>
    </w:rPr>
  </w:style>
  <w:style w:type="character" w:customStyle="1" w:styleId="Small">
    <w:name w:val="Small"/>
    <w:basedOn w:val="DefaultParagraphFont"/>
    <w:rsid w:val="00056002"/>
    <w:rPr>
      <w:sz w:val="16"/>
    </w:rPr>
  </w:style>
  <w:style w:type="paragraph" w:customStyle="1" w:styleId="WideTable">
    <w:name w:val="Wide Table"/>
    <w:basedOn w:val="Normal"/>
    <w:rsid w:val="00056002"/>
    <w:pPr>
      <w:ind w:left="-1418"/>
    </w:pPr>
    <w:rPr>
      <w:sz w:val="2"/>
      <w:szCs w:val="2"/>
    </w:rPr>
  </w:style>
  <w:style w:type="character" w:styleId="PageNumber">
    <w:name w:val="page number"/>
    <w:basedOn w:val="DefaultParagraphFont"/>
    <w:rsid w:val="00056002"/>
  </w:style>
  <w:style w:type="paragraph" w:styleId="Quote">
    <w:name w:val="Quote"/>
    <w:basedOn w:val="Heading1"/>
    <w:link w:val="QuoteChar"/>
    <w:qFormat/>
    <w:rsid w:val="00056002"/>
    <w:rPr>
      <w:b w:val="0"/>
      <w:sz w:val="72"/>
      <w:szCs w:val="72"/>
      <w:lang w:val="en-NZ"/>
    </w:rPr>
  </w:style>
  <w:style w:type="character" w:customStyle="1" w:styleId="QuoteChar">
    <w:name w:val="Quote Char"/>
    <w:basedOn w:val="DefaultParagraphFont"/>
    <w:link w:val="Quote"/>
    <w:rsid w:val="00056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002"/>
    <w:pPr>
      <w:pageBreakBefore/>
    </w:pPr>
  </w:style>
  <w:style w:type="paragraph" w:customStyle="1" w:styleId="Border">
    <w:name w:val="Border"/>
    <w:basedOn w:val="Normal"/>
    <w:qFormat/>
    <w:rsid w:val="00056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002"/>
    <w:rPr>
      <w:b/>
      <w:bCs/>
      <w:i/>
      <w:iCs/>
      <w:color w:val="auto"/>
    </w:rPr>
  </w:style>
  <w:style w:type="paragraph" w:styleId="IntenseQuote">
    <w:name w:val="Intense Quote"/>
    <w:basedOn w:val="Normal"/>
    <w:next w:val="Normal"/>
    <w:link w:val="IntenseQuoteChar"/>
    <w:uiPriority w:val="30"/>
    <w:qFormat/>
    <w:rsid w:val="00056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002"/>
    <w:rPr>
      <w:smallCaps/>
      <w:color w:val="auto"/>
      <w:u w:val="single"/>
    </w:rPr>
  </w:style>
  <w:style w:type="character" w:styleId="IntenseReference">
    <w:name w:val="Intense Reference"/>
    <w:basedOn w:val="DefaultParagraphFont"/>
    <w:uiPriority w:val="32"/>
    <w:qFormat/>
    <w:rsid w:val="00056002"/>
    <w:rPr>
      <w:b/>
      <w:bCs/>
      <w:smallCaps/>
      <w:color w:val="auto"/>
      <w:spacing w:val="5"/>
      <w:u w:val="single"/>
    </w:rPr>
  </w:style>
  <w:style w:type="paragraph" w:customStyle="1" w:styleId="2ColumnHeading">
    <w:name w:val="2Column Heading"/>
    <w:basedOn w:val="BodyText"/>
    <w:qFormat/>
    <w:rsid w:val="00056002"/>
    <w:pPr>
      <w:spacing w:after="60"/>
      <w:ind w:left="-2268"/>
    </w:pPr>
    <w:rPr>
      <w:b/>
    </w:rPr>
  </w:style>
  <w:style w:type="paragraph" w:customStyle="1" w:styleId="Heading1TOC">
    <w:name w:val="Heading1 TOC"/>
    <w:basedOn w:val="Normal"/>
    <w:qFormat/>
    <w:rsid w:val="00056002"/>
    <w:pPr>
      <w:spacing w:before="240" w:after="120"/>
    </w:pPr>
    <w:rPr>
      <w:rFonts w:ascii="Times New Roman" w:hAnsi="Times New Roman"/>
      <w:b/>
      <w:sz w:val="32"/>
    </w:rPr>
  </w:style>
  <w:style w:type="paragraph" w:customStyle="1" w:styleId="Heading2TOC">
    <w:name w:val="Heading2 TOC"/>
    <w:basedOn w:val="Normal"/>
    <w:qFormat/>
    <w:rsid w:val="00056002"/>
    <w:pPr>
      <w:spacing w:before="240" w:after="60"/>
    </w:pPr>
    <w:rPr>
      <w:rFonts w:ascii="Times New Roman" w:hAnsi="Times New Roman"/>
      <w:b/>
      <w:sz w:val="28"/>
    </w:rPr>
  </w:style>
  <w:style w:type="character" w:customStyle="1" w:styleId="Underline">
    <w:name w:val="Underline"/>
    <w:basedOn w:val="DefaultParagraphFont"/>
    <w:qFormat/>
    <w:rsid w:val="00056002"/>
    <w:rPr>
      <w:u w:val="single"/>
    </w:rPr>
  </w:style>
  <w:style w:type="character" w:customStyle="1" w:styleId="BoldandItalics">
    <w:name w:val="Bold and Italics"/>
    <w:qFormat/>
    <w:rsid w:val="00056002"/>
    <w:rPr>
      <w:b/>
      <w:i/>
      <w:u w:val="none"/>
    </w:rPr>
  </w:style>
  <w:style w:type="paragraph" w:styleId="BalloonText">
    <w:name w:val="Balloon Text"/>
    <w:basedOn w:val="Normal"/>
    <w:link w:val="BalloonTextChar"/>
    <w:rsid w:val="00056002"/>
    <w:rPr>
      <w:rFonts w:ascii="Tahoma" w:hAnsi="Tahoma" w:cs="Tahoma"/>
      <w:sz w:val="16"/>
      <w:szCs w:val="16"/>
    </w:rPr>
  </w:style>
  <w:style w:type="character" w:customStyle="1" w:styleId="BalloonTextChar">
    <w:name w:val="Balloon Text Char"/>
    <w:basedOn w:val="DefaultParagraphFont"/>
    <w:link w:val="BalloonText"/>
    <w:rsid w:val="00056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002"/>
    <w:rPr>
      <w:b/>
      <w:color w:val="660033"/>
      <w:spacing w:val="0"/>
    </w:rPr>
  </w:style>
  <w:style w:type="paragraph" w:customStyle="1" w:styleId="Nameditemlist">
    <w:name w:val="Named item list"/>
    <w:basedOn w:val="BodyText"/>
    <w:qFormat/>
    <w:rsid w:val="00056002"/>
    <w:pPr>
      <w:tabs>
        <w:tab w:val="left" w:pos="2835"/>
      </w:tabs>
      <w:ind w:left="2835" w:hanging="2835"/>
    </w:pPr>
  </w:style>
  <w:style w:type="paragraph" w:customStyle="1" w:styleId="BodyTextnopadding">
    <w:name w:val="Body Text no padding"/>
    <w:basedOn w:val="BodyText"/>
    <w:qFormat/>
    <w:rsid w:val="00056002"/>
    <w:pPr>
      <w:spacing w:before="0" w:after="0"/>
    </w:pPr>
  </w:style>
  <w:style w:type="paragraph" w:customStyle="1" w:styleId="BodyTextBold">
    <w:name w:val="Body Text Bold"/>
    <w:basedOn w:val="BodyText"/>
    <w:qFormat/>
    <w:rsid w:val="00056002"/>
    <w:rPr>
      <w:b/>
    </w:rPr>
  </w:style>
  <w:style w:type="character" w:styleId="Hyperlink">
    <w:name w:val="Hyperlink"/>
    <w:basedOn w:val="DefaultParagraphFont"/>
    <w:uiPriority w:val="99"/>
    <w:unhideWhenUsed/>
    <w:rsid w:val="005F2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5082</Characters>
  <Application>Microsoft Office Word</Application>
  <DocSecurity>0</DocSecurity>
  <Lines>169</Lines>
  <Paragraphs>110</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TLIX5058 Review decisions of regulatory bodies</dc:title>
  <dc:subject>Approved</dc:subject>
  <dc:creator>Industry Skills Australia</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