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343" w:rsidP="005D4343">
      <w:pPr>
        <w:pStyle w:val="Title"/>
      </w:pPr>
      <w:r>
        <w:fldChar w:fldCharType="begin"/>
      </w:r>
      <w:r>
        <w:instrText xml:space="preserve"> TITLE   \* MERGEFORMAT </w:instrText>
      </w:r>
      <w:r>
        <w:fldChar w:fldCharType="separate"/>
      </w:r>
      <w:r>
        <w:t>TLIX5056 Carry out additional customs clearance practices</w:t>
      </w:r>
      <w:r>
        <w:fldChar w:fldCharType="end"/>
      </w:r>
    </w:p>
    <w:p w:rsidR="005D4343" w:rsidP="005D4343">
      <w:pPr>
        <w:pStyle w:val="Version"/>
        <w:sectPr w:rsidSect="001B25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5AB" w:rsidP="001B25AB">
      <w:pPr>
        <w:pStyle w:val="SuperHeading"/>
      </w:pPr>
      <w:r w:rsidRPr="001B25AB">
        <w:t>TLIX5056 Carry out additional customs clearance practices</w:t>
      </w:r>
    </w:p>
    <w:p w:rsidR="00000000" w:rsidRPr="001B25AB" w:rsidP="001B25AB">
      <w:pPr>
        <w:pStyle w:val="Heading1"/>
      </w:pPr>
      <w:bookmarkStart w:id="1" w:name="O_838634"/>
      <w:bookmarkEnd w:id="1"/>
      <w:r w:rsidRPr="001B25AB">
        <w:t>Modification History</w:t>
      </w:r>
    </w:p>
    <w:p w:rsidR="005D4343" w:rsidP="005D4343">
      <w:pPr>
        <w:pStyle w:val="BodyText"/>
      </w:pPr>
      <w:r w:rsidRPr="001B25AB">
        <w:t>Release 1. This is the first release of this unit of competency in the TLI Transport and Logistics Training Package.</w:t>
      </w:r>
    </w:p>
    <w:p w:rsidR="00000000" w:rsidRPr="001B25AB" w:rsidP="001B25AB">
      <w:pPr>
        <w:pStyle w:val="Heading1"/>
      </w:pPr>
      <w:bookmarkStart w:id="2" w:name="O_838635"/>
      <w:bookmarkEnd w:id="2"/>
      <w:r w:rsidRPr="001B25AB">
        <w:t>Application</w:t>
      </w:r>
    </w:p>
    <w:tbl>
      <w:tblPr>
        <w:tblW w:w="0" w:type="auto"/>
        <w:tblCellMar>
          <w:left w:w="62" w:type="dxa"/>
          <w:right w:w="62" w:type="dxa"/>
        </w:tblCellMar>
        <w:tblLook w:val="0000"/>
      </w:tblPr>
      <w:tblGrid>
        <w:gridCol w:w="9196"/>
      </w:tblGrid>
      <w:tr w:rsidTr="005D43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t>This unit involves the skills and knowledge required to carry out custom</w:t>
            </w:r>
            <w:r w:rsidRPr="001B25AB">
              <w:t xml:space="preserve">s clearance practices that are additional to the standard clearance practices, in accordance with the current Australian Customs Act and amendments, as well as relevant legislation, regulatory requirements and workplace requirements. </w:t>
            </w:r>
          </w:p>
          <w:p w:rsidR="00000000" w:rsidRPr="001B25AB" w:rsidP="001B25AB">
            <w:pPr>
              <w:pStyle w:val="BodyText"/>
            </w:pPr>
            <w:r w:rsidRPr="001B25AB">
              <w:t xml:space="preserve">This unit applies to </w:t>
            </w:r>
            <w:r w:rsidRPr="001B25AB">
              <w:t xml:space="preserve">individuals working as a customs broker. Work must be carried out in compliance with relevant customs legislation and workplace requirements concerning customs clearance practices. </w:t>
            </w:r>
          </w:p>
          <w:p w:rsidR="00000000" w:rsidRPr="001B25AB" w:rsidP="001B25AB">
            <w:pPr>
              <w:pStyle w:val="BodyText"/>
            </w:pPr>
            <w:r w:rsidRPr="001B25AB">
              <w:t>Work is undertaken in a range of environments, including small to large wo</w:t>
            </w:r>
            <w:r w:rsidRPr="001B25AB">
              <w:t xml:space="preserve">rksites in the custom broking industry. </w:t>
            </w:r>
          </w:p>
          <w:p w:rsidR="00000000" w:rsidRPr="001B25AB" w:rsidP="001B25AB">
            <w:pPr>
              <w:pStyle w:val="BodyText"/>
            </w:pPr>
            <w:r w:rsidRPr="001B25AB">
              <w:t>No licensing, legislative or certification requirements apply to this unit at the time of publication.</w:t>
            </w:r>
          </w:p>
        </w:tc>
      </w:tr>
    </w:tbl>
    <w:p w:rsidR="005D4343" w:rsidP="001B25AB">
      <w:pPr>
        <w:pStyle w:val="BodyText"/>
      </w:pPr>
    </w:p>
    <w:p w:rsidR="005D4343" w:rsidP="001B25AB">
      <w:pPr>
        <w:pStyle w:val="BodyText"/>
      </w:pPr>
    </w:p>
    <w:p w:rsidR="00000000" w:rsidRPr="001B25AB" w:rsidP="001B25AB">
      <w:pPr>
        <w:pStyle w:val="Heading1"/>
      </w:pPr>
      <w:bookmarkStart w:id="3" w:name="O_838636"/>
      <w:bookmarkEnd w:id="3"/>
      <w:r w:rsidRPr="001B25AB">
        <w:t>Pre-requisite Unit</w:t>
      </w:r>
    </w:p>
    <w:p w:rsidR="005D4343" w:rsidP="005D4343">
      <w:pPr>
        <w:pStyle w:val="BodyText"/>
      </w:pPr>
      <w:r w:rsidRPr="001B25AB">
        <w:t>Not applicable.</w:t>
      </w:r>
    </w:p>
    <w:p w:rsidR="00000000" w:rsidRPr="001B25AB" w:rsidP="001B25AB">
      <w:pPr>
        <w:pStyle w:val="Heading1"/>
      </w:pPr>
      <w:bookmarkStart w:id="4" w:name="O_838637"/>
      <w:bookmarkEnd w:id="4"/>
      <w:r w:rsidRPr="001B25AB">
        <w:t>Competency Field</w:t>
      </w:r>
    </w:p>
    <w:p w:rsidR="005D4343" w:rsidP="005D4343">
      <w:pPr>
        <w:pStyle w:val="BodyText"/>
      </w:pPr>
      <w:r w:rsidRPr="001B25AB">
        <w:t>X – Logistics</w:t>
      </w:r>
    </w:p>
    <w:p w:rsidR="00000000" w:rsidRPr="001B25AB" w:rsidP="001B25AB">
      <w:pPr>
        <w:pStyle w:val="Heading1"/>
      </w:pPr>
      <w:bookmarkStart w:id="5" w:name="O_838638"/>
      <w:bookmarkEnd w:id="5"/>
      <w:r w:rsidRPr="001B25AB">
        <w:t>Unit Sector</w:t>
      </w:r>
    </w:p>
    <w:p w:rsidR="005D4343" w:rsidP="005D4343">
      <w:pPr>
        <w:pStyle w:val="BodyText"/>
      </w:pPr>
      <w:r w:rsidRPr="001B25AB">
        <w:t>Not applicable.</w:t>
      </w:r>
    </w:p>
    <w:p w:rsidR="00000000" w:rsidRPr="001B25AB" w:rsidP="001B25AB">
      <w:pPr>
        <w:pStyle w:val="Heading1"/>
      </w:pPr>
      <w:bookmarkStart w:id="6" w:name="O_838639"/>
      <w:bookmarkEnd w:id="6"/>
      <w:r w:rsidRPr="001B25AB">
        <w:t>Elements and Performance Criteria</w:t>
      </w:r>
    </w:p>
    <w:tbl>
      <w:tblPr>
        <w:tblW w:w="0" w:type="auto"/>
        <w:tblCellMar>
          <w:left w:w="62" w:type="dxa"/>
          <w:right w:w="62" w:type="dxa"/>
        </w:tblCellMar>
        <w:tblLook w:val="0000"/>
      </w:tblPr>
      <w:tblGrid>
        <w:gridCol w:w="337"/>
        <w:gridCol w:w="1796"/>
        <w:gridCol w:w="561"/>
        <w:gridCol w:w="6502"/>
      </w:tblGrid>
      <w:tr w:rsidTr="005D43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rPr>
                <w:rStyle w:val="SpecialBold"/>
              </w:rPr>
              <w:t>PERFORMANCE CRITERIA</w:t>
            </w:r>
          </w:p>
        </w:tc>
      </w:tr>
      <w:tr w:rsidTr="005D43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Performance criteria describe the performance needed to demonstrate achievement of t</w:t>
            </w:r>
            <w:r w:rsidRPr="001B25AB">
              <w:t>he element.</w:t>
            </w:r>
          </w:p>
        </w:tc>
      </w:tr>
      <w:tr w:rsidTr="005D4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rPr>
                <w:rStyle w:val="SpecialBold"/>
              </w:rPr>
              <w:t>Calculate landed costs</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1.1</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Documents are examined and factors required to calculate a landed cost are identified from commercial and customs documentation</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1.2</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Client is contacted to verify contracted rate of exchange required in calculations</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1.3</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Missing data is identified and rectification processes are initiated</w:t>
            </w:r>
          </w:p>
        </w:tc>
      </w:tr>
      <w:tr w:rsidTr="005D4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rPr>
                <w:rStyle w:val="SpecialBold"/>
              </w:rPr>
              <w:t>Determine eligibility of import transaction for refund, rebate or remission of customs duty</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2.</w:t>
            </w:r>
            <w:r w:rsidRPr="001B25AB">
              <w:t>1</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Transaction documents are examined for accuracy and completeness</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2.2</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Circumstances giving rise to eligible refund, rebate or remission opportunities are identified</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2.3</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Relevant reason code is determined from current customs regulations</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2.4</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 xml:space="preserve">Timeframes within which refunds are available is determined in accordance with current Customs Regulations </w:t>
            </w:r>
          </w:p>
        </w:tc>
      </w:tr>
      <w:tr w:rsidTr="005D4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rPr>
                <w:rStyle w:val="SpecialBold"/>
              </w:rPr>
              <w:t>Determine eligibility of import consignments for entry under relevant legislation</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3.1</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Temporary import is identified and established as conformin</w:t>
            </w:r>
            <w:r w:rsidRPr="001B25AB">
              <w:t>g to the requirements of the current Australian Customs Act and associated regulations</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3.2</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Goods are identified as subject to carnet and dealt with in accordance with import requirements</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3.3</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Goods are identified as a temporary import under event status and dealt with in accordance with import requirements</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3.4</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Goods are identified as a temporary importation and dealt with in accordance with import requirements</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3.5</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Application forms for se</w:t>
            </w:r>
            <w:r w:rsidRPr="001B25AB">
              <w:t>curities relating to temporary imports and/or end use are accurately completed and lodged in accordance with regulator requirements</w:t>
            </w:r>
          </w:p>
        </w:tc>
      </w:tr>
      <w:tr w:rsidTr="005D4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rPr>
                <w:rStyle w:val="SpecialBold"/>
              </w:rPr>
              <w:t>Determine eligibility for and calculate drawback claims, and advise on Tradex Scheme procedures</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4.1</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Sufficient import and</w:t>
            </w:r>
            <w:r w:rsidRPr="001B25AB">
              <w:t xml:space="preserve"> export information to prepare claim is collated</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4.2</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Eligibility of drawback claim is determined within prescribed timeframes and advice is provided accordingly</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4.3</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Drawback claim is prepared and calculated in accordance with a customs approved method</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4.4</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 xml:space="preserve">Situations suitable for Tradex Scheme registration are identified and advice is provided </w:t>
            </w:r>
          </w:p>
        </w:tc>
      </w:tr>
      <w:tr w:rsidTr="005D43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rPr>
                <w:rStyle w:val="SpecialBold"/>
              </w:rPr>
              <w:t>Assess goods against export requirements</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5.1</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Goods subject to export requirements are identified including entry for export, in accordance with the current Australian Customs Act as amended</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5.2</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Circumstances where export permission is required are identified and required permissions are sought</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5.3</w:t>
            </w: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Circumstances where export permission is not required are identified</w:t>
            </w:r>
          </w:p>
        </w:tc>
      </w:tr>
      <w:tr w:rsidTr="005D43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5.4</w:t>
            </w:r>
          </w:p>
        </w:tc>
        <w:tc>
          <w:tcPr>
            <w:tcW w:w="0" w:type="auto"/>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t>Relevant export entry is completed and lodged in accordance with legislative requirements</w:t>
            </w:r>
          </w:p>
        </w:tc>
      </w:tr>
    </w:tbl>
    <w:p w:rsidR="005D4343" w:rsidP="001B25AB">
      <w:pPr>
        <w:pStyle w:val="BodyText"/>
      </w:pPr>
    </w:p>
    <w:p w:rsidR="005D4343" w:rsidP="001B25AB">
      <w:pPr>
        <w:pStyle w:val="BodyText"/>
      </w:pPr>
    </w:p>
    <w:p w:rsidR="00000000" w:rsidRPr="001B25AB" w:rsidP="001B25AB">
      <w:pPr>
        <w:pStyle w:val="Heading1"/>
      </w:pPr>
      <w:bookmarkStart w:id="7" w:name="O_838640"/>
      <w:bookmarkEnd w:id="7"/>
      <w:r w:rsidRPr="001B25AB">
        <w:t>Foundation Skills</w:t>
      </w:r>
    </w:p>
    <w:p w:rsidR="005D4343" w:rsidP="005D4343">
      <w:pPr>
        <w:pStyle w:val="BodyText"/>
      </w:pPr>
      <w:r w:rsidRPr="001B25AB">
        <w:t>Foundation skills essential to performance are explicit in the performance criteria of this unit of competency.</w:t>
      </w:r>
    </w:p>
    <w:p w:rsidR="00000000" w:rsidRPr="001B25AB" w:rsidP="001B25AB">
      <w:pPr>
        <w:pStyle w:val="Heading1"/>
      </w:pPr>
      <w:bookmarkStart w:id="8" w:name="O_838641"/>
      <w:bookmarkEnd w:id="8"/>
      <w:r w:rsidRPr="001B25AB">
        <w:t>Range of Conditions</w:t>
      </w:r>
    </w:p>
    <w:p w:rsidR="00000000" w:rsidRPr="001B25AB" w:rsidP="005D4343">
      <w:pPr>
        <w:pStyle w:val="BodyText"/>
      </w:pPr>
      <w:r w:rsidRPr="001B25AB">
        <w:t>Range is restricted to essential operating conditions and any other variables essential to the work enviro</w:t>
      </w:r>
      <w:r w:rsidRPr="001B25AB">
        <w:t>nment.</w:t>
      </w:r>
    </w:p>
    <w:p w:rsidR="005D4343" w:rsidP="005D4343">
      <w:pPr>
        <w:pStyle w:val="BodyText"/>
      </w:pPr>
      <w:r w:rsidRPr="001B25AB">
        <w:t>Non</w:t>
      </w:r>
      <w:r w:rsidRPr="001B25AB">
        <w:noBreakHyphen/>
        <w:t>essential conditions can be found in the Companion Volume Implementation Guide.</w:t>
      </w:r>
    </w:p>
    <w:p w:rsidR="00000000" w:rsidRPr="001B25AB" w:rsidP="001B25AB">
      <w:pPr>
        <w:pStyle w:val="Heading1"/>
      </w:pPr>
      <w:bookmarkStart w:id="9" w:name="O_838642"/>
      <w:bookmarkEnd w:id="9"/>
      <w:r w:rsidRPr="001B25AB">
        <w:t>Unit Mapping Information</w:t>
      </w:r>
    </w:p>
    <w:p w:rsidR="005D4343" w:rsidP="005D4343">
      <w:pPr>
        <w:pStyle w:val="BodyText"/>
      </w:pPr>
      <w:r w:rsidRPr="001B25AB">
        <w:t>This unit replaces and is equivalent to TLIX5056A Carry out additional customs clearance practices.</w:t>
      </w:r>
    </w:p>
    <w:p w:rsidR="00000000" w:rsidRPr="001B25AB" w:rsidP="001B25AB">
      <w:pPr>
        <w:pStyle w:val="Heading1"/>
      </w:pPr>
      <w:bookmarkStart w:id="10" w:name="O_838649"/>
      <w:bookmarkEnd w:id="10"/>
      <w:r w:rsidRPr="001B25AB">
        <w:t>Links</w:t>
      </w:r>
    </w:p>
    <w:p w:rsidR="00000000" w:rsidRPr="001B25AB" w:rsidP="005D4343">
      <w:pPr>
        <w:pStyle w:val="BodyText"/>
      </w:pPr>
      <w:r w:rsidRPr="001B25A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9166A">
        <w:rPr>
          <w:rStyle w:val="Hyperlink"/>
        </w:rPr>
        <w:t>https://vetnet.gov.au/Pages/TrainingDocs.aspx?q=df441c6e-213d-43e3-874c-0b3f7036d851</w:t>
      </w:r>
      <w:r>
        <w:fldChar w:fldCharType="end"/>
      </w:r>
    </w:p>
    <w:p w:rsidR="00000000" w:rsidRPr="001B25AB" w:rsidP="005D4343">
      <w:pPr>
        <w:pStyle w:val="BodyText"/>
        <w:sectPr w:rsidSect="001B25AB">
          <w:headerReference w:type="default" r:id="rId10"/>
          <w:footerReference w:type="default" r:id="rId11"/>
          <w:pgSz w:w="11908" w:h="16833"/>
          <w:pgMar w:top="1702" w:right="1418" w:bottom="1702" w:left="1418" w:header="992" w:footer="992" w:gutter="0"/>
          <w:cols w:space="720"/>
          <w:noEndnote/>
          <w:docGrid w:linePitch="299"/>
        </w:sectPr>
      </w:pPr>
    </w:p>
    <w:p w:rsidR="00000000" w:rsidRPr="001B25AB" w:rsidP="001B25AB">
      <w:pPr>
        <w:pStyle w:val="SuperHeading"/>
      </w:pPr>
      <w:r w:rsidRPr="001B25AB">
        <w:t xml:space="preserve">Assessment </w:t>
      </w:r>
      <w:r w:rsidRPr="001B25AB">
        <w:t>Requirements for TLIX5056 Carry out additional customs clearance practices</w:t>
      </w:r>
    </w:p>
    <w:p w:rsidR="00000000" w:rsidRPr="001B25AB" w:rsidP="001B25AB">
      <w:pPr>
        <w:pStyle w:val="Heading1"/>
      </w:pPr>
      <w:bookmarkStart w:id="11" w:name="O_838644"/>
      <w:bookmarkEnd w:id="11"/>
      <w:r w:rsidRPr="001B25AB">
        <w:t>Modification History</w:t>
      </w:r>
    </w:p>
    <w:p w:rsidR="005D4343" w:rsidP="005D4343">
      <w:pPr>
        <w:pStyle w:val="BodyText"/>
      </w:pPr>
      <w:r w:rsidRPr="001B25AB">
        <w:t>Release 1. This is the first release of this unit of competency in the TLI Transport and Logistics Training Package.</w:t>
      </w:r>
    </w:p>
    <w:p w:rsidR="00000000" w:rsidRPr="001B25AB" w:rsidP="001B25AB">
      <w:pPr>
        <w:pStyle w:val="Heading1"/>
      </w:pPr>
      <w:bookmarkStart w:id="12" w:name="O_838645"/>
      <w:bookmarkEnd w:id="12"/>
      <w:r w:rsidRPr="001B25AB">
        <w:t>Performan</w:t>
      </w:r>
      <w:r w:rsidRPr="001B25AB">
        <w:t>ce Evidence</w:t>
      </w:r>
    </w:p>
    <w:tbl>
      <w:tblPr>
        <w:tblW w:w="0" w:type="auto"/>
        <w:tblCellMar>
          <w:left w:w="62" w:type="dxa"/>
          <w:right w:w="62" w:type="dxa"/>
        </w:tblCellMar>
        <w:tblLook w:val="0000"/>
      </w:tblPr>
      <w:tblGrid>
        <w:gridCol w:w="9196"/>
      </w:tblGrid>
      <w:tr w:rsidTr="005D434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Evidence required to demonstrate competence in this unit must be relevant to and satisfy all of the requirements of the elements and performance criteria on at least one occasion and include:</w:t>
            </w:r>
          </w:p>
        </w:tc>
      </w:tr>
      <w:tr w:rsidTr="005D434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B25AB" w:rsidP="001B25AB">
            <w:pPr>
              <w:pStyle w:val="ListBullet"/>
            </w:pPr>
            <w:r w:rsidRPr="001B25AB">
              <w:t>applying procedures for compliance with legislatio</w:t>
            </w:r>
            <w:r w:rsidRPr="001B25AB">
              <w:t>n</w:t>
            </w:r>
          </w:p>
          <w:p w:rsidR="00000000" w:rsidRPr="001B25AB" w:rsidP="001B25AB">
            <w:pPr>
              <w:pStyle w:val="ListBullet"/>
            </w:pPr>
            <w:r w:rsidRPr="001B25AB">
              <w:t>carrying out complex calculations</w:t>
            </w:r>
          </w:p>
          <w:p w:rsidR="00000000" w:rsidRPr="001B25AB" w:rsidP="001B25AB">
            <w:pPr>
              <w:pStyle w:val="ListBullet"/>
            </w:pPr>
            <w:r w:rsidRPr="001B25AB">
              <w:t>communicating effectively with a range of stakeholders</w:t>
            </w:r>
          </w:p>
          <w:p w:rsidR="00000000" w:rsidRPr="001B25AB" w:rsidP="001B25AB">
            <w:pPr>
              <w:pStyle w:val="ListBullet"/>
            </w:pPr>
            <w:r w:rsidRPr="001B25AB">
              <w:t>conducting calculations and making appropriate adjustments as part of routine activities in customs clearance operations</w:t>
            </w:r>
          </w:p>
          <w:p w:rsidR="00000000" w:rsidRPr="001B25AB" w:rsidP="001B25AB">
            <w:pPr>
              <w:pStyle w:val="ListBullet"/>
            </w:pPr>
            <w:r w:rsidRPr="001B25AB">
              <w:t>examining documents for accuracy and completeness</w:t>
            </w:r>
          </w:p>
          <w:p w:rsidR="00000000" w:rsidRPr="001B25AB" w:rsidP="001B25AB">
            <w:pPr>
              <w:pStyle w:val="ListBullet"/>
            </w:pPr>
            <w:r w:rsidRPr="001B25AB">
              <w:t>identifying non-compliance and responding accordingly</w:t>
            </w:r>
          </w:p>
          <w:p w:rsidR="00000000" w:rsidRPr="001B25AB" w:rsidP="001B25AB">
            <w:pPr>
              <w:pStyle w:val="ListBullet"/>
            </w:pPr>
            <w:r w:rsidRPr="001B25AB">
              <w:t>implementing timeframes</w:t>
            </w:r>
          </w:p>
          <w:p w:rsidR="00000000" w:rsidRPr="001B25AB" w:rsidP="001B25AB">
            <w:pPr>
              <w:pStyle w:val="ListBullet"/>
            </w:pPr>
            <w:r w:rsidRPr="001B25AB">
              <w:t>implementing dispute resolution procedures</w:t>
            </w:r>
          </w:p>
          <w:p w:rsidR="00000000" w:rsidRPr="001B25AB" w:rsidP="001B25AB">
            <w:pPr>
              <w:pStyle w:val="ListBullet"/>
            </w:pPr>
            <w:r w:rsidRPr="001B25AB">
              <w:t>managing quality customer service</w:t>
            </w:r>
          </w:p>
          <w:p w:rsidR="00000000" w:rsidRPr="001B25AB" w:rsidP="001B25AB">
            <w:pPr>
              <w:pStyle w:val="ListBullet"/>
            </w:pPr>
            <w:r w:rsidRPr="001B25AB">
              <w:t>providing accurate advice</w:t>
            </w:r>
          </w:p>
          <w:p w:rsidR="00000000" w:rsidRPr="001B25AB" w:rsidP="001B25AB">
            <w:pPr>
              <w:pStyle w:val="ListBullet"/>
            </w:pPr>
            <w:r w:rsidRPr="001B25AB">
              <w:t xml:space="preserve">reading and interpreting </w:t>
            </w:r>
            <w:r w:rsidRPr="001B25AB">
              <w:t>current customs regulations as amended</w:t>
            </w:r>
          </w:p>
          <w:p w:rsidR="00000000" w:rsidRPr="001B25AB" w:rsidP="001B25AB">
            <w:pPr>
              <w:pStyle w:val="ListBullet"/>
            </w:pPr>
            <w:r w:rsidRPr="001B25AB">
              <w:t>reading and interpreting the current Australian Customs Act as amended</w:t>
            </w:r>
          </w:p>
          <w:p w:rsidR="00000000" w:rsidRPr="001B25AB" w:rsidP="001B25AB">
            <w:pPr>
              <w:pStyle w:val="ListBullet"/>
            </w:pPr>
            <w:r w:rsidRPr="001B25AB">
              <w:t>sourcing information on developments in customs clearance practices</w:t>
            </w:r>
          </w:p>
          <w:p w:rsidR="00000000" w:rsidRPr="001B25AB" w:rsidP="001B25AB">
            <w:pPr>
              <w:pStyle w:val="ListBullet"/>
            </w:pPr>
            <w:r w:rsidRPr="001B25AB">
              <w:t>using software application systems.</w:t>
            </w:r>
          </w:p>
        </w:tc>
      </w:tr>
    </w:tbl>
    <w:p w:rsidR="00000000" w:rsidRPr="001B25AB" w:rsidP="001B25AB">
      <w:pPr>
        <w:pStyle w:val="BodyText"/>
      </w:pPr>
    </w:p>
    <w:p w:rsidR="00000000" w:rsidRPr="001B25AB" w:rsidP="001B25AB">
      <w:pPr>
        <w:pStyle w:val="AllowPageBreak"/>
      </w:pPr>
    </w:p>
    <w:p w:rsidR="00000000" w:rsidRPr="001B25AB" w:rsidP="001B25AB">
      <w:pPr>
        <w:pStyle w:val="Heading1"/>
      </w:pPr>
      <w:bookmarkStart w:id="13" w:name="O_838646"/>
      <w:bookmarkEnd w:id="13"/>
      <w:r w:rsidRPr="001B25AB">
        <w:t>Knowledge Evidence</w:t>
      </w:r>
    </w:p>
    <w:tbl>
      <w:tblPr>
        <w:tblW w:w="0" w:type="auto"/>
        <w:tblCellMar>
          <w:left w:w="62" w:type="dxa"/>
          <w:right w:w="62" w:type="dxa"/>
        </w:tblCellMar>
        <w:tblLook w:val="0000"/>
      </w:tblPr>
      <w:tblGrid>
        <w:gridCol w:w="9196"/>
      </w:tblGrid>
      <w:tr w:rsidTr="005D434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B25AB">
            <w:pPr>
              <w:pStyle w:val="BodyText"/>
              <w:rPr>
                <w:lang w:val="en-NZ"/>
              </w:rPr>
            </w:pPr>
            <w:r w:rsidRPr="001B25AB">
              <w:t>Evidence required to demonstrate competence in this unit must be relevant to and satisfy all of the requirements of the elements and performance criteria and include knowledge of:</w:t>
            </w:r>
          </w:p>
        </w:tc>
      </w:tr>
      <w:tr w:rsidTr="005D4343">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1B25AB" w:rsidP="001B25AB">
            <w:pPr>
              <w:pStyle w:val="ListBullet"/>
            </w:pPr>
            <w:r w:rsidRPr="001B25AB">
              <w:t>current Acts, regulations and amendments as they relate to refunds, remiss</w:t>
            </w:r>
            <w:r w:rsidRPr="001B25AB">
              <w:t>ions and drawbacks</w:t>
            </w:r>
          </w:p>
          <w:p w:rsidR="00000000" w:rsidRPr="001B25AB" w:rsidP="001B25AB">
            <w:pPr>
              <w:pStyle w:val="ListBullet"/>
            </w:pPr>
            <w:r w:rsidRPr="001B25AB">
              <w:t>drawbacks and Tradex Scheme</w:t>
            </w:r>
          </w:p>
          <w:p w:rsidR="00000000" w:rsidRPr="001B25AB" w:rsidP="001B25AB">
            <w:pPr>
              <w:pStyle w:val="ListBullet"/>
            </w:pPr>
            <w:r w:rsidRPr="001B25AB">
              <w:t>exports</w:t>
            </w:r>
          </w:p>
          <w:p w:rsidR="00000000" w:rsidRPr="001B25AB" w:rsidP="001B25AB">
            <w:pPr>
              <w:pStyle w:val="ListBullet"/>
            </w:pPr>
            <w:r w:rsidRPr="001B25AB">
              <w:t>landed costs</w:t>
            </w:r>
          </w:p>
          <w:p w:rsidR="00000000" w:rsidRPr="001B25AB" w:rsidP="001B25AB">
            <w:pPr>
              <w:pStyle w:val="ListBullet"/>
            </w:pPr>
            <w:r w:rsidRPr="001B25AB">
              <w:t>refunds and post warrant amendments</w:t>
            </w:r>
          </w:p>
          <w:p w:rsidR="00000000" w:rsidRPr="001B25AB" w:rsidP="001B25AB">
            <w:pPr>
              <w:pStyle w:val="ListBullet"/>
            </w:pPr>
            <w:r w:rsidRPr="001B25AB">
              <w:t>refunds, rebates and remissions of duty</w:t>
            </w:r>
          </w:p>
          <w:p w:rsidR="00000000" w:rsidRPr="001B25AB" w:rsidP="001B25AB">
            <w:pPr>
              <w:pStyle w:val="ListBullet"/>
            </w:pPr>
            <w:r w:rsidRPr="001B25AB">
              <w:t>securities and temporary imports</w:t>
            </w:r>
          </w:p>
          <w:p w:rsidR="00000000" w:rsidRPr="001B25AB" w:rsidP="001B25AB">
            <w:pPr>
              <w:pStyle w:val="ListBullet"/>
            </w:pPr>
            <w:r w:rsidRPr="001B25AB">
              <w:t>various forms and functions of securities and temporary importations.</w:t>
            </w:r>
          </w:p>
        </w:tc>
      </w:tr>
    </w:tbl>
    <w:p w:rsidR="005D4343" w:rsidP="001B25AB">
      <w:pPr>
        <w:pStyle w:val="BodyText"/>
      </w:pPr>
    </w:p>
    <w:p w:rsidR="005D4343" w:rsidP="001B25AB">
      <w:pPr>
        <w:pStyle w:val="BodyText"/>
      </w:pPr>
    </w:p>
    <w:p w:rsidR="00000000" w:rsidRPr="001B25AB" w:rsidP="001B25AB">
      <w:pPr>
        <w:pStyle w:val="Heading1"/>
      </w:pPr>
      <w:bookmarkStart w:id="14" w:name="O_838647"/>
      <w:bookmarkEnd w:id="14"/>
      <w:r w:rsidRPr="001B25AB">
        <w:t>Assessment Conditions</w:t>
      </w:r>
    </w:p>
    <w:tbl>
      <w:tblPr>
        <w:tblW w:w="0" w:type="auto"/>
        <w:tblCellMar>
          <w:left w:w="62" w:type="dxa"/>
          <w:right w:w="62" w:type="dxa"/>
        </w:tblCellMar>
        <w:tblLook w:val="0000"/>
      </w:tblPr>
      <w:tblGrid>
        <w:gridCol w:w="9196"/>
      </w:tblGrid>
      <w:tr w:rsidTr="005D43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25AB" w:rsidP="001B25AB">
            <w:pPr>
              <w:pStyle w:val="BodyText"/>
            </w:pPr>
            <w:r w:rsidRPr="001B25AB">
              <w:t xml:space="preserve">As a minimum, assessors must satisfy applicable regulatory requirements, which include requirements in the </w:t>
            </w:r>
            <w:r w:rsidRPr="001B25AB">
              <w:rPr>
                <w:rStyle w:val="Emphasis"/>
              </w:rPr>
              <w:t>Standards for Registered Training Organisations</w:t>
            </w:r>
            <w:r w:rsidRPr="001B25AB">
              <w:t xml:space="preserve"> current at the time of assessment. </w:t>
            </w:r>
          </w:p>
          <w:p w:rsidR="00000000" w:rsidRPr="001B25AB" w:rsidP="001B25AB">
            <w:pPr>
              <w:pStyle w:val="BodyText"/>
            </w:pPr>
            <w:r w:rsidRPr="001B25AB">
              <w:t>As a minimum, assessment mu</w:t>
            </w:r>
            <w:r w:rsidRPr="001B25AB">
              <w:t xml:space="preserve">st satisfy applicable regulatory requirements, which include requirements in the </w:t>
            </w:r>
            <w:r w:rsidRPr="001B25AB">
              <w:rPr>
                <w:rStyle w:val="Emphasis"/>
              </w:rPr>
              <w:t>Standards for Registered Training Organisations</w:t>
            </w:r>
            <w:r w:rsidRPr="001B25AB">
              <w:t xml:space="preserve"> current at the time of assessment.</w:t>
            </w:r>
          </w:p>
          <w:p w:rsidR="00000000" w:rsidRPr="001B25AB" w:rsidP="001B25AB">
            <w:pPr>
              <w:pStyle w:val="BodyText"/>
            </w:pPr>
            <w:r w:rsidRPr="001B25AB">
              <w:t xml:space="preserve">Assessment must occur in workplace operational situations where it is appropriate to do so. </w:t>
            </w:r>
            <w:r w:rsidRPr="001B25AB">
              <w:t xml:space="preserve">Where this is not appropriate, assessment must occur in simulated workplace operational situations that replicate workplace conditions. </w:t>
            </w:r>
          </w:p>
          <w:p w:rsidR="00000000" w:rsidRPr="001B25AB" w:rsidP="001B25AB">
            <w:pPr>
              <w:pStyle w:val="BodyText"/>
            </w:pPr>
            <w:r w:rsidRPr="001B25AB">
              <w:t>Assessment processes and techniques must be appropriate to the language, literacy and numeracy requirements of the work</w:t>
            </w:r>
            <w:r w:rsidRPr="001B25AB">
              <w:t xml:space="preserve"> being performed and the needs of the candidate.</w:t>
            </w:r>
          </w:p>
          <w:p w:rsidR="00000000" w:rsidRPr="001B25AB" w:rsidP="001B25AB">
            <w:pPr>
              <w:pStyle w:val="BodyText"/>
            </w:pPr>
            <w:r w:rsidRPr="001B25AB">
              <w:t>Resources for assessment include:</w:t>
            </w:r>
          </w:p>
          <w:p w:rsidR="00000000" w:rsidRPr="001B25AB" w:rsidP="001B25AB">
            <w:pPr>
              <w:pStyle w:val="ListBullet"/>
            </w:pPr>
            <w:r w:rsidRPr="001B25AB">
              <w:t>a range of relevant exercises, case studies and/or simulations</w:t>
            </w:r>
          </w:p>
          <w:p w:rsidR="00000000" w:rsidRPr="001B25AB" w:rsidP="001B25AB">
            <w:pPr>
              <w:pStyle w:val="ListBullet"/>
            </w:pPr>
            <w:r w:rsidRPr="001B25AB">
              <w:t>applicable documentation including workplace procedures, regulations, codes of practice and operation manuals</w:t>
            </w:r>
            <w:r w:rsidRPr="001B25AB">
              <w:t xml:space="preserve"> </w:t>
            </w:r>
          </w:p>
          <w:p w:rsidR="00000000" w:rsidRPr="001B25AB" w:rsidP="001B25AB">
            <w:pPr>
              <w:pStyle w:val="ListBullet"/>
            </w:pPr>
            <w:r w:rsidRPr="001B25AB">
              <w:t>relevant materials, tools, equipment and personal protective equipment currently used in industry.</w:t>
            </w:r>
          </w:p>
        </w:tc>
      </w:tr>
    </w:tbl>
    <w:p w:rsidR="005D4343" w:rsidP="001B25AB">
      <w:pPr>
        <w:pStyle w:val="BodyText"/>
      </w:pPr>
    </w:p>
    <w:p w:rsidR="005D4343" w:rsidP="001B25AB">
      <w:pPr>
        <w:pStyle w:val="BodyText"/>
      </w:pPr>
    </w:p>
    <w:p w:rsidR="00000000" w:rsidRPr="001B25AB" w:rsidP="001B25AB">
      <w:pPr>
        <w:pStyle w:val="Heading1"/>
      </w:pPr>
      <w:bookmarkStart w:id="15" w:name="O_838650"/>
      <w:bookmarkEnd w:id="15"/>
      <w:r w:rsidRPr="001B25AB">
        <w:t>Links</w:t>
      </w:r>
    </w:p>
    <w:p w:rsidR="00000000" w:rsidRPr="001B25AB" w:rsidP="005D4343">
      <w:pPr>
        <w:pStyle w:val="BodyText"/>
      </w:pPr>
      <w:r w:rsidRPr="001B25AB">
        <w:t>Companion Volume implementation guides ar</w:t>
      </w:r>
      <w:r w:rsidRPr="001B25AB">
        <w:t xml:space="preserve">e found in VETNet - </w:t>
      </w:r>
      <w:r>
        <w:fldChar w:fldCharType="begin"/>
      </w:r>
      <w:r>
        <w:instrText xml:space="preserve"> HYPERLINK "https://vetnet.gov.au/Pages/TrainingDocs.aspx?q=df441c6e-213d-43e3-874c-0b3f7036d851" </w:instrText>
      </w:r>
      <w:r>
        <w:fldChar w:fldCharType="separate"/>
      </w:r>
      <w:r w:rsidRPr="0089166A">
        <w:rPr>
          <w:rStyle w:val="Hyperlink"/>
        </w:rPr>
        <w:t>https://vetnet.gov.au/Pages/TrainingDocs.aspx?q=df441c6e-213d-43e3-874c-0b3f7036d851</w:t>
      </w:r>
      <w:r>
        <w:fldChar w:fldCharType="end"/>
      </w:r>
    </w:p>
    <w:p w:rsidR="00000000" w:rsidRPr="001B25AB" w:rsidP="001B25AB"/>
    <w:sectPr w:rsidSect="001B25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AB" w:rsidRPr="005D4343" w:rsidP="005D4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43" w:rsidP="001B2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343" w:rsidP="001B25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D4343" w:rsidP="001B25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AB" w:rsidP="001B25AB">
    <w:pPr>
      <w:pStyle w:val="Footer"/>
      <w:framePr w:wrap="around"/>
    </w:pPr>
    <w:r>
      <w:fldChar w:fldCharType="begin"/>
    </w:r>
    <w:r>
      <w:instrText xml:space="preserve"> DOCPROPERTY  Subject  \* MERGEFORMAT </w:instrText>
    </w:r>
    <w:r>
      <w:fldChar w:fldCharType="separate"/>
    </w:r>
    <w:r w:rsidR="005D4343">
      <w:t>Approved</w:t>
    </w:r>
    <w:r w:rsidR="005D4343">
      <w:fldChar w:fldCharType="end"/>
    </w:r>
    <w:r>
      <w:tab/>
      <w:t xml:space="preserve">Page </w:t>
    </w:r>
    <w:r>
      <w:fldChar w:fldCharType="begin"/>
    </w:r>
    <w:r>
      <w:instrText xml:space="preserve"> PAGE  \* Arabic  \* MERGEFORMAT </w:instrText>
    </w:r>
    <w:r>
      <w:fldChar w:fldCharType="separate"/>
    </w:r>
    <w:r w:rsidR="005D43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4343">
      <w:rPr>
        <w:noProof/>
      </w:rPr>
      <w:t>4</w:t>
    </w:r>
    <w:r>
      <w:rPr>
        <w:noProof/>
      </w:rPr>
      <w:fldChar w:fldCharType="end"/>
    </w:r>
  </w:p>
  <w:p w:rsidR="001B25AB" w:rsidP="001B25AB">
    <w:pPr>
      <w:pStyle w:val="Footer"/>
      <w:framePr w:wrap="around"/>
    </w:pPr>
    <w:r>
      <w:t xml:space="preserve">© Commonwealth of Australia, </w:t>
    </w:r>
    <w:r>
      <w:fldChar w:fldCharType="begin"/>
    </w:r>
    <w:r>
      <w:instrText xml:space="preserve"> DATE  \@ "yyyy"  \* MERGEFORMAT </w:instrText>
    </w:r>
    <w:r>
      <w:fldChar w:fldCharType="separate"/>
    </w:r>
    <w:r w:rsidR="005D4343">
      <w:rPr>
        <w:noProof/>
      </w:rPr>
      <w:t>2025</w:t>
    </w:r>
    <w:r>
      <w:fldChar w:fldCharType="end"/>
    </w:r>
    <w:r>
      <w:tab/>
    </w:r>
    <w:r>
      <w:fldChar w:fldCharType="begin"/>
    </w:r>
    <w:r>
      <w:instrText xml:space="preserve"> DOCPROPERTY  Author  \* MERGEFORMAT </w:instrText>
    </w:r>
    <w:r>
      <w:fldChar w:fldCharType="separate"/>
    </w:r>
    <w:r w:rsidR="005D4343">
      <w:t>Industry Skills Australia</w:t>
    </w:r>
    <w:r w:rsidR="005D4343">
      <w:fldChar w:fldCharType="end"/>
    </w:r>
  </w:p>
  <w:p w:rsidR="001B25AB" w:rsidP="001B2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5AB" w:rsidRPr="005D4343" w:rsidP="005D4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43" w:rsidRPr="002D2AF8" w:rsidP="001B25AB">
    <w:pPr>
      <w:pStyle w:val="Header"/>
      <w:framePr w:wrap="around"/>
    </w:pPr>
    <w:r>
      <w:fldChar w:fldCharType="begin"/>
    </w:r>
    <w:r>
      <w:instrText xml:space="preserve"> TITLE   \* MERGEFORMAT </w:instrText>
    </w:r>
    <w:r>
      <w:fldChar w:fldCharType="separate"/>
    </w:r>
    <w:r>
      <w:t>TLIX5056 Carry out additional customs clearance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4343" w:rsidP="001B25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AB" w:rsidRPr="002D2AF8" w:rsidP="001B25AB">
    <w:pPr>
      <w:pStyle w:val="Header"/>
      <w:framePr w:wrap="around"/>
    </w:pPr>
    <w:r>
      <w:fldChar w:fldCharType="begin"/>
    </w:r>
    <w:r>
      <w:instrText xml:space="preserve"> TITLE   \* MERGEFORMAT </w:instrText>
    </w:r>
    <w:r>
      <w:fldChar w:fldCharType="separate"/>
    </w:r>
    <w:r w:rsidR="005D4343">
      <w:t>TLIX5056 Carry out additional customs clearance practices</w:t>
    </w:r>
    <w:r w:rsidR="005D4343">
      <w:fldChar w:fldCharType="end"/>
    </w:r>
    <w:r>
      <w:tab/>
      <w:t xml:space="preserve">Date this document was generated: </w:t>
    </w:r>
    <w:r>
      <w:fldChar w:fldCharType="begin"/>
    </w:r>
    <w:r>
      <w:instrText xml:space="preserve"> CREATEDATE  \@ "d MMMM yyyy"  \* MERGEFORMAT </w:instrText>
    </w:r>
    <w:r>
      <w:fldChar w:fldCharType="separate"/>
    </w:r>
    <w:r w:rsidR="005D4343">
      <w:rPr>
        <w:noProof/>
      </w:rPr>
      <w:t>1 March 2025</w:t>
    </w:r>
    <w:r>
      <w:fldChar w:fldCharType="end"/>
    </w:r>
  </w:p>
  <w:p w:rsidR="001B25AB" w:rsidP="001B2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121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4E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5AB"/>
    <w:pPr>
      <w:spacing w:before="360" w:after="60"/>
      <w:outlineLvl w:val="0"/>
    </w:pPr>
    <w:rPr>
      <w:sz w:val="32"/>
    </w:rPr>
  </w:style>
  <w:style w:type="paragraph" w:styleId="Heading2">
    <w:name w:val="heading 2"/>
    <w:basedOn w:val="HeadingBase"/>
    <w:next w:val="BodyText"/>
    <w:link w:val="Heading2Char"/>
    <w:qFormat/>
    <w:rsid w:val="001B25AB"/>
    <w:pPr>
      <w:keepLines/>
      <w:spacing w:before="240" w:after="120"/>
      <w:outlineLvl w:val="1"/>
    </w:pPr>
    <w:rPr>
      <w:sz w:val="28"/>
      <w:szCs w:val="40"/>
    </w:rPr>
  </w:style>
  <w:style w:type="paragraph" w:styleId="Heading3">
    <w:name w:val="heading 3"/>
    <w:basedOn w:val="HeadingBase"/>
    <w:next w:val="BodyText"/>
    <w:link w:val="Heading3Char"/>
    <w:qFormat/>
    <w:rsid w:val="001B25AB"/>
    <w:pPr>
      <w:spacing w:before="180" w:after="120"/>
      <w:outlineLvl w:val="2"/>
    </w:pPr>
    <w:rPr>
      <w:spacing w:val="-10"/>
      <w:kern w:val="32"/>
    </w:rPr>
  </w:style>
  <w:style w:type="paragraph" w:styleId="Heading4">
    <w:name w:val="heading 4"/>
    <w:basedOn w:val="HeadingBase"/>
    <w:next w:val="BodyText"/>
    <w:link w:val="Heading4Char"/>
    <w:qFormat/>
    <w:rsid w:val="001B25AB"/>
    <w:pPr>
      <w:spacing w:before="160" w:after="120"/>
      <w:outlineLvl w:val="3"/>
    </w:pPr>
    <w:rPr>
      <w:sz w:val="22"/>
    </w:rPr>
  </w:style>
  <w:style w:type="paragraph" w:styleId="Heading5">
    <w:name w:val="heading 5"/>
    <w:basedOn w:val="HeadingBase"/>
    <w:next w:val="Normal"/>
    <w:link w:val="Heading5Char"/>
    <w:qFormat/>
    <w:rsid w:val="001B25AB"/>
    <w:pPr>
      <w:spacing w:before="80"/>
      <w:outlineLvl w:val="4"/>
    </w:pPr>
    <w:rPr>
      <w:color w:val="918585"/>
      <w:sz w:val="20"/>
    </w:rPr>
  </w:style>
  <w:style w:type="paragraph" w:styleId="Heading6">
    <w:name w:val="heading 6"/>
    <w:basedOn w:val="HeadingBase"/>
    <w:next w:val="Normal"/>
    <w:link w:val="Heading6Char"/>
    <w:qFormat/>
    <w:rsid w:val="001B25AB"/>
    <w:pPr>
      <w:spacing w:before="60"/>
      <w:outlineLvl w:val="5"/>
    </w:pPr>
    <w:rPr>
      <w:color w:val="918585"/>
      <w:sz w:val="20"/>
    </w:rPr>
  </w:style>
  <w:style w:type="paragraph" w:styleId="Heading7">
    <w:name w:val="heading 7"/>
    <w:basedOn w:val="Normal"/>
    <w:next w:val="Normal"/>
    <w:link w:val="Heading7Char"/>
    <w:qFormat/>
    <w:rsid w:val="001B25AB"/>
    <w:pPr>
      <w:ind w:left="720"/>
      <w:outlineLvl w:val="6"/>
    </w:pPr>
    <w:rPr>
      <w:i/>
    </w:rPr>
  </w:style>
  <w:style w:type="paragraph" w:styleId="Heading8">
    <w:name w:val="heading 8"/>
    <w:basedOn w:val="Normal"/>
    <w:next w:val="Normal"/>
    <w:link w:val="Heading8Char"/>
    <w:qFormat/>
    <w:rsid w:val="001B25AB"/>
    <w:pPr>
      <w:ind w:left="720"/>
      <w:outlineLvl w:val="7"/>
    </w:pPr>
    <w:rPr>
      <w:i/>
    </w:rPr>
  </w:style>
  <w:style w:type="paragraph" w:styleId="Heading9">
    <w:name w:val="heading 9"/>
    <w:basedOn w:val="Normal"/>
    <w:next w:val="Normal"/>
    <w:link w:val="Heading9Char"/>
    <w:qFormat/>
    <w:rsid w:val="001B25AB"/>
    <w:pPr>
      <w:ind w:left="720"/>
      <w:outlineLvl w:val="8"/>
    </w:pPr>
    <w:rPr>
      <w:i/>
    </w:rPr>
  </w:style>
  <w:style w:type="character" w:default="1" w:styleId="DefaultParagraphFont">
    <w:name w:val="Default Paragraph Font"/>
    <w:uiPriority w:val="1"/>
    <w:unhideWhenUsed/>
    <w:rsid w:val="001B2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5AB"/>
  </w:style>
  <w:style w:type="character" w:customStyle="1" w:styleId="Heading1Char">
    <w:name w:val="Heading 1 Char"/>
    <w:basedOn w:val="DefaultParagraphFont"/>
    <w:link w:val="Heading1"/>
    <w:rsid w:val="001B25AB"/>
    <w:rPr>
      <w:rFonts w:ascii="Times New Roman" w:eastAsia="Times New Roman" w:hAnsi="Times New Roman" w:cs="Times New Roman"/>
      <w:b/>
      <w:sz w:val="32"/>
      <w:szCs w:val="20"/>
      <w:lang w:eastAsia="en-US"/>
    </w:rPr>
  </w:style>
  <w:style w:type="paragraph" w:styleId="BodyText">
    <w:name w:val="Body Text"/>
    <w:basedOn w:val="Normal"/>
    <w:link w:val="BodyTextChar"/>
    <w:rsid w:val="001B2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5AB"/>
    <w:rPr>
      <w:rFonts w:ascii="Times New Roman" w:eastAsia="Times New Roman" w:hAnsi="Times New Roman" w:cs="Times New Roman"/>
      <w:sz w:val="24"/>
      <w:lang w:eastAsia="en-US"/>
    </w:rPr>
  </w:style>
  <w:style w:type="paragraph" w:styleId="ListBullet">
    <w:name w:val="List Bullet"/>
    <w:basedOn w:val="List"/>
    <w:rsid w:val="001B25AB"/>
    <w:pPr>
      <w:numPr>
        <w:numId w:val="11"/>
      </w:numPr>
      <w:tabs>
        <w:tab w:val="clear" w:pos="340"/>
      </w:tabs>
      <w:spacing w:before="40" w:after="40"/>
    </w:pPr>
  </w:style>
  <w:style w:type="character" w:customStyle="1" w:styleId="SpecialBold">
    <w:name w:val="Special Bold"/>
    <w:basedOn w:val="DefaultParagraphFont"/>
    <w:rsid w:val="001B25AB"/>
    <w:rPr>
      <w:b/>
      <w:spacing w:val="0"/>
    </w:rPr>
  </w:style>
  <w:style w:type="character" w:styleId="Emphasis">
    <w:name w:val="Emphasis"/>
    <w:basedOn w:val="DefaultParagraphFont"/>
    <w:qFormat/>
    <w:rsid w:val="001B25AB"/>
    <w:rPr>
      <w:i/>
    </w:rPr>
  </w:style>
  <w:style w:type="paragraph" w:customStyle="1" w:styleId="SuperHeading">
    <w:name w:val="SuperHeading"/>
    <w:basedOn w:val="Normal"/>
    <w:rsid w:val="001B25AB"/>
    <w:pPr>
      <w:spacing w:before="240" w:after="120"/>
      <w:outlineLvl w:val="0"/>
    </w:pPr>
    <w:rPr>
      <w:rFonts w:ascii="Times New Roman" w:hAnsi="Times New Roman"/>
      <w:b/>
      <w:sz w:val="32"/>
    </w:rPr>
  </w:style>
  <w:style w:type="paragraph" w:customStyle="1" w:styleId="AllowPageBreak">
    <w:name w:val="AllowPageBreak"/>
    <w:rsid w:val="001B2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5AB"/>
    <w:rPr>
      <w:rFonts w:ascii="Courier New" w:eastAsia="Times New Roman" w:hAnsi="Courier New" w:cs="Times New Roman"/>
      <w:i/>
      <w:szCs w:val="20"/>
      <w:lang w:eastAsia="en-US"/>
    </w:rPr>
  </w:style>
  <w:style w:type="paragraph" w:customStyle="1" w:styleId="HeadingBase">
    <w:name w:val="Heading Base"/>
    <w:rsid w:val="001B2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5AB"/>
    <w:pPr>
      <w:tabs>
        <w:tab w:val="right" w:leader="dot" w:pos="9072"/>
      </w:tabs>
      <w:ind w:left="567"/>
    </w:pPr>
    <w:rPr>
      <w:szCs w:val="22"/>
    </w:rPr>
  </w:style>
  <w:style w:type="paragraph" w:customStyle="1" w:styleId="TOCBase">
    <w:name w:val="TOC Base"/>
    <w:rsid w:val="001B2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5AB"/>
    <w:pPr>
      <w:tabs>
        <w:tab w:val="right" w:leader="dot" w:pos="9072"/>
      </w:tabs>
      <w:spacing w:before="40" w:after="40"/>
      <w:ind w:left="284"/>
    </w:pPr>
    <w:rPr>
      <w:rFonts w:ascii="Times New Roman" w:hAnsi="Times New Roman"/>
    </w:rPr>
  </w:style>
  <w:style w:type="paragraph" w:styleId="TOC1">
    <w:name w:val="toc 1"/>
    <w:basedOn w:val="TOCBase"/>
    <w:next w:val="Normal"/>
    <w:rsid w:val="001B2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5AB"/>
    <w:rPr>
      <w:rFonts w:ascii="Times New Roman" w:eastAsia="Times New Roman" w:hAnsi="Times New Roman" w:cs="Times New Roman"/>
      <w:sz w:val="16"/>
      <w:lang w:eastAsia="en-US"/>
    </w:rPr>
  </w:style>
  <w:style w:type="paragraph" w:styleId="Title">
    <w:name w:val="Title"/>
    <w:basedOn w:val="HeadingBase"/>
    <w:link w:val="TitleChar"/>
    <w:qFormat/>
    <w:rsid w:val="001B25AB"/>
    <w:pPr>
      <w:spacing w:before="5040"/>
      <w:jc w:val="center"/>
    </w:pPr>
    <w:rPr>
      <w:sz w:val="48"/>
      <w:szCs w:val="72"/>
      <w:lang w:val="en-US"/>
    </w:rPr>
  </w:style>
  <w:style w:type="character" w:customStyle="1" w:styleId="TitleChar">
    <w:name w:val="Title Char"/>
    <w:basedOn w:val="DefaultParagraphFont"/>
    <w:link w:val="Title"/>
    <w:rsid w:val="001B2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5AB"/>
    <w:pPr>
      <w:tabs>
        <w:tab w:val="left" w:pos="3600"/>
        <w:tab w:val="left" w:pos="3958"/>
      </w:tabs>
    </w:pPr>
  </w:style>
  <w:style w:type="paragraph" w:styleId="List">
    <w:name w:val="List"/>
    <w:basedOn w:val="BodyText"/>
    <w:next w:val="BodyText"/>
    <w:rsid w:val="001B25AB"/>
    <w:pPr>
      <w:tabs>
        <w:tab w:val="left" w:pos="340"/>
      </w:tabs>
      <w:spacing w:before="60" w:after="60"/>
      <w:ind w:left="340" w:hanging="340"/>
    </w:pPr>
  </w:style>
  <w:style w:type="paragraph" w:customStyle="1" w:styleId="Note">
    <w:name w:val="Note"/>
    <w:basedOn w:val="BodyText"/>
    <w:rsid w:val="001B2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5AB"/>
    <w:pPr>
      <w:framePr w:wrap="auto" w:hAnchor="text" w:y="6049"/>
    </w:pPr>
    <w:rPr>
      <w:color w:val="000000"/>
      <w:sz w:val="40"/>
    </w:rPr>
  </w:style>
  <w:style w:type="paragraph" w:customStyle="1" w:styleId="TOCTitle">
    <w:name w:val="TOCTitle"/>
    <w:basedOn w:val="Heading1"/>
    <w:rsid w:val="001B25AB"/>
    <w:pPr>
      <w:spacing w:after="240"/>
      <w:jc w:val="center"/>
      <w:outlineLvl w:val="9"/>
    </w:pPr>
    <w:rPr>
      <w:caps/>
    </w:rPr>
  </w:style>
  <w:style w:type="paragraph" w:customStyle="1" w:styleId="Version">
    <w:name w:val="Version"/>
    <w:rsid w:val="001B25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25AB"/>
    <w:pPr>
      <w:numPr>
        <w:numId w:val="12"/>
      </w:numPr>
      <w:tabs>
        <w:tab w:val="clear" w:pos="680"/>
      </w:tabs>
    </w:pPr>
  </w:style>
  <w:style w:type="paragraph" w:styleId="Index1">
    <w:name w:val="index 1"/>
    <w:basedOn w:val="Normal"/>
    <w:next w:val="Normal"/>
    <w:semiHidden/>
    <w:rsid w:val="001B25AB"/>
    <w:pPr>
      <w:keepNext w:val="0"/>
      <w:tabs>
        <w:tab w:val="right" w:pos="4176"/>
      </w:tabs>
      <w:ind w:left="198" w:hanging="198"/>
    </w:pPr>
    <w:rPr>
      <w:rFonts w:ascii="Garamond" w:hAnsi="Garamond"/>
    </w:rPr>
  </w:style>
  <w:style w:type="paragraph" w:styleId="IndexHeading">
    <w:name w:val="index heading"/>
    <w:basedOn w:val="Normal"/>
    <w:next w:val="Index1"/>
    <w:semiHidden/>
    <w:rsid w:val="001B25AB"/>
    <w:pPr>
      <w:spacing w:before="120" w:after="120"/>
    </w:pPr>
    <w:rPr>
      <w:rFonts w:ascii="Arial" w:hAnsi="Arial"/>
      <w:b/>
      <w:color w:val="918585"/>
      <w:sz w:val="24"/>
    </w:rPr>
  </w:style>
  <w:style w:type="paragraph" w:styleId="Header">
    <w:name w:val="header"/>
    <w:basedOn w:val="Normal"/>
    <w:link w:val="HeaderChar"/>
    <w:rsid w:val="001B2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5AB"/>
    <w:rPr>
      <w:rFonts w:ascii="Times New Roman" w:eastAsia="Times New Roman" w:hAnsi="Times New Roman" w:cs="Times New Roman"/>
      <w:sz w:val="16"/>
      <w:szCs w:val="20"/>
      <w:lang w:val="en-GB" w:eastAsia="en-US"/>
    </w:rPr>
  </w:style>
  <w:style w:type="paragraph" w:customStyle="1" w:styleId="Chapter">
    <w:name w:val="Chapter"/>
    <w:basedOn w:val="Normal"/>
    <w:rsid w:val="001B25AB"/>
    <w:pPr>
      <w:spacing w:before="240"/>
    </w:pPr>
    <w:rPr>
      <w:rFonts w:ascii="Times New Roman" w:hAnsi="Times New Roman"/>
      <w:smallCaps/>
      <w:spacing w:val="80"/>
      <w:sz w:val="28"/>
    </w:rPr>
  </w:style>
  <w:style w:type="paragraph" w:customStyle="1" w:styleId="InChapter">
    <w:name w:val="InChapter"/>
    <w:basedOn w:val="Heading3"/>
    <w:rsid w:val="001B25AB"/>
    <w:pPr>
      <w:spacing w:after="240"/>
      <w:outlineLvl w:val="9"/>
    </w:pPr>
    <w:rPr>
      <w:noProof/>
    </w:rPr>
  </w:style>
  <w:style w:type="paragraph" w:styleId="Index2">
    <w:name w:val="index 2"/>
    <w:basedOn w:val="Normal"/>
    <w:next w:val="Normal"/>
    <w:semiHidden/>
    <w:rsid w:val="001B25AB"/>
    <w:pPr>
      <w:tabs>
        <w:tab w:val="right" w:pos="4176"/>
      </w:tabs>
      <w:ind w:left="568" w:hanging="284"/>
    </w:pPr>
    <w:rPr>
      <w:rFonts w:ascii="Garamond" w:hAnsi="Garamond"/>
    </w:rPr>
  </w:style>
  <w:style w:type="paragraph" w:customStyle="1" w:styleId="Byline">
    <w:name w:val="Byline"/>
    <w:rsid w:val="001B2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5AB"/>
    <w:pPr>
      <w:tabs>
        <w:tab w:val="clear" w:pos="3600"/>
        <w:tab w:val="clear" w:pos="3958"/>
      </w:tabs>
      <w:jc w:val="right"/>
    </w:pPr>
  </w:style>
  <w:style w:type="paragraph" w:styleId="Caption">
    <w:name w:val="caption"/>
    <w:basedOn w:val="BodyText"/>
    <w:next w:val="Normal"/>
    <w:qFormat/>
    <w:rsid w:val="001B25AB"/>
    <w:pPr>
      <w:framePr w:w="2268" w:hSpace="181" w:vSpace="181" w:wrap="around" w:vAnchor="text" w:hAnchor="page" w:x="1135" w:y="285" w:anchorLock="1"/>
    </w:pPr>
    <w:rPr>
      <w:i/>
    </w:rPr>
  </w:style>
  <w:style w:type="paragraph" w:customStyle="1" w:styleId="MiniTOCTitle">
    <w:name w:val="MiniTOCTitle"/>
    <w:basedOn w:val="Heading4"/>
    <w:rsid w:val="001B25AB"/>
    <w:pPr>
      <w:spacing w:before="240"/>
      <w:outlineLvl w:val="9"/>
    </w:pPr>
    <w:rPr>
      <w:noProof/>
      <w:sz w:val="24"/>
    </w:rPr>
  </w:style>
  <w:style w:type="paragraph" w:customStyle="1" w:styleId="MiniTOCItem">
    <w:name w:val="MiniTOCItem"/>
    <w:basedOn w:val="ListBullet"/>
    <w:rsid w:val="001B25AB"/>
    <w:pPr>
      <w:numPr>
        <w:numId w:val="0"/>
      </w:numPr>
      <w:tabs>
        <w:tab w:val="right" w:leader="dot" w:pos="6521"/>
      </w:tabs>
      <w:spacing w:before="0" w:after="0"/>
    </w:pPr>
  </w:style>
  <w:style w:type="paragraph" w:customStyle="1" w:styleId="TOFTitle">
    <w:name w:val="TOFTitle"/>
    <w:basedOn w:val="TOCTitle"/>
    <w:rsid w:val="001B25AB"/>
  </w:style>
  <w:style w:type="paragraph" w:styleId="TableofFigures">
    <w:name w:val="table of figures"/>
    <w:basedOn w:val="Normal"/>
    <w:next w:val="Normal"/>
    <w:semiHidden/>
    <w:rsid w:val="001B25AB"/>
    <w:pPr>
      <w:tabs>
        <w:tab w:val="right" w:leader="dot" w:pos="9072"/>
      </w:tabs>
      <w:ind w:left="970" w:hanging="403"/>
    </w:pPr>
    <w:rPr>
      <w:rFonts w:ascii="Times New Roman" w:hAnsi="Times New Roman"/>
      <w:b/>
    </w:rPr>
  </w:style>
  <w:style w:type="paragraph" w:styleId="ListNumber">
    <w:name w:val="List Number"/>
    <w:basedOn w:val="List"/>
    <w:rsid w:val="001B25AB"/>
    <w:pPr>
      <w:numPr>
        <w:numId w:val="14"/>
      </w:numPr>
      <w:tabs>
        <w:tab w:val="clear" w:pos="340"/>
      </w:tabs>
    </w:pPr>
  </w:style>
  <w:style w:type="character" w:customStyle="1" w:styleId="WingdingSymbols">
    <w:name w:val="Wingding Symbols"/>
    <w:rsid w:val="001B25AB"/>
    <w:rPr>
      <w:rFonts w:ascii="Wingdings" w:hAnsi="Wingdings"/>
    </w:rPr>
  </w:style>
  <w:style w:type="paragraph" w:customStyle="1" w:styleId="TableHeading">
    <w:name w:val="Table Heading"/>
    <w:basedOn w:val="HeadingBase"/>
    <w:rsid w:val="001B25AB"/>
    <w:pPr>
      <w:keepLines/>
      <w:pBdr>
        <w:bottom w:val="single" w:sz="6" w:space="1" w:color="918585"/>
      </w:pBdr>
      <w:spacing w:before="240"/>
    </w:pPr>
  </w:style>
  <w:style w:type="character" w:customStyle="1" w:styleId="HotSpot">
    <w:name w:val="HotSpot"/>
    <w:rsid w:val="001B25AB"/>
    <w:rPr>
      <w:color w:val="0033CC"/>
      <w:u w:val="none"/>
    </w:rPr>
  </w:style>
  <w:style w:type="paragraph" w:customStyle="1" w:styleId="BodyTextRight">
    <w:name w:val="Body Text Right"/>
    <w:basedOn w:val="BodyText"/>
    <w:rsid w:val="001B25AB"/>
    <w:pPr>
      <w:spacing w:before="0" w:after="0"/>
      <w:jc w:val="right"/>
    </w:pPr>
  </w:style>
  <w:style w:type="paragraph" w:styleId="Index3">
    <w:name w:val="index 3"/>
    <w:basedOn w:val="ListNumber2"/>
    <w:next w:val="Normal"/>
    <w:semiHidden/>
    <w:rsid w:val="001B25AB"/>
    <w:pPr>
      <w:numPr>
        <w:numId w:val="0"/>
      </w:numPr>
      <w:tabs>
        <w:tab w:val="right" w:leader="dot" w:pos="4176"/>
      </w:tabs>
    </w:pPr>
  </w:style>
  <w:style w:type="paragraph" w:styleId="ListNumber2">
    <w:name w:val="List Number 2"/>
    <w:basedOn w:val="List2"/>
    <w:rsid w:val="001B25AB"/>
    <w:pPr>
      <w:numPr>
        <w:numId w:val="9"/>
      </w:numPr>
      <w:tabs>
        <w:tab w:val="clear" w:pos="1060"/>
      </w:tabs>
    </w:pPr>
  </w:style>
  <w:style w:type="paragraph" w:customStyle="1" w:styleId="MarginNote">
    <w:name w:val="Margin Note"/>
    <w:basedOn w:val="BodyText"/>
    <w:rsid w:val="001B2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5AB"/>
    <w:rPr>
      <w:sz w:val="32"/>
    </w:rPr>
  </w:style>
  <w:style w:type="paragraph" w:customStyle="1" w:styleId="HeadingProcedure">
    <w:name w:val="Heading Procedure"/>
    <w:basedOn w:val="HeadingBase"/>
    <w:next w:val="Normal"/>
    <w:rsid w:val="001B25AB"/>
    <w:pPr>
      <w:tabs>
        <w:tab w:val="left" w:pos="0"/>
      </w:tabs>
      <w:spacing w:before="120" w:after="60"/>
    </w:pPr>
    <w:rPr>
      <w:i/>
      <w:color w:val="918585"/>
      <w:sz w:val="22"/>
    </w:rPr>
  </w:style>
  <w:style w:type="paragraph" w:customStyle="1" w:styleId="TableBodyText">
    <w:name w:val="Table Body Text"/>
    <w:basedOn w:val="BodyText"/>
    <w:rsid w:val="001B25AB"/>
    <w:pPr>
      <w:spacing w:before="60" w:after="60"/>
    </w:pPr>
  </w:style>
  <w:style w:type="paragraph" w:styleId="ListContinue">
    <w:name w:val="List Continue"/>
    <w:basedOn w:val="List"/>
    <w:rsid w:val="001B25AB"/>
    <w:pPr>
      <w:ind w:firstLine="0"/>
    </w:pPr>
  </w:style>
  <w:style w:type="paragraph" w:customStyle="1" w:styleId="ListNote">
    <w:name w:val="List Note"/>
    <w:basedOn w:val="List"/>
    <w:rsid w:val="001B25AB"/>
    <w:pPr>
      <w:pBdr>
        <w:top w:val="single" w:sz="6" w:space="2" w:color="918585"/>
        <w:bottom w:val="single" w:sz="6" w:space="2" w:color="918585"/>
      </w:pBdr>
      <w:tabs>
        <w:tab w:val="left" w:pos="1021"/>
      </w:tabs>
      <w:ind w:firstLine="0"/>
    </w:pPr>
  </w:style>
  <w:style w:type="paragraph" w:customStyle="1" w:styleId="Warning">
    <w:name w:val="Warning"/>
    <w:basedOn w:val="BodyText"/>
    <w:rsid w:val="001B25AB"/>
    <w:pPr>
      <w:shd w:val="clear" w:color="auto" w:fill="D9D9D9"/>
      <w:tabs>
        <w:tab w:val="left" w:pos="992"/>
      </w:tabs>
      <w:ind w:left="119" w:right="119"/>
    </w:pPr>
    <w:rPr>
      <w:sz w:val="20"/>
    </w:rPr>
  </w:style>
  <w:style w:type="paragraph" w:customStyle="1" w:styleId="MarginIcons">
    <w:name w:val="Margin Icons"/>
    <w:basedOn w:val="BodyText"/>
    <w:rsid w:val="001B2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5AB"/>
    <w:rPr>
      <w:rFonts w:ascii="Courier New" w:hAnsi="Courier New"/>
    </w:rPr>
  </w:style>
  <w:style w:type="paragraph" w:customStyle="1" w:styleId="NoteBullet">
    <w:name w:val="Note Bullet"/>
    <w:basedOn w:val="Note"/>
    <w:rsid w:val="001B25AB"/>
    <w:pPr>
      <w:tabs>
        <w:tab w:val="clear" w:pos="680"/>
      </w:tabs>
      <w:spacing w:before="60" w:after="60"/>
    </w:pPr>
  </w:style>
  <w:style w:type="paragraph" w:customStyle="1" w:styleId="SubHeading2">
    <w:name w:val="SubHeading2"/>
    <w:basedOn w:val="HeadingBase"/>
    <w:rsid w:val="001B25AB"/>
    <w:pPr>
      <w:spacing w:before="240" w:after="60"/>
    </w:pPr>
    <w:rPr>
      <w:sz w:val="20"/>
    </w:rPr>
  </w:style>
  <w:style w:type="paragraph" w:customStyle="1" w:styleId="SubHeading1">
    <w:name w:val="SubHeading1"/>
    <w:basedOn w:val="HeadingBase"/>
    <w:rsid w:val="001B25AB"/>
    <w:pPr>
      <w:spacing w:before="240" w:after="60"/>
    </w:pPr>
    <w:rPr>
      <w:color w:val="918585"/>
      <w:sz w:val="22"/>
    </w:rPr>
  </w:style>
  <w:style w:type="paragraph" w:customStyle="1" w:styleId="SideHeading">
    <w:name w:val="Side Heading"/>
    <w:basedOn w:val="HeadingBase"/>
    <w:rsid w:val="001B2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5AB"/>
    <w:pPr>
      <w:numPr>
        <w:numId w:val="10"/>
      </w:numPr>
    </w:pPr>
  </w:style>
  <w:style w:type="paragraph" w:styleId="PlainText">
    <w:name w:val="Plain Text"/>
    <w:basedOn w:val="Normal"/>
    <w:link w:val="PlainTextChar"/>
    <w:rsid w:val="001B25AB"/>
    <w:rPr>
      <w:sz w:val="20"/>
    </w:rPr>
  </w:style>
  <w:style w:type="character" w:customStyle="1" w:styleId="PlainTextChar">
    <w:name w:val="Plain Text Char"/>
    <w:basedOn w:val="DefaultParagraphFont"/>
    <w:link w:val="PlainText"/>
    <w:rsid w:val="001B25AB"/>
    <w:rPr>
      <w:rFonts w:ascii="Courier New" w:eastAsia="Times New Roman" w:hAnsi="Courier New" w:cs="Times New Roman"/>
      <w:sz w:val="20"/>
      <w:szCs w:val="20"/>
      <w:lang w:eastAsia="en-US"/>
    </w:rPr>
  </w:style>
  <w:style w:type="character" w:customStyle="1" w:styleId="MenuOption">
    <w:name w:val="Menu Option"/>
    <w:basedOn w:val="DefaultParagraphFont"/>
    <w:rsid w:val="001B25AB"/>
    <w:rPr>
      <w:b/>
      <w:smallCaps/>
    </w:rPr>
  </w:style>
  <w:style w:type="paragraph" w:customStyle="1" w:styleId="TableListNumber">
    <w:name w:val="Table List Number"/>
    <w:basedOn w:val="ListNumber"/>
    <w:rsid w:val="001B25AB"/>
    <w:pPr>
      <w:numPr>
        <w:numId w:val="0"/>
      </w:numPr>
    </w:pPr>
  </w:style>
  <w:style w:type="paragraph" w:styleId="TOC4">
    <w:name w:val="toc 4"/>
    <w:basedOn w:val="TOCBase"/>
    <w:next w:val="Normal"/>
    <w:semiHidden/>
    <w:rsid w:val="001B25AB"/>
    <w:pPr>
      <w:tabs>
        <w:tab w:val="right" w:leader="dot" w:pos="9071"/>
      </w:tabs>
      <w:ind w:left="1701"/>
    </w:pPr>
  </w:style>
  <w:style w:type="paragraph" w:customStyle="1" w:styleId="ListAlpha">
    <w:name w:val="List Alpha"/>
    <w:basedOn w:val="List"/>
    <w:rsid w:val="001B25AB"/>
    <w:pPr>
      <w:numPr>
        <w:numId w:val="8"/>
      </w:numPr>
    </w:pPr>
  </w:style>
  <w:style w:type="paragraph" w:customStyle="1" w:styleId="ListAlpha2">
    <w:name w:val="List Alpha 2"/>
    <w:basedOn w:val="List2"/>
    <w:rsid w:val="001B25AB"/>
    <w:pPr>
      <w:numPr>
        <w:numId w:val="7"/>
      </w:numPr>
    </w:pPr>
  </w:style>
  <w:style w:type="paragraph" w:styleId="List2">
    <w:name w:val="List 2"/>
    <w:basedOn w:val="BodyText"/>
    <w:rsid w:val="001B25AB"/>
    <w:pPr>
      <w:tabs>
        <w:tab w:val="left" w:pos="680"/>
      </w:tabs>
      <w:spacing w:before="60" w:after="60"/>
      <w:ind w:left="680" w:hanging="340"/>
    </w:pPr>
  </w:style>
  <w:style w:type="paragraph" w:styleId="List3">
    <w:name w:val="List 3"/>
    <w:basedOn w:val="BodyText"/>
    <w:rsid w:val="001B25AB"/>
    <w:pPr>
      <w:tabs>
        <w:tab w:val="left" w:pos="1021"/>
      </w:tabs>
      <w:spacing w:before="60" w:after="60"/>
      <w:ind w:left="1020" w:hanging="340"/>
    </w:pPr>
  </w:style>
  <w:style w:type="paragraph" w:styleId="List4">
    <w:name w:val="List 4"/>
    <w:basedOn w:val="BodyText"/>
    <w:rsid w:val="001B25AB"/>
    <w:pPr>
      <w:tabs>
        <w:tab w:val="left" w:pos="1361"/>
      </w:tabs>
      <w:spacing w:before="60" w:after="60"/>
      <w:ind w:left="1361" w:hanging="340"/>
    </w:pPr>
  </w:style>
  <w:style w:type="paragraph" w:styleId="List5">
    <w:name w:val="List 5"/>
    <w:basedOn w:val="BodyText"/>
    <w:rsid w:val="001B25AB"/>
    <w:pPr>
      <w:tabs>
        <w:tab w:val="left" w:pos="1701"/>
      </w:tabs>
      <w:spacing w:before="60" w:after="60"/>
      <w:ind w:left="1701" w:hanging="340"/>
    </w:pPr>
  </w:style>
  <w:style w:type="paragraph" w:styleId="ListBullet3">
    <w:name w:val="List Bullet 3"/>
    <w:basedOn w:val="List3"/>
    <w:rsid w:val="001B25AB"/>
    <w:pPr>
      <w:numPr>
        <w:numId w:val="13"/>
      </w:numPr>
      <w:tabs>
        <w:tab w:val="clear" w:pos="1021"/>
      </w:tabs>
      <w:ind w:left="1037" w:hanging="357"/>
    </w:pPr>
  </w:style>
  <w:style w:type="paragraph" w:styleId="ListBullet4">
    <w:name w:val="List Bullet 4"/>
    <w:basedOn w:val="List4"/>
    <w:rsid w:val="001B25AB"/>
    <w:pPr>
      <w:numPr>
        <w:numId w:val="2"/>
      </w:numPr>
      <w:tabs>
        <w:tab w:val="clear" w:pos="1361"/>
      </w:tabs>
    </w:pPr>
  </w:style>
  <w:style w:type="paragraph" w:styleId="ListBullet5">
    <w:name w:val="List Bullet 5"/>
    <w:basedOn w:val="List5"/>
    <w:rsid w:val="001B25AB"/>
    <w:pPr>
      <w:numPr>
        <w:numId w:val="3"/>
      </w:numPr>
    </w:pPr>
  </w:style>
  <w:style w:type="paragraph" w:styleId="ListContinue2">
    <w:name w:val="List Continue 2"/>
    <w:basedOn w:val="List2"/>
    <w:rsid w:val="001B25AB"/>
    <w:pPr>
      <w:ind w:firstLine="0"/>
    </w:pPr>
  </w:style>
  <w:style w:type="paragraph" w:styleId="ListContinue3">
    <w:name w:val="List Continue 3"/>
    <w:basedOn w:val="List3"/>
    <w:rsid w:val="001B25AB"/>
    <w:pPr>
      <w:ind w:left="1021" w:firstLine="0"/>
    </w:pPr>
  </w:style>
  <w:style w:type="paragraph" w:styleId="ListContinue4">
    <w:name w:val="List Continue 4"/>
    <w:basedOn w:val="List4"/>
    <w:rsid w:val="001B25AB"/>
    <w:pPr>
      <w:ind w:firstLine="0"/>
    </w:pPr>
  </w:style>
  <w:style w:type="paragraph" w:styleId="ListContinue5">
    <w:name w:val="List Continue 5"/>
    <w:basedOn w:val="List5"/>
    <w:rsid w:val="001B25AB"/>
    <w:pPr>
      <w:ind w:firstLine="0"/>
    </w:pPr>
  </w:style>
  <w:style w:type="paragraph" w:styleId="ListNumber3">
    <w:name w:val="List Number 3"/>
    <w:basedOn w:val="List3"/>
    <w:rsid w:val="001B25AB"/>
    <w:pPr>
      <w:numPr>
        <w:numId w:val="4"/>
      </w:numPr>
    </w:pPr>
  </w:style>
  <w:style w:type="paragraph" w:styleId="ListNumber4">
    <w:name w:val="List Number 4"/>
    <w:basedOn w:val="List4"/>
    <w:rsid w:val="001B25AB"/>
    <w:pPr>
      <w:numPr>
        <w:numId w:val="5"/>
      </w:numPr>
    </w:pPr>
  </w:style>
  <w:style w:type="paragraph" w:styleId="ListNumber5">
    <w:name w:val="List Number 5"/>
    <w:basedOn w:val="List5"/>
    <w:rsid w:val="001B25AB"/>
    <w:pPr>
      <w:numPr>
        <w:numId w:val="6"/>
      </w:numPr>
    </w:pPr>
  </w:style>
  <w:style w:type="paragraph" w:styleId="BlockText">
    <w:name w:val="Block Text"/>
    <w:basedOn w:val="Normal"/>
    <w:rsid w:val="001B25AB"/>
    <w:pPr>
      <w:spacing w:after="120"/>
      <w:ind w:left="1440" w:right="1440"/>
    </w:pPr>
  </w:style>
  <w:style w:type="character" w:customStyle="1" w:styleId="Subscript">
    <w:name w:val="Subscript"/>
    <w:basedOn w:val="DefaultParagraphFont"/>
    <w:rsid w:val="001B25AB"/>
    <w:rPr>
      <w:sz w:val="16"/>
      <w:vertAlign w:val="subscript"/>
    </w:rPr>
  </w:style>
  <w:style w:type="character" w:customStyle="1" w:styleId="Superscript">
    <w:name w:val="Superscript"/>
    <w:basedOn w:val="DefaultParagraphFont"/>
    <w:rsid w:val="001B25AB"/>
    <w:rPr>
      <w:sz w:val="16"/>
      <w:vertAlign w:val="superscript"/>
    </w:rPr>
  </w:style>
  <w:style w:type="character" w:customStyle="1" w:styleId="Symbols">
    <w:name w:val="Symbols"/>
    <w:basedOn w:val="DefaultParagraphFont"/>
    <w:rsid w:val="001B25AB"/>
    <w:rPr>
      <w:rFonts w:ascii="Symbol" w:hAnsi="Symbol"/>
    </w:rPr>
  </w:style>
  <w:style w:type="character" w:customStyle="1" w:styleId="MenuOptions">
    <w:name w:val="Menu Options"/>
    <w:basedOn w:val="DefaultParagraphFont"/>
    <w:rsid w:val="001B25AB"/>
    <w:rPr>
      <w:rFonts w:ascii="Arial Narrow" w:hAnsi="Arial Narrow"/>
      <w:smallCaps/>
    </w:rPr>
  </w:style>
  <w:style w:type="character" w:customStyle="1" w:styleId="Buttons">
    <w:name w:val="Buttons"/>
    <w:basedOn w:val="DefaultParagraphFont"/>
    <w:rsid w:val="001B25AB"/>
    <w:rPr>
      <w:b/>
    </w:rPr>
  </w:style>
  <w:style w:type="character" w:customStyle="1" w:styleId="Underlined">
    <w:name w:val="Underlined"/>
    <w:basedOn w:val="DefaultParagraphFont"/>
    <w:rsid w:val="001B25AB"/>
    <w:rPr>
      <w:u w:val="single"/>
    </w:rPr>
  </w:style>
  <w:style w:type="paragraph" w:customStyle="1" w:styleId="TableBodyTextRight">
    <w:name w:val="Table Body Text Right"/>
    <w:basedOn w:val="TableBodyText"/>
    <w:rsid w:val="001B25AB"/>
    <w:pPr>
      <w:widowControl w:val="0"/>
      <w:autoSpaceDE w:val="0"/>
      <w:autoSpaceDN w:val="0"/>
      <w:adjustRightInd w:val="0"/>
      <w:jc w:val="right"/>
    </w:pPr>
    <w:rPr>
      <w:rFonts w:cs="Arial"/>
      <w:szCs w:val="18"/>
    </w:rPr>
  </w:style>
  <w:style w:type="paragraph" w:customStyle="1" w:styleId="CopyrightText">
    <w:name w:val="Copyright Text"/>
    <w:basedOn w:val="BodyText"/>
    <w:rsid w:val="001B25AB"/>
    <w:rPr>
      <w:sz w:val="18"/>
    </w:rPr>
  </w:style>
  <w:style w:type="paragraph" w:customStyle="1" w:styleId="BodySmallRight">
    <w:name w:val="Body Small Right"/>
    <w:basedOn w:val="BodyTextRight"/>
    <w:rsid w:val="001B25AB"/>
    <w:rPr>
      <w:sz w:val="18"/>
      <w:szCs w:val="18"/>
    </w:rPr>
  </w:style>
  <w:style w:type="paragraph" w:customStyle="1" w:styleId="MarginEdition">
    <w:name w:val="Margin Edition"/>
    <w:basedOn w:val="MarginNote"/>
    <w:rsid w:val="001B25AB"/>
    <w:pPr>
      <w:spacing w:before="0" w:after="0"/>
    </w:pPr>
    <w:rPr>
      <w:rFonts w:ascii="Times New Roman" w:hAnsi="Times New Roman"/>
      <w:color w:val="999999"/>
    </w:rPr>
  </w:style>
  <w:style w:type="paragraph" w:customStyle="1" w:styleId="Spacer">
    <w:name w:val="Spacer"/>
    <w:basedOn w:val="Normal"/>
    <w:rsid w:val="001B25AB"/>
    <w:rPr>
      <w:sz w:val="2"/>
      <w:szCs w:val="2"/>
    </w:rPr>
  </w:style>
  <w:style w:type="character" w:customStyle="1" w:styleId="Small">
    <w:name w:val="Small"/>
    <w:basedOn w:val="DefaultParagraphFont"/>
    <w:rsid w:val="001B25AB"/>
    <w:rPr>
      <w:sz w:val="16"/>
    </w:rPr>
  </w:style>
  <w:style w:type="paragraph" w:customStyle="1" w:styleId="WideTable">
    <w:name w:val="Wide Table"/>
    <w:basedOn w:val="Normal"/>
    <w:rsid w:val="001B25AB"/>
    <w:pPr>
      <w:ind w:left="-1418"/>
    </w:pPr>
    <w:rPr>
      <w:sz w:val="2"/>
      <w:szCs w:val="2"/>
    </w:rPr>
  </w:style>
  <w:style w:type="character" w:styleId="PageNumber">
    <w:name w:val="page number"/>
    <w:basedOn w:val="DefaultParagraphFont"/>
    <w:rsid w:val="001B25AB"/>
  </w:style>
  <w:style w:type="paragraph" w:styleId="Quote">
    <w:name w:val="Quote"/>
    <w:basedOn w:val="Heading1"/>
    <w:link w:val="QuoteChar"/>
    <w:qFormat/>
    <w:rsid w:val="001B25AB"/>
    <w:rPr>
      <w:b w:val="0"/>
      <w:sz w:val="72"/>
      <w:szCs w:val="72"/>
      <w:lang w:val="en-NZ"/>
    </w:rPr>
  </w:style>
  <w:style w:type="character" w:customStyle="1" w:styleId="QuoteChar">
    <w:name w:val="Quote Char"/>
    <w:basedOn w:val="DefaultParagraphFont"/>
    <w:link w:val="Quote"/>
    <w:rsid w:val="001B2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5AB"/>
    <w:pPr>
      <w:pageBreakBefore/>
    </w:pPr>
  </w:style>
  <w:style w:type="paragraph" w:customStyle="1" w:styleId="Border">
    <w:name w:val="Border"/>
    <w:basedOn w:val="Normal"/>
    <w:qFormat/>
    <w:rsid w:val="001B2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5AB"/>
    <w:rPr>
      <w:b/>
      <w:bCs/>
      <w:i/>
      <w:iCs/>
      <w:color w:val="auto"/>
    </w:rPr>
  </w:style>
  <w:style w:type="paragraph" w:styleId="IntenseQuote">
    <w:name w:val="Intense Quote"/>
    <w:basedOn w:val="Normal"/>
    <w:next w:val="Normal"/>
    <w:link w:val="IntenseQuoteChar"/>
    <w:uiPriority w:val="30"/>
    <w:qFormat/>
    <w:rsid w:val="001B2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5AB"/>
    <w:rPr>
      <w:smallCaps/>
      <w:color w:val="auto"/>
      <w:u w:val="single"/>
    </w:rPr>
  </w:style>
  <w:style w:type="character" w:styleId="IntenseReference">
    <w:name w:val="Intense Reference"/>
    <w:basedOn w:val="DefaultParagraphFont"/>
    <w:uiPriority w:val="32"/>
    <w:qFormat/>
    <w:rsid w:val="001B25AB"/>
    <w:rPr>
      <w:b/>
      <w:bCs/>
      <w:smallCaps/>
      <w:color w:val="auto"/>
      <w:spacing w:val="5"/>
      <w:u w:val="single"/>
    </w:rPr>
  </w:style>
  <w:style w:type="paragraph" w:customStyle="1" w:styleId="2ColumnHeading">
    <w:name w:val="2Column Heading"/>
    <w:basedOn w:val="BodyText"/>
    <w:qFormat/>
    <w:rsid w:val="001B25AB"/>
    <w:pPr>
      <w:spacing w:after="60"/>
      <w:ind w:left="-2268"/>
    </w:pPr>
    <w:rPr>
      <w:b/>
    </w:rPr>
  </w:style>
  <w:style w:type="paragraph" w:customStyle="1" w:styleId="Heading1TOC">
    <w:name w:val="Heading1 TOC"/>
    <w:basedOn w:val="Normal"/>
    <w:qFormat/>
    <w:rsid w:val="001B25AB"/>
    <w:pPr>
      <w:spacing w:before="240" w:after="120"/>
    </w:pPr>
    <w:rPr>
      <w:rFonts w:ascii="Times New Roman" w:hAnsi="Times New Roman"/>
      <w:b/>
      <w:sz w:val="32"/>
    </w:rPr>
  </w:style>
  <w:style w:type="paragraph" w:customStyle="1" w:styleId="Heading2TOC">
    <w:name w:val="Heading2 TOC"/>
    <w:basedOn w:val="Normal"/>
    <w:qFormat/>
    <w:rsid w:val="001B25AB"/>
    <w:pPr>
      <w:spacing w:before="240" w:after="60"/>
    </w:pPr>
    <w:rPr>
      <w:rFonts w:ascii="Times New Roman" w:hAnsi="Times New Roman"/>
      <w:b/>
      <w:sz w:val="28"/>
    </w:rPr>
  </w:style>
  <w:style w:type="character" w:customStyle="1" w:styleId="Underline">
    <w:name w:val="Underline"/>
    <w:basedOn w:val="DefaultParagraphFont"/>
    <w:qFormat/>
    <w:rsid w:val="001B25AB"/>
    <w:rPr>
      <w:u w:val="single"/>
    </w:rPr>
  </w:style>
  <w:style w:type="character" w:customStyle="1" w:styleId="BoldandItalics">
    <w:name w:val="Bold and Italics"/>
    <w:qFormat/>
    <w:rsid w:val="001B25AB"/>
    <w:rPr>
      <w:b/>
      <w:i/>
      <w:u w:val="none"/>
    </w:rPr>
  </w:style>
  <w:style w:type="paragraph" w:styleId="BalloonText">
    <w:name w:val="Balloon Text"/>
    <w:basedOn w:val="Normal"/>
    <w:link w:val="BalloonTextChar"/>
    <w:rsid w:val="001B25AB"/>
    <w:rPr>
      <w:rFonts w:ascii="Tahoma" w:hAnsi="Tahoma" w:cs="Tahoma"/>
      <w:sz w:val="16"/>
      <w:szCs w:val="16"/>
    </w:rPr>
  </w:style>
  <w:style w:type="character" w:customStyle="1" w:styleId="BalloonTextChar">
    <w:name w:val="Balloon Text Char"/>
    <w:basedOn w:val="DefaultParagraphFont"/>
    <w:link w:val="BalloonText"/>
    <w:rsid w:val="001B2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5AB"/>
    <w:rPr>
      <w:b/>
      <w:color w:val="660033"/>
      <w:spacing w:val="0"/>
    </w:rPr>
  </w:style>
  <w:style w:type="paragraph" w:customStyle="1" w:styleId="Nameditemlist">
    <w:name w:val="Named item list"/>
    <w:basedOn w:val="BodyText"/>
    <w:qFormat/>
    <w:rsid w:val="001B25AB"/>
    <w:pPr>
      <w:tabs>
        <w:tab w:val="left" w:pos="2835"/>
      </w:tabs>
      <w:ind w:left="2835" w:hanging="2835"/>
    </w:pPr>
  </w:style>
  <w:style w:type="paragraph" w:customStyle="1" w:styleId="BodyTextnopadding">
    <w:name w:val="Body Text no padding"/>
    <w:basedOn w:val="BodyText"/>
    <w:qFormat/>
    <w:rsid w:val="001B25AB"/>
    <w:pPr>
      <w:spacing w:before="0" w:after="0"/>
    </w:pPr>
  </w:style>
  <w:style w:type="paragraph" w:customStyle="1" w:styleId="BodyTextBold">
    <w:name w:val="Body Text Bold"/>
    <w:basedOn w:val="BodyText"/>
    <w:qFormat/>
    <w:rsid w:val="001B25AB"/>
    <w:rPr>
      <w:b/>
    </w:rPr>
  </w:style>
  <w:style w:type="character" w:styleId="Hyperlink">
    <w:name w:val="Hyperlink"/>
    <w:basedOn w:val="DefaultParagraphFont"/>
    <w:uiPriority w:val="99"/>
    <w:unhideWhenUsed/>
    <w:rsid w:val="005D4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6609</Characters>
  <Application>Microsoft Office Word</Application>
  <DocSecurity>0</DocSecurity>
  <Lines>236</Lines>
  <Paragraphs>143</Paragraphs>
  <ScaleCrop>false</ScaleCrop>
  <Company>Author-it Software Corporation Ltd.</Company>
  <LinksUpToDate>false</LinksUpToDate>
  <CharactersWithSpaces>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TLIX5056 Carry out additional customs clearance practices</dc:title>
  <dc:subject>Approved</dc:subject>
  <dc:creator>Industry Skills Australia</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