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3514" w:rsidP="000435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TLIX5055 Apply anti-dumping and countervailing measures</w:t>
      </w:r>
      <w:r>
        <w:fldChar w:fldCharType="end"/>
      </w:r>
    </w:p>
    <w:p w:rsidR="00043514" w:rsidP="00043514">
      <w:pPr>
        <w:pStyle w:val="Version"/>
        <w:sectPr w:rsidSect="008C7A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7A93" w:rsidP="008C7A93">
      <w:pPr>
        <w:pStyle w:val="SuperHeading"/>
      </w:pPr>
      <w:r w:rsidRPr="008C7A93">
        <w:t>TLIX5055 Apply anti-dumping and countervailing measures</w:t>
      </w:r>
    </w:p>
    <w:p w:rsidR="00000000" w:rsidRPr="008C7A93" w:rsidP="008C7A93">
      <w:pPr>
        <w:pStyle w:val="Heading1"/>
      </w:pPr>
      <w:bookmarkStart w:id="1" w:name="O_838615"/>
      <w:bookmarkEnd w:id="1"/>
      <w:r w:rsidRPr="008C7A93">
        <w:t>Modification History</w:t>
      </w:r>
    </w:p>
    <w:p w:rsidR="00043514" w:rsidP="00043514">
      <w:pPr>
        <w:pStyle w:val="BodyText"/>
      </w:pPr>
      <w:r w:rsidRPr="008C7A93">
        <w:t>Release 1. This is the first release of this unit of competency in the TLI Transport and Logistics Training Package.</w:t>
      </w:r>
    </w:p>
    <w:p w:rsidR="00000000" w:rsidRPr="008C7A93" w:rsidP="008C7A93">
      <w:pPr>
        <w:pStyle w:val="Heading1"/>
      </w:pPr>
      <w:bookmarkStart w:id="2" w:name="O_838616"/>
      <w:bookmarkEnd w:id="2"/>
      <w:r w:rsidRPr="008C7A93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435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A93" w:rsidP="008C7A93">
            <w:pPr>
              <w:pStyle w:val="BodyText"/>
            </w:pPr>
            <w:r w:rsidRPr="008C7A93">
              <w:t>This unit involves the skills and knowledge required to identify goods s</w:t>
            </w:r>
            <w:r w:rsidRPr="008C7A93">
              <w:t>ubject to dumping and/or countervailing measures, and to calculate applicable duties.</w:t>
            </w:r>
          </w:p>
          <w:p w:rsidR="00000000" w:rsidRPr="008C7A93" w:rsidP="008C7A93">
            <w:pPr>
              <w:pStyle w:val="BodyText"/>
            </w:pPr>
            <w:r w:rsidRPr="008C7A93">
              <w:t>Work must be carried out in compliance with relevant customs, legislation and workplace requirements concerning applying anti-dumping and/or countervailing duties.</w:t>
            </w:r>
          </w:p>
          <w:p w:rsidR="00000000" w:rsidRPr="008C7A93" w:rsidP="008C7A93">
            <w:pPr>
              <w:pStyle w:val="BodyText"/>
            </w:pPr>
            <w:r w:rsidRPr="008C7A93">
              <w:t>Work i</w:t>
            </w:r>
            <w:r w:rsidRPr="008C7A93">
              <w:t>s undertaken in a range of environments in the customs broking industry.</w:t>
            </w:r>
          </w:p>
          <w:p w:rsidR="00000000" w:rsidRPr="008C7A93" w:rsidP="008C7A93">
            <w:pPr>
              <w:pStyle w:val="BodyText"/>
            </w:pPr>
            <w:r w:rsidRPr="008C7A93">
              <w:t>No licensing, legislative or certification requirement apply to this unit at the time of publication.</w:t>
            </w:r>
          </w:p>
        </w:tc>
      </w:tr>
    </w:tbl>
    <w:p w:rsidR="00043514" w:rsidP="008C7A93">
      <w:pPr>
        <w:pStyle w:val="BodyText"/>
      </w:pPr>
    </w:p>
    <w:p w:rsidR="00043514" w:rsidP="008C7A93">
      <w:pPr>
        <w:pStyle w:val="BodyText"/>
      </w:pPr>
    </w:p>
    <w:p w:rsidR="00000000" w:rsidRPr="008C7A93" w:rsidP="008C7A93">
      <w:pPr>
        <w:pStyle w:val="Heading1"/>
      </w:pPr>
      <w:bookmarkStart w:id="3" w:name="O_838617"/>
      <w:bookmarkEnd w:id="3"/>
      <w:r w:rsidRPr="008C7A93">
        <w:t>Pre-requisite Unit</w:t>
      </w:r>
    </w:p>
    <w:p w:rsidR="00043514" w:rsidP="00043514">
      <w:pPr>
        <w:pStyle w:val="BodyText"/>
      </w:pPr>
      <w:r w:rsidRPr="008C7A93">
        <w:t>Not applicable.</w:t>
      </w:r>
    </w:p>
    <w:p w:rsidR="00000000" w:rsidRPr="008C7A93" w:rsidP="008C7A93">
      <w:pPr>
        <w:pStyle w:val="Heading1"/>
      </w:pPr>
      <w:bookmarkStart w:id="4" w:name="O_838618"/>
      <w:bookmarkEnd w:id="4"/>
      <w:r w:rsidRPr="008C7A93">
        <w:t>Competen</w:t>
      </w:r>
      <w:r w:rsidRPr="008C7A93">
        <w:t>cy Field</w:t>
      </w:r>
    </w:p>
    <w:p w:rsidR="00043514" w:rsidP="00043514">
      <w:pPr>
        <w:pStyle w:val="BodyText"/>
      </w:pPr>
      <w:r w:rsidRPr="008C7A93">
        <w:t>X – Logistics</w:t>
      </w:r>
    </w:p>
    <w:p w:rsidR="00000000" w:rsidRPr="008C7A93" w:rsidP="008C7A93">
      <w:pPr>
        <w:pStyle w:val="Heading1"/>
      </w:pPr>
      <w:bookmarkStart w:id="5" w:name="O_838619"/>
      <w:bookmarkEnd w:id="5"/>
      <w:r w:rsidRPr="008C7A93">
        <w:t>Unit Sector</w:t>
      </w:r>
    </w:p>
    <w:p w:rsidR="00043514" w:rsidP="00043514">
      <w:pPr>
        <w:pStyle w:val="BodyText"/>
      </w:pPr>
      <w:r w:rsidRPr="008C7A93">
        <w:t>Not applicable.</w:t>
      </w:r>
    </w:p>
    <w:p w:rsidR="00000000" w:rsidRPr="008C7A93" w:rsidP="008C7A93">
      <w:pPr>
        <w:pStyle w:val="Heading1"/>
      </w:pPr>
      <w:bookmarkStart w:id="6" w:name="O_838620"/>
      <w:bookmarkEnd w:id="6"/>
      <w:r w:rsidRPr="008C7A9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2"/>
        <w:gridCol w:w="1928"/>
        <w:gridCol w:w="1"/>
        <w:gridCol w:w="602"/>
        <w:gridCol w:w="6303"/>
      </w:tblGrid>
      <w:tr w:rsidTr="000435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A93" w:rsidP="008C7A93">
            <w:pPr>
              <w:pStyle w:val="BodyText"/>
            </w:pPr>
            <w:r w:rsidRPr="008C7A9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93">
            <w:pPr>
              <w:pStyle w:val="BodyText"/>
              <w:rPr>
                <w:lang w:val="en-NZ"/>
              </w:rPr>
            </w:pPr>
            <w:r w:rsidRPr="008C7A93">
              <w:rPr>
                <w:rStyle w:val="SpecialBold"/>
              </w:rPr>
              <w:t>PERFORMANCE CRITERIA</w:t>
            </w:r>
          </w:p>
        </w:tc>
      </w:tr>
      <w:tr w:rsidTr="000435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93">
            <w:pPr>
              <w:pStyle w:val="BodyText"/>
              <w:rPr>
                <w:lang w:val="en-NZ"/>
              </w:rPr>
            </w:pPr>
            <w:r w:rsidRPr="008C7A93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93">
            <w:pPr>
              <w:pStyle w:val="BodyText"/>
              <w:rPr>
                <w:lang w:val="en-NZ"/>
              </w:rPr>
            </w:pPr>
            <w:r w:rsidRPr="008C7A93">
              <w:t>Performance criteria describe the performance needed to demonstrate achievement of the element.</w:t>
            </w:r>
          </w:p>
        </w:tc>
      </w:tr>
      <w:tr w:rsidTr="000435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A93" w:rsidP="008C7A93">
            <w:pPr>
              <w:pStyle w:val="BodyText"/>
            </w:pPr>
            <w:r w:rsidRPr="008C7A9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93">
            <w:pPr>
              <w:pStyle w:val="BodyText"/>
              <w:rPr>
                <w:lang w:val="en-NZ"/>
              </w:rPr>
            </w:pPr>
            <w:r w:rsidRPr="008C7A93">
              <w:rPr>
                <w:rStyle w:val="SpecialBold"/>
              </w:rPr>
              <w:t xml:space="preserve">Identify goods </w:t>
            </w:r>
            <w:r w:rsidRPr="008C7A93">
              <w:rPr>
                <w:rStyle w:val="SpecialBold"/>
              </w:rPr>
              <w:t>subject to anti-dumping and/or countervailing measures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93">
            <w:pPr>
              <w:pStyle w:val="BodyText"/>
              <w:rPr>
                <w:lang w:val="en-NZ"/>
              </w:rPr>
            </w:pPr>
            <w:r w:rsidRPr="008C7A9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93">
            <w:pPr>
              <w:pStyle w:val="BodyText"/>
              <w:rPr>
                <w:lang w:val="en-NZ"/>
              </w:rPr>
            </w:pPr>
            <w:r w:rsidRPr="008C7A93">
              <w:t xml:space="preserve">Dumping alert for a particular tariff classification and statistical code in an </w:t>
            </w:r>
            <w:r w:rsidRPr="008C7A93">
              <w:t>im</w:t>
            </w:r>
            <w:r w:rsidRPr="008C7A93">
              <w:t xml:space="preserve">port declaration is recognised </w:t>
            </w:r>
          </w:p>
        </w:tc>
      </w:tr>
      <w:tr w:rsidTr="000435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93">
            <w:pPr>
              <w:pStyle w:val="BodyText"/>
              <w:rPr>
                <w:lang w:val="en-NZ"/>
              </w:rPr>
            </w:pPr>
            <w:r w:rsidRPr="008C7A9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93">
            <w:pPr>
              <w:pStyle w:val="BodyText"/>
              <w:rPr>
                <w:lang w:val="en-NZ"/>
              </w:rPr>
            </w:pPr>
            <w:r w:rsidRPr="008C7A93">
              <w:t>Dumping commodities register (DCR) is reviewed</w:t>
            </w:r>
          </w:p>
        </w:tc>
      </w:tr>
      <w:tr w:rsidTr="000435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93">
            <w:pPr>
              <w:pStyle w:val="BodyText"/>
              <w:rPr>
                <w:lang w:val="en-NZ"/>
              </w:rPr>
            </w:pPr>
            <w:r w:rsidRPr="008C7A9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93">
            <w:pPr>
              <w:pStyle w:val="BodyText"/>
              <w:rPr>
                <w:lang w:val="en-NZ"/>
              </w:rPr>
            </w:pPr>
            <w:r w:rsidRPr="008C7A93">
              <w:t>Date of effect is verified</w:t>
            </w:r>
          </w:p>
        </w:tc>
      </w:tr>
      <w:tr w:rsidTr="000435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93">
            <w:pPr>
              <w:pStyle w:val="BodyText"/>
              <w:rPr>
                <w:lang w:val="en-NZ"/>
              </w:rPr>
            </w:pPr>
            <w:r w:rsidRPr="008C7A93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93">
            <w:pPr>
              <w:pStyle w:val="BodyText"/>
              <w:rPr>
                <w:lang w:val="en-NZ"/>
              </w:rPr>
            </w:pPr>
            <w:r w:rsidRPr="008C7A93">
              <w:t>Place and/or country of export is determined as subject to anti-dumping and/or countervailing measures</w:t>
            </w:r>
          </w:p>
        </w:tc>
      </w:tr>
      <w:tr w:rsidTr="000435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93">
            <w:pPr>
              <w:pStyle w:val="BodyText"/>
              <w:rPr>
                <w:lang w:val="en-NZ"/>
              </w:rPr>
            </w:pPr>
            <w:r w:rsidRPr="008C7A93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93">
            <w:pPr>
              <w:pStyle w:val="BodyText"/>
              <w:rPr>
                <w:lang w:val="en-NZ"/>
              </w:rPr>
            </w:pPr>
            <w:r w:rsidRPr="008C7A93">
              <w:t>Goods are verified as of a kind subject to anti-dumping and/or countervailing measures</w:t>
            </w:r>
          </w:p>
        </w:tc>
      </w:tr>
      <w:tr w:rsidTr="000435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93">
            <w:pPr>
              <w:pStyle w:val="BodyText"/>
              <w:rPr>
                <w:lang w:val="en-NZ"/>
              </w:rPr>
            </w:pPr>
            <w:r w:rsidRPr="008C7A93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93">
            <w:pPr>
              <w:pStyle w:val="BodyText"/>
              <w:rPr>
                <w:lang w:val="en-NZ"/>
              </w:rPr>
            </w:pPr>
            <w:r w:rsidRPr="008C7A93">
              <w:t>Custom client identifiers (CCIDs) of the exporter and/or supplier of goods is determined as subject to anti-dumping and/or countervailing measures</w:t>
            </w:r>
          </w:p>
        </w:tc>
      </w:tr>
      <w:tr w:rsidTr="000435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A93" w:rsidP="008C7A93">
            <w:pPr>
              <w:pStyle w:val="BodyText"/>
            </w:pPr>
            <w:r w:rsidRPr="008C7A9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93">
            <w:pPr>
              <w:pStyle w:val="BodyText"/>
              <w:rPr>
                <w:lang w:val="en-NZ"/>
              </w:rPr>
            </w:pPr>
            <w:r w:rsidRPr="008C7A93">
              <w:rPr>
                <w:rStyle w:val="SpecialBold"/>
              </w:rPr>
              <w:t>Determine du</w:t>
            </w:r>
            <w:r w:rsidRPr="008C7A93">
              <w:rPr>
                <w:rStyle w:val="SpecialBold"/>
              </w:rPr>
              <w:t>mping 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93">
            <w:pPr>
              <w:pStyle w:val="BodyText"/>
              <w:rPr>
                <w:lang w:val="en-NZ"/>
              </w:rPr>
            </w:pPr>
            <w:r w:rsidRPr="008C7A9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93">
            <w:pPr>
              <w:pStyle w:val="BodyText"/>
              <w:rPr>
                <w:lang w:val="en-NZ"/>
              </w:rPr>
            </w:pPr>
            <w:r w:rsidRPr="008C7A93">
              <w:t>Exempt goods are declared in accordance with DCR</w:t>
            </w:r>
          </w:p>
        </w:tc>
      </w:tr>
      <w:tr w:rsidTr="000435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93">
            <w:pPr>
              <w:pStyle w:val="BodyText"/>
              <w:rPr>
                <w:lang w:val="en-NZ"/>
              </w:rPr>
            </w:pPr>
            <w:r w:rsidRPr="008C7A9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93">
            <w:pPr>
              <w:pStyle w:val="BodyText"/>
              <w:rPr>
                <w:lang w:val="en-NZ"/>
              </w:rPr>
            </w:pPr>
            <w:r w:rsidRPr="008C7A93">
              <w:t>Dumping specification number (DSN) is determined in accordance with DCR</w:t>
            </w:r>
          </w:p>
        </w:tc>
      </w:tr>
      <w:tr w:rsidTr="000435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93">
            <w:pPr>
              <w:pStyle w:val="BodyText"/>
              <w:rPr>
                <w:lang w:val="en-NZ"/>
              </w:rPr>
            </w:pPr>
            <w:r w:rsidRPr="008C7A9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93">
            <w:pPr>
              <w:pStyle w:val="BodyText"/>
              <w:rPr>
                <w:lang w:val="en-NZ"/>
              </w:rPr>
            </w:pPr>
            <w:r w:rsidRPr="008C7A93">
              <w:t>Dumping export price (DXP) is calculated in accordance with DCR</w:t>
            </w:r>
          </w:p>
        </w:tc>
      </w:tr>
      <w:tr w:rsidTr="000435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93">
            <w:pPr>
              <w:pStyle w:val="BodyText"/>
              <w:rPr>
                <w:lang w:val="en-NZ"/>
              </w:rPr>
            </w:pPr>
            <w:r w:rsidRPr="008C7A93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93">
            <w:pPr>
              <w:pStyle w:val="BodyText"/>
              <w:rPr>
                <w:lang w:val="en-NZ"/>
              </w:rPr>
            </w:pPr>
            <w:r w:rsidRPr="008C7A93">
              <w:t>Currency code for DXP is determined</w:t>
            </w:r>
          </w:p>
        </w:tc>
      </w:tr>
      <w:tr w:rsidTr="000435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93">
            <w:pPr>
              <w:pStyle w:val="BodyText"/>
              <w:rPr>
                <w:lang w:val="en-NZ"/>
              </w:rPr>
            </w:pPr>
            <w:r w:rsidRPr="008C7A93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93">
            <w:pPr>
              <w:pStyle w:val="BodyText"/>
              <w:rPr>
                <w:lang w:val="en-NZ"/>
              </w:rPr>
            </w:pPr>
            <w:r w:rsidRPr="008C7A93">
              <w:t>Export country code is determined as required</w:t>
            </w:r>
          </w:p>
        </w:tc>
      </w:tr>
      <w:tr w:rsidTr="000435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93">
            <w:pPr>
              <w:pStyle w:val="BodyText"/>
              <w:rPr>
                <w:lang w:val="en-NZ"/>
              </w:rPr>
            </w:pPr>
            <w:r w:rsidRPr="008C7A93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93">
            <w:pPr>
              <w:pStyle w:val="BodyText"/>
              <w:rPr>
                <w:lang w:val="en-NZ"/>
              </w:rPr>
            </w:pPr>
            <w:r w:rsidRPr="008C7A93">
              <w:t>Exchange rate is input as required</w:t>
            </w:r>
          </w:p>
        </w:tc>
      </w:tr>
      <w:tr w:rsidTr="000435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93">
            <w:pPr>
              <w:pStyle w:val="BodyText"/>
              <w:rPr>
                <w:lang w:val="en-NZ"/>
              </w:rPr>
            </w:pPr>
            <w:r w:rsidRPr="008C7A93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93">
            <w:pPr>
              <w:pStyle w:val="BodyText"/>
              <w:rPr>
                <w:lang w:val="en-NZ"/>
              </w:rPr>
            </w:pPr>
            <w:r w:rsidRPr="008C7A93">
              <w:t>Dumping unit quantity is reported in accordance with software application system requirements</w:t>
            </w:r>
          </w:p>
        </w:tc>
      </w:tr>
      <w:tr w:rsidTr="000435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A93" w:rsidP="008C7A93">
            <w:pPr>
              <w:pStyle w:val="BodyText"/>
            </w:pPr>
            <w:r w:rsidRPr="008C7A9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93">
            <w:pPr>
              <w:pStyle w:val="BodyText"/>
              <w:rPr>
                <w:lang w:val="en-NZ"/>
              </w:rPr>
            </w:pPr>
            <w:r w:rsidRPr="008C7A93">
              <w:rPr>
                <w:rStyle w:val="SpecialBold"/>
              </w:rPr>
              <w:t>Advise clients on anti-dumping and countervailing legislation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93">
            <w:pPr>
              <w:pStyle w:val="BodyText"/>
              <w:rPr>
                <w:lang w:val="en-NZ"/>
              </w:rPr>
            </w:pPr>
            <w:r w:rsidRPr="008C7A9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93">
            <w:pPr>
              <w:pStyle w:val="BodyText"/>
              <w:rPr>
                <w:lang w:val="en-NZ"/>
              </w:rPr>
            </w:pPr>
            <w:r w:rsidRPr="008C7A93">
              <w:t>Clients are informed about basic requirements of anti-dumping and countervailing legislation</w:t>
            </w:r>
          </w:p>
        </w:tc>
      </w:tr>
      <w:tr w:rsidTr="000435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93">
            <w:pPr>
              <w:pStyle w:val="BodyText"/>
              <w:rPr>
                <w:lang w:val="en-NZ"/>
              </w:rPr>
            </w:pPr>
            <w:r w:rsidRPr="008C7A9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93">
            <w:pPr>
              <w:pStyle w:val="BodyText"/>
              <w:rPr>
                <w:lang w:val="en-NZ"/>
              </w:rPr>
            </w:pPr>
            <w:r w:rsidRPr="008C7A93">
              <w:t>Client understanding of anti-dumping and countervailing information provided is confirmed and any client misunderstanding is clarified</w:t>
            </w:r>
          </w:p>
        </w:tc>
      </w:tr>
      <w:tr w:rsidTr="000435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93">
            <w:pPr>
              <w:pStyle w:val="BodyText"/>
              <w:rPr>
                <w:lang w:val="en-NZ"/>
              </w:rPr>
            </w:pPr>
            <w:r w:rsidRPr="008C7A93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A93" w:rsidP="008C7A93">
            <w:pPr>
              <w:pStyle w:val="BodyText"/>
            </w:pPr>
            <w:r w:rsidRPr="008C7A93">
              <w:t>Clients are made aware of administration, review and revocation of anti-dumping and/or countervailing measures</w:t>
            </w:r>
          </w:p>
        </w:tc>
      </w:tr>
    </w:tbl>
    <w:p w:rsidR="00043514" w:rsidP="008C7A93">
      <w:pPr>
        <w:pStyle w:val="BodyText"/>
      </w:pPr>
    </w:p>
    <w:p w:rsidR="00043514" w:rsidP="008C7A93">
      <w:pPr>
        <w:pStyle w:val="BodyText"/>
      </w:pPr>
    </w:p>
    <w:p w:rsidR="00000000" w:rsidRPr="008C7A93" w:rsidP="008C7A93">
      <w:pPr>
        <w:pStyle w:val="Heading1"/>
      </w:pPr>
      <w:bookmarkStart w:id="7" w:name="O_838621"/>
      <w:bookmarkEnd w:id="7"/>
      <w:r w:rsidRPr="008C7A93">
        <w:t>Foundation Skills</w:t>
      </w:r>
    </w:p>
    <w:p w:rsidR="00043514" w:rsidP="00043514">
      <w:pPr>
        <w:pStyle w:val="BodyText"/>
      </w:pPr>
      <w:r w:rsidRPr="008C7A93">
        <w:t>Foundation skills essential to performance are explicit in the performance criteria of this unit of competency.</w:t>
      </w:r>
    </w:p>
    <w:p w:rsidR="00000000" w:rsidRPr="008C7A93" w:rsidP="008C7A93">
      <w:pPr>
        <w:pStyle w:val="Heading1"/>
      </w:pPr>
      <w:bookmarkStart w:id="8" w:name="O_838622"/>
      <w:bookmarkEnd w:id="8"/>
      <w:r w:rsidRPr="008C7A93">
        <w:t>Range of Conditions</w:t>
      </w:r>
    </w:p>
    <w:p w:rsidR="00000000" w:rsidRPr="008C7A93" w:rsidP="00043514">
      <w:pPr>
        <w:pStyle w:val="BodyText"/>
      </w:pPr>
      <w:r w:rsidRPr="008C7A93">
        <w:t>Range is restricted to essential operating conditions and any other variables essential to the work environment.</w:t>
      </w:r>
    </w:p>
    <w:p w:rsidR="00043514" w:rsidP="00043514">
      <w:pPr>
        <w:pStyle w:val="BodyText"/>
      </w:pPr>
      <w:r w:rsidRPr="008C7A93">
        <w:t>Non</w:t>
      </w:r>
      <w:r w:rsidRPr="008C7A93">
        <w:noBreakHyphen/>
        <w:t>essential conditions can be found in the Companion Volume Implementation Guide.</w:t>
      </w:r>
    </w:p>
    <w:p w:rsidR="00000000" w:rsidRPr="008C7A93" w:rsidP="008C7A93">
      <w:pPr>
        <w:pStyle w:val="Heading1"/>
      </w:pPr>
      <w:bookmarkStart w:id="9" w:name="O_838623"/>
      <w:bookmarkEnd w:id="9"/>
      <w:r w:rsidRPr="008C7A93">
        <w:t>Unit Mapping Information</w:t>
      </w:r>
    </w:p>
    <w:p w:rsidR="00043514" w:rsidP="00043514">
      <w:pPr>
        <w:pStyle w:val="BodyText"/>
      </w:pPr>
      <w:r w:rsidRPr="008C7A93">
        <w:t>This unit replac</w:t>
      </w:r>
      <w:r w:rsidRPr="008C7A93">
        <w:t>es and is equivalent to TLIX5055A Apply anti-dumping and countervailing measures.</w:t>
      </w:r>
    </w:p>
    <w:p w:rsidR="00000000" w:rsidRPr="008C7A93" w:rsidP="008C7A93">
      <w:pPr>
        <w:pStyle w:val="Heading1"/>
      </w:pPr>
      <w:bookmarkStart w:id="10" w:name="O_838630"/>
      <w:bookmarkEnd w:id="10"/>
      <w:r w:rsidRPr="008C7A93">
        <w:t>Links</w:t>
      </w:r>
    </w:p>
    <w:p w:rsidR="00000000" w:rsidRPr="008C7A93" w:rsidP="00043514">
      <w:pPr>
        <w:pStyle w:val="BodyText"/>
      </w:pPr>
      <w:r w:rsidRPr="008C7A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E333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C7A93" w:rsidP="008C7A93"/>
    <w:sectPr w:rsidSect="008C7A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A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A93" w:rsidRPr="00043514" w:rsidP="000435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A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514" w:rsidP="008C7A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3514" w:rsidP="008C7A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43514" w:rsidP="008C7A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A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5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7A93" w:rsidRPr="00043514" w:rsidP="000435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A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514" w:rsidRPr="002D2AF8" w:rsidP="008C7A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TLIX5055 Apply anti-dumping and countervailing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April 2022</w:t>
    </w:r>
    <w:r>
      <w:fldChar w:fldCharType="end"/>
    </w:r>
  </w:p>
  <w:p w:rsidR="00043514" w:rsidP="008C7A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A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7A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7A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7A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7A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7A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7A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7A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7A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7A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7A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7A93"/>
  </w:style>
  <w:style w:type="character" w:customStyle="1" w:styleId="Heading1Char">
    <w:name w:val="Heading 1 Char"/>
    <w:basedOn w:val="DefaultParagraphFont"/>
    <w:link w:val="Heading1"/>
    <w:rsid w:val="008C7A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7A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7A9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C7A93"/>
    <w:rPr>
      <w:b/>
      <w:spacing w:val="0"/>
    </w:rPr>
  </w:style>
  <w:style w:type="paragraph" w:customStyle="1" w:styleId="SuperHeading">
    <w:name w:val="SuperHeading"/>
    <w:basedOn w:val="Normal"/>
    <w:rsid w:val="008C7A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7A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7A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7A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7A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7A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7A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7A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7A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7A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7A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7A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7A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7A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7A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7A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7A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7A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7A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7A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7A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7A9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C7A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7A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7A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7A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7A9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7A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7A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7A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7A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7A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7A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7A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7A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7A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7A93"/>
    <w:rPr>
      <w:i/>
    </w:rPr>
  </w:style>
  <w:style w:type="paragraph" w:styleId="Caption">
    <w:name w:val="caption"/>
    <w:basedOn w:val="BodyText"/>
    <w:next w:val="Normal"/>
    <w:qFormat/>
    <w:rsid w:val="008C7A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7A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7A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7A93"/>
  </w:style>
  <w:style w:type="paragraph" w:styleId="TableofFigures">
    <w:name w:val="table of figures"/>
    <w:basedOn w:val="Normal"/>
    <w:next w:val="Normal"/>
    <w:semiHidden/>
    <w:rsid w:val="008C7A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7A9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C7A93"/>
    <w:rPr>
      <w:rFonts w:ascii="Wingdings" w:hAnsi="Wingdings"/>
    </w:rPr>
  </w:style>
  <w:style w:type="paragraph" w:customStyle="1" w:styleId="TableHeading">
    <w:name w:val="Table Heading"/>
    <w:basedOn w:val="HeadingBase"/>
    <w:rsid w:val="008C7A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7A93"/>
    <w:rPr>
      <w:color w:val="0033CC"/>
      <w:u w:val="none"/>
    </w:rPr>
  </w:style>
  <w:style w:type="paragraph" w:customStyle="1" w:styleId="BodyTextRight">
    <w:name w:val="Body Text Right"/>
    <w:basedOn w:val="BodyText"/>
    <w:rsid w:val="008C7A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7A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7A9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7A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7A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7A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7A93"/>
    <w:rPr>
      <w:sz w:val="32"/>
    </w:rPr>
  </w:style>
  <w:style w:type="paragraph" w:customStyle="1" w:styleId="HeadingProcedure">
    <w:name w:val="Heading Procedure"/>
    <w:basedOn w:val="HeadingBase"/>
    <w:next w:val="Normal"/>
    <w:rsid w:val="008C7A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7A93"/>
    <w:pPr>
      <w:spacing w:before="60" w:after="60"/>
    </w:pPr>
  </w:style>
  <w:style w:type="paragraph" w:styleId="ListContinue">
    <w:name w:val="List Continue"/>
    <w:basedOn w:val="List"/>
    <w:rsid w:val="008C7A93"/>
    <w:pPr>
      <w:ind w:firstLine="0"/>
    </w:pPr>
  </w:style>
  <w:style w:type="paragraph" w:customStyle="1" w:styleId="ListNote">
    <w:name w:val="List Note"/>
    <w:basedOn w:val="List"/>
    <w:rsid w:val="008C7A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7A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7A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7A93"/>
    <w:rPr>
      <w:rFonts w:ascii="Courier New" w:hAnsi="Courier New"/>
    </w:rPr>
  </w:style>
  <w:style w:type="paragraph" w:customStyle="1" w:styleId="NoteBullet">
    <w:name w:val="Note Bullet"/>
    <w:basedOn w:val="Note"/>
    <w:rsid w:val="008C7A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7A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7A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7A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7A9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C7A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7A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7A93"/>
    <w:rPr>
      <w:b/>
      <w:smallCaps/>
    </w:rPr>
  </w:style>
  <w:style w:type="paragraph" w:customStyle="1" w:styleId="TableListNumber">
    <w:name w:val="Table List Number"/>
    <w:basedOn w:val="ListNumber"/>
    <w:rsid w:val="008C7A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7A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7A93"/>
    <w:pPr>
      <w:numPr>
        <w:numId w:val="7"/>
      </w:numPr>
    </w:pPr>
  </w:style>
  <w:style w:type="paragraph" w:customStyle="1" w:styleId="ListAlpha2">
    <w:name w:val="List Alpha 2"/>
    <w:basedOn w:val="List2"/>
    <w:rsid w:val="008C7A93"/>
    <w:pPr>
      <w:numPr>
        <w:numId w:val="6"/>
      </w:numPr>
    </w:pPr>
  </w:style>
  <w:style w:type="paragraph" w:styleId="List2">
    <w:name w:val="List 2"/>
    <w:basedOn w:val="BodyText"/>
    <w:rsid w:val="008C7A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7A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7A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7A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7A9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7A9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C7A93"/>
    <w:pPr>
      <w:numPr>
        <w:numId w:val="2"/>
      </w:numPr>
    </w:pPr>
  </w:style>
  <w:style w:type="paragraph" w:styleId="ListContinue2">
    <w:name w:val="List Continue 2"/>
    <w:basedOn w:val="List2"/>
    <w:rsid w:val="008C7A93"/>
    <w:pPr>
      <w:ind w:firstLine="0"/>
    </w:pPr>
  </w:style>
  <w:style w:type="paragraph" w:styleId="ListContinue3">
    <w:name w:val="List Continue 3"/>
    <w:basedOn w:val="List3"/>
    <w:rsid w:val="008C7A93"/>
    <w:pPr>
      <w:ind w:left="1021" w:firstLine="0"/>
    </w:pPr>
  </w:style>
  <w:style w:type="paragraph" w:styleId="ListContinue4">
    <w:name w:val="List Continue 4"/>
    <w:basedOn w:val="List4"/>
    <w:rsid w:val="008C7A93"/>
    <w:pPr>
      <w:ind w:firstLine="0"/>
    </w:pPr>
  </w:style>
  <w:style w:type="paragraph" w:styleId="ListContinue5">
    <w:name w:val="List Continue 5"/>
    <w:basedOn w:val="List5"/>
    <w:rsid w:val="008C7A93"/>
    <w:pPr>
      <w:ind w:firstLine="0"/>
    </w:pPr>
  </w:style>
  <w:style w:type="paragraph" w:styleId="ListNumber3">
    <w:name w:val="List Number 3"/>
    <w:basedOn w:val="List3"/>
    <w:rsid w:val="008C7A93"/>
    <w:pPr>
      <w:numPr>
        <w:numId w:val="3"/>
      </w:numPr>
    </w:pPr>
  </w:style>
  <w:style w:type="paragraph" w:styleId="ListNumber4">
    <w:name w:val="List Number 4"/>
    <w:basedOn w:val="List4"/>
    <w:rsid w:val="008C7A93"/>
    <w:pPr>
      <w:numPr>
        <w:numId w:val="4"/>
      </w:numPr>
    </w:pPr>
  </w:style>
  <w:style w:type="paragraph" w:styleId="ListNumber5">
    <w:name w:val="List Number 5"/>
    <w:basedOn w:val="List5"/>
    <w:rsid w:val="008C7A93"/>
    <w:pPr>
      <w:numPr>
        <w:numId w:val="5"/>
      </w:numPr>
    </w:pPr>
  </w:style>
  <w:style w:type="paragraph" w:styleId="BlockText">
    <w:name w:val="Block Text"/>
    <w:basedOn w:val="Normal"/>
    <w:rsid w:val="008C7A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7A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7A93"/>
    <w:rPr>
      <w:sz w:val="16"/>
      <w:vertAlign w:val="superscript"/>
    </w:rPr>
  </w:style>
  <w:style w:type="character" w:customStyle="1" w:styleId="Symbols">
    <w:name w:val="Symbols"/>
    <w:basedOn w:val="DefaultParagraphFont"/>
    <w:rsid w:val="008C7A93"/>
    <w:rPr>
      <w:rFonts w:ascii="Symbol" w:hAnsi="Symbol"/>
    </w:rPr>
  </w:style>
  <w:style w:type="character" w:customStyle="1" w:styleId="MenuOptions">
    <w:name w:val="Menu Options"/>
    <w:basedOn w:val="DefaultParagraphFont"/>
    <w:rsid w:val="008C7A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7A93"/>
    <w:rPr>
      <w:b/>
    </w:rPr>
  </w:style>
  <w:style w:type="character" w:customStyle="1" w:styleId="Underlined">
    <w:name w:val="Underlined"/>
    <w:basedOn w:val="DefaultParagraphFont"/>
    <w:rsid w:val="008C7A93"/>
    <w:rPr>
      <w:u w:val="single"/>
    </w:rPr>
  </w:style>
  <w:style w:type="paragraph" w:customStyle="1" w:styleId="TableBodyTextRight">
    <w:name w:val="Table Body Text Right"/>
    <w:basedOn w:val="TableBodyText"/>
    <w:rsid w:val="008C7A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7A93"/>
    <w:rPr>
      <w:sz w:val="18"/>
    </w:rPr>
  </w:style>
  <w:style w:type="paragraph" w:customStyle="1" w:styleId="BodySmallRight">
    <w:name w:val="Body Small Right"/>
    <w:basedOn w:val="BodyTextRight"/>
    <w:rsid w:val="008C7A93"/>
    <w:rPr>
      <w:sz w:val="18"/>
      <w:szCs w:val="18"/>
    </w:rPr>
  </w:style>
  <w:style w:type="paragraph" w:customStyle="1" w:styleId="MarginEdition">
    <w:name w:val="Margin Edition"/>
    <w:basedOn w:val="MarginNote"/>
    <w:rsid w:val="008C7A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7A93"/>
    <w:rPr>
      <w:sz w:val="2"/>
      <w:szCs w:val="2"/>
    </w:rPr>
  </w:style>
  <w:style w:type="character" w:customStyle="1" w:styleId="Small">
    <w:name w:val="Small"/>
    <w:basedOn w:val="DefaultParagraphFont"/>
    <w:rsid w:val="008C7A93"/>
    <w:rPr>
      <w:sz w:val="16"/>
    </w:rPr>
  </w:style>
  <w:style w:type="paragraph" w:customStyle="1" w:styleId="WideTable">
    <w:name w:val="Wide Table"/>
    <w:basedOn w:val="Normal"/>
    <w:rsid w:val="008C7A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7A93"/>
  </w:style>
  <w:style w:type="paragraph" w:styleId="Quote">
    <w:name w:val="Quote"/>
    <w:basedOn w:val="Heading1"/>
    <w:link w:val="QuoteChar"/>
    <w:qFormat/>
    <w:rsid w:val="008C7A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7A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7A93"/>
    <w:pPr>
      <w:pageBreakBefore/>
    </w:pPr>
  </w:style>
  <w:style w:type="paragraph" w:customStyle="1" w:styleId="Border">
    <w:name w:val="Border"/>
    <w:basedOn w:val="Normal"/>
    <w:qFormat/>
    <w:rsid w:val="008C7A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7A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A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A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7A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7A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7A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7A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7A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7A93"/>
    <w:rPr>
      <w:u w:val="single"/>
    </w:rPr>
  </w:style>
  <w:style w:type="character" w:customStyle="1" w:styleId="BoldandItalics">
    <w:name w:val="Bold and Italics"/>
    <w:qFormat/>
    <w:rsid w:val="008C7A93"/>
    <w:rPr>
      <w:b/>
      <w:i/>
      <w:u w:val="none"/>
    </w:rPr>
  </w:style>
  <w:style w:type="paragraph" w:styleId="BalloonText">
    <w:name w:val="Balloon Text"/>
    <w:basedOn w:val="Normal"/>
    <w:link w:val="BalloonTextChar"/>
    <w:rsid w:val="008C7A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7A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7A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7A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7A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7A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7A93"/>
    <w:pPr>
      <w:spacing w:before="0" w:after="0"/>
    </w:pPr>
  </w:style>
  <w:style w:type="paragraph" w:customStyle="1" w:styleId="BodyTextBold">
    <w:name w:val="Body Text Bold"/>
    <w:basedOn w:val="BodyText"/>
    <w:qFormat/>
    <w:rsid w:val="008C7A93"/>
    <w:rPr>
      <w:b/>
    </w:rPr>
  </w:style>
  <w:style w:type="character" w:styleId="Hyperlink">
    <w:name w:val="Hyperlink"/>
    <w:basedOn w:val="DefaultParagraphFont"/>
    <w:uiPriority w:val="99"/>
    <w:unhideWhenUsed/>
    <w:rsid w:val="000435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2944</Characters>
  <Application>Microsoft Office Word</Application>
  <DocSecurity>0</DocSecurity>
  <Lines>147</Lines>
  <Paragraphs>82</Paragraphs>
  <ScaleCrop>false</ScaleCrop>
  <Company>Author-it Software Corporation Ltd.</Company>
  <LinksUpToDate>false</LinksUpToDate>
  <CharactersWithSpaces>3321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TLIX5055 Apply anti-dumping and countervailing measures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2022-04-07T07:12:00Z</dcterms:created>
  <dcterms:modified xsi:type="dcterms:W3CDTF">2022-04-07T07:12:00Z</dcterms:modified>
</cp:coreProperties>
</file>