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CBA" w:rsidP="00952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TLIX5054 Comply with biosecurity border clearance</w:t>
      </w:r>
      <w:r>
        <w:fldChar w:fldCharType="end"/>
      </w:r>
    </w:p>
    <w:p w:rsidR="00952CBA" w:rsidP="00952CBA">
      <w:pPr>
        <w:pStyle w:val="Version"/>
        <w:sectPr w:rsidSect="00AE55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5FE" w:rsidP="00AE55FE">
      <w:pPr>
        <w:pStyle w:val="SuperHeading"/>
      </w:pPr>
      <w:r w:rsidRPr="00AE55FE">
        <w:t>TLIX5054 Comply with biosecurity border clearance</w:t>
      </w:r>
    </w:p>
    <w:p w:rsidR="00000000" w:rsidRPr="00AE55FE" w:rsidP="00AE55FE">
      <w:pPr>
        <w:pStyle w:val="Heading1"/>
      </w:pPr>
      <w:bookmarkStart w:id="1" w:name="O_838596"/>
      <w:bookmarkEnd w:id="1"/>
      <w:r w:rsidRPr="00AE55FE">
        <w:t>Modification History</w:t>
      </w:r>
    </w:p>
    <w:p w:rsidR="00952CBA" w:rsidP="00952CBA">
      <w:pPr>
        <w:pStyle w:val="BodyText"/>
      </w:pPr>
      <w:r w:rsidRPr="00AE55FE">
        <w:t>Release 1. This is the first release of this unit of competency in the TLI Transport and Logistics Training Package.</w:t>
      </w:r>
    </w:p>
    <w:p w:rsidR="00000000" w:rsidRPr="00AE55FE" w:rsidP="00AE55FE">
      <w:pPr>
        <w:pStyle w:val="Heading1"/>
      </w:pPr>
      <w:bookmarkStart w:id="2" w:name="O_838597"/>
      <w:bookmarkEnd w:id="2"/>
      <w:r w:rsidRPr="00AE55F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FE" w:rsidP="00AE55FE">
            <w:pPr>
              <w:pStyle w:val="BodyText"/>
            </w:pPr>
            <w:r w:rsidRPr="00AE55FE">
              <w:t>This unit involves the skills and knowledge required to assess documentation for</w:t>
            </w:r>
            <w:r w:rsidRPr="00AE55FE">
              <w:t xml:space="preserve"> compliance with biosecurity border clearance in accordance with legislation, regulatory requirements and workplace requirements.</w:t>
            </w:r>
          </w:p>
          <w:p w:rsidR="00000000" w:rsidRPr="00AE55FE" w:rsidP="00AE55FE">
            <w:pPr>
              <w:pStyle w:val="BodyText"/>
            </w:pPr>
            <w:r w:rsidRPr="00AE55FE">
              <w:t xml:space="preserve">This unit applies to individuals assessing documentation for compliance with biosecurity border clearance. Work is undertaken </w:t>
            </w:r>
            <w:r w:rsidRPr="00AE55FE">
              <w:t>in a range of environments including small to large worksites in the custom broking and international freight forwarding industries.</w:t>
            </w:r>
          </w:p>
          <w:p w:rsidR="00000000" w:rsidRPr="00AE55FE" w:rsidP="00AE55FE">
            <w:pPr>
              <w:pStyle w:val="BodyText"/>
            </w:pPr>
            <w:r w:rsidRPr="00AE55FE">
              <w:t>No licensing, legislative or certification requirements apply to this unit at the time of publication.</w:t>
            </w:r>
          </w:p>
        </w:tc>
      </w:tr>
    </w:tbl>
    <w:p w:rsidR="00952CBA" w:rsidP="00AE55FE">
      <w:pPr>
        <w:pStyle w:val="BodyText"/>
      </w:pPr>
    </w:p>
    <w:p w:rsidR="00952CBA" w:rsidP="00AE55FE">
      <w:pPr>
        <w:pStyle w:val="BodyText"/>
      </w:pPr>
    </w:p>
    <w:p w:rsidR="00000000" w:rsidRPr="00AE55FE" w:rsidP="00AE55FE">
      <w:pPr>
        <w:pStyle w:val="Heading1"/>
      </w:pPr>
      <w:bookmarkStart w:id="3" w:name="O_838598"/>
      <w:bookmarkEnd w:id="3"/>
      <w:r w:rsidRPr="00AE55FE">
        <w:t>Pre-requisite Unit</w:t>
      </w:r>
    </w:p>
    <w:p w:rsidR="00952CBA" w:rsidP="00952CBA">
      <w:pPr>
        <w:pStyle w:val="BodyText"/>
      </w:pPr>
      <w:r w:rsidRPr="00AE55FE">
        <w:t>Not applicable.</w:t>
      </w:r>
    </w:p>
    <w:p w:rsidR="00000000" w:rsidRPr="00AE55FE" w:rsidP="00AE55FE">
      <w:pPr>
        <w:pStyle w:val="Heading1"/>
      </w:pPr>
      <w:bookmarkStart w:id="4" w:name="O_838599"/>
      <w:bookmarkEnd w:id="4"/>
      <w:r w:rsidRPr="00AE55FE">
        <w:t>Competency Field</w:t>
      </w:r>
    </w:p>
    <w:p w:rsidR="00952CBA" w:rsidP="00952CBA">
      <w:pPr>
        <w:pStyle w:val="BodyText"/>
      </w:pPr>
      <w:r w:rsidRPr="00AE55FE">
        <w:t>X – Logistics</w:t>
      </w:r>
    </w:p>
    <w:p w:rsidR="00000000" w:rsidRPr="00AE55FE" w:rsidP="00AE55FE">
      <w:pPr>
        <w:pStyle w:val="Heading1"/>
      </w:pPr>
      <w:bookmarkStart w:id="5" w:name="O_838600"/>
      <w:bookmarkEnd w:id="5"/>
      <w:r w:rsidRPr="00AE55FE">
        <w:t>Unit Sector</w:t>
      </w:r>
    </w:p>
    <w:p w:rsidR="00952CBA" w:rsidP="00952CBA">
      <w:pPr>
        <w:pStyle w:val="BodyText"/>
      </w:pPr>
      <w:r w:rsidRPr="00AE55FE">
        <w:t>Not applicable.</w:t>
      </w:r>
    </w:p>
    <w:p w:rsidR="00000000" w:rsidRPr="00AE55FE" w:rsidP="00AE55FE">
      <w:pPr>
        <w:pStyle w:val="Heading1"/>
      </w:pPr>
      <w:bookmarkStart w:id="6" w:name="O_838601"/>
      <w:bookmarkEnd w:id="6"/>
      <w:r w:rsidRPr="00AE55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0"/>
        <w:gridCol w:w="2028"/>
        <w:gridCol w:w="1"/>
        <w:gridCol w:w="632"/>
        <w:gridCol w:w="6155"/>
      </w:tblGrid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FE" w:rsidP="00AE55FE">
            <w:pPr>
              <w:pStyle w:val="BodyText"/>
            </w:pPr>
            <w:r w:rsidRPr="00AE55F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rPr>
                <w:rStyle w:val="SpecialBold"/>
              </w:rPr>
              <w:t>PERFORMANCE CRITERIA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Performance criteria describe the performance needed to demonstrate achievement of the element.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FE" w:rsidP="00AE55FE">
            <w:pPr>
              <w:pStyle w:val="BodyText"/>
            </w:pPr>
            <w:r w:rsidRPr="00AE55F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rPr>
                <w:rStyle w:val="SpecialBold"/>
              </w:rPr>
              <w:t xml:space="preserve">Comply with </w:t>
            </w:r>
            <w:r w:rsidRPr="00AE55FE">
              <w:rPr>
                <w:rStyle w:val="SpecialBold"/>
              </w:rPr>
              <w:t>non</w:t>
            </w:r>
            <w:r w:rsidRPr="00AE55FE">
              <w:rPr>
                <w:rStyle w:val="SpecialBold"/>
              </w:rPr>
              <w:noBreakHyphen/>
              <w:t>commodity documentation requirements and declarations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Documentation for compliance with non</w:t>
            </w:r>
            <w:r w:rsidRPr="00AE55FE">
              <w:noBreakHyphen/>
              <w:t xml:space="preserve">commodity concerns related </w:t>
            </w:r>
            <w:r w:rsidRPr="00AE55FE">
              <w:t>to cargo type i</w:t>
            </w:r>
            <w:r w:rsidRPr="00AE55FE">
              <w:t>s assessed in accordance with the Non commodity for Containerised Cargo Clearance (NCCC) Scheme Processes and Outcomes Document (POD) and non</w:t>
            </w:r>
            <w:r w:rsidRPr="00AE55FE">
              <w:noBreakHyphen/>
              <w:t>commodity information requirements policy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Documentation for compliance with non</w:t>
            </w:r>
            <w:r w:rsidRPr="00AE55FE">
              <w:noBreakHyphen/>
            </w:r>
            <w:r w:rsidRPr="00AE55FE">
              <w:t>commodity concern statements is assessed in accordance with NCCC POD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Treatment certificates are assessed for compliance with treatment certificate requirements for solid timber packaging or dunnage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Documentation to determine delivery location</w:t>
            </w:r>
            <w:r w:rsidRPr="00AE55FE">
              <w:t xml:space="preserve"> category is assessed in accordance with NCCC POD and non</w:t>
            </w:r>
            <w:r w:rsidRPr="00AE55FE">
              <w:noBreakHyphen/>
              <w:t>commodity information requirements policy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Correct answers for non</w:t>
            </w:r>
            <w:r w:rsidRPr="00AE55FE">
              <w:noBreakHyphen/>
              <w:t>commodity declaration are determined when lodging full import declaration in accordance with NCCC POD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Correct answers for non</w:t>
            </w:r>
            <w:r w:rsidRPr="00AE55FE">
              <w:noBreakHyphen/>
              <w:t>commodity declaration when lodging full import declaration are assessed in accordance with NCCC POD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Relevant records are maintained in accordance with regulatory requirements and workplace procedures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FE" w:rsidP="00AE55FE">
            <w:pPr>
              <w:pStyle w:val="BodyText"/>
            </w:pPr>
            <w:r w:rsidRPr="00AE55F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rPr>
                <w:rStyle w:val="SpecialBold"/>
              </w:rPr>
              <w:t xml:space="preserve">Comply with commodity </w:t>
            </w:r>
            <w:r w:rsidRPr="00AE55FE">
              <w:rPr>
                <w:rStyle w:val="SpecialBold"/>
              </w:rPr>
              <w:t>documentation requirements and declarations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Documentation for commodities is assessed within scope of arrangement in accordance with the Automatic Entry Processing for Commodities (AEPCOMM) POD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Commodity related documentation is assessed for compliance with commodity concerns in accordance with the AEPCOMM POD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Correct commodity code and premises identifier (ID) are determined for automatic entry processing for commodity as appropriate in a</w:t>
            </w:r>
            <w:r w:rsidRPr="00AE55FE">
              <w:t>ccordance with the AEPCOMM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Relevant records are maintained in accordance with regulatory requirements and workplace procedures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FE" w:rsidP="00AE55FE">
            <w:pPr>
              <w:pStyle w:val="BodyText"/>
            </w:pPr>
            <w:r w:rsidRPr="00AE55F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rPr>
                <w:rStyle w:val="SpecialBold"/>
              </w:rPr>
              <w:t>Comply with minimum document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Documentation is assessed for compliance with overarching requirements in accordance with minimum documentary and import declaration requirements policy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Documentation is assessed for compliance with format requirements in accordance with minimum doc</w:t>
            </w:r>
            <w:r w:rsidRPr="00AE55FE">
              <w:t>umentary and import declaration requirements policy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Consignment specific documentation is assessed for compliance with relevant requirements (such as transport documentation or government certification) in accordance with minimum documentary and imp</w:t>
            </w:r>
            <w:r w:rsidRPr="00AE55FE">
              <w:t xml:space="preserve">ort </w:t>
            </w:r>
            <w:r w:rsidRPr="00AE55FE">
              <w:t>declaration requirements policy</w:t>
            </w:r>
          </w:p>
        </w:tc>
      </w:tr>
      <w:tr w:rsidTr="0095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FE">
            <w:pPr>
              <w:pStyle w:val="BodyText"/>
              <w:rPr>
                <w:lang w:val="en-NZ"/>
              </w:rPr>
            </w:pPr>
            <w:r w:rsidRPr="00AE55F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FE" w:rsidP="00AE55FE">
            <w:pPr>
              <w:pStyle w:val="BodyText"/>
            </w:pPr>
            <w:r w:rsidRPr="00AE55FE">
              <w:t>Relevant records are maintained in accordance with regulatory requirements and workplace procedures</w:t>
            </w:r>
          </w:p>
        </w:tc>
      </w:tr>
    </w:tbl>
    <w:p w:rsidR="00952CBA" w:rsidP="00AE55FE">
      <w:pPr>
        <w:pStyle w:val="BodyText"/>
      </w:pPr>
    </w:p>
    <w:p w:rsidR="00952CBA" w:rsidP="00AE55FE">
      <w:pPr>
        <w:pStyle w:val="BodyText"/>
      </w:pPr>
    </w:p>
    <w:p w:rsidR="00000000" w:rsidRPr="00AE55FE" w:rsidP="00AE55FE">
      <w:pPr>
        <w:pStyle w:val="Heading1"/>
      </w:pPr>
      <w:bookmarkStart w:id="7" w:name="O_838602"/>
      <w:bookmarkEnd w:id="7"/>
      <w:r w:rsidRPr="00AE55FE">
        <w:t>Foundation Skills</w:t>
      </w:r>
    </w:p>
    <w:p w:rsidR="00952CBA" w:rsidP="00952CBA">
      <w:pPr>
        <w:pStyle w:val="BodyText"/>
      </w:pPr>
      <w:r w:rsidRPr="00AE55FE">
        <w:t>Foundation skills essential to performance are explicit in the performance criteria of this unit of competency.</w:t>
      </w:r>
    </w:p>
    <w:p w:rsidR="00000000" w:rsidRPr="00AE55FE" w:rsidP="00AE55FE">
      <w:pPr>
        <w:pStyle w:val="Heading1"/>
      </w:pPr>
      <w:bookmarkStart w:id="8" w:name="O_838603"/>
      <w:bookmarkEnd w:id="8"/>
      <w:r w:rsidRPr="00AE55FE">
        <w:t>Range of Conditions</w:t>
      </w:r>
    </w:p>
    <w:p w:rsidR="00000000" w:rsidRPr="00AE55FE" w:rsidP="00952CBA">
      <w:pPr>
        <w:pStyle w:val="BodyText"/>
      </w:pPr>
      <w:r w:rsidRPr="00AE55FE">
        <w:t>Range is restricted to essential operating conditions and any other variables essential to the work enviro</w:t>
      </w:r>
      <w:r w:rsidRPr="00AE55FE">
        <w:t>nment.</w:t>
      </w:r>
    </w:p>
    <w:p w:rsidR="00952CBA" w:rsidP="00952CBA">
      <w:pPr>
        <w:pStyle w:val="BodyText"/>
      </w:pPr>
      <w:r w:rsidRPr="00AE55FE">
        <w:t>Non</w:t>
      </w:r>
      <w:r w:rsidRPr="00AE55FE">
        <w:noBreakHyphen/>
        <w:t>essential conditions can be found in the Companion Volume Implementation Guide.</w:t>
      </w:r>
    </w:p>
    <w:p w:rsidR="00000000" w:rsidRPr="00AE55FE" w:rsidP="00AE55FE">
      <w:pPr>
        <w:pStyle w:val="Heading1"/>
      </w:pPr>
      <w:bookmarkStart w:id="9" w:name="O_838604"/>
      <w:bookmarkEnd w:id="9"/>
      <w:r w:rsidRPr="00AE55FE">
        <w:t>Unit Mapping Information</w:t>
      </w:r>
    </w:p>
    <w:p w:rsidR="00952CBA" w:rsidP="00952CBA">
      <w:pPr>
        <w:pStyle w:val="BodyText"/>
      </w:pPr>
      <w:r w:rsidRPr="00AE55FE">
        <w:t>This unit replaces and is equivalent to TLIX5054A Comply with biosecurity border clearance.</w:t>
      </w:r>
    </w:p>
    <w:p w:rsidR="00000000" w:rsidRPr="00AE55FE" w:rsidP="00AE55FE">
      <w:pPr>
        <w:pStyle w:val="Heading1"/>
      </w:pPr>
      <w:bookmarkStart w:id="10" w:name="O_838611"/>
      <w:bookmarkEnd w:id="10"/>
      <w:r w:rsidRPr="00AE55FE">
        <w:t>Links</w:t>
      </w:r>
    </w:p>
    <w:p w:rsidR="00000000" w:rsidRPr="00AE55FE" w:rsidP="00952CBA">
      <w:pPr>
        <w:pStyle w:val="BodyText"/>
      </w:pPr>
      <w:r w:rsidRPr="00AE55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E4348E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AE55FE" w:rsidP="00AE55FE"/>
    <w:sectPr w:rsidSect="00AE55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FE" w:rsidRPr="00952CBA" w:rsidP="00952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BA" w:rsidP="00AE5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CBA" w:rsidP="00AE5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2CBA" w:rsidP="00AE55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5FE" w:rsidRPr="00952CBA" w:rsidP="00952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BA" w:rsidRPr="002D2AF8" w:rsidP="00AE5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TLIX5054 Comply with biosecurity border clearance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952CBA" w:rsidP="00AE55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5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5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5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5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5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5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5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5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5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5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5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5FE"/>
  </w:style>
  <w:style w:type="character" w:customStyle="1" w:styleId="Heading1Char">
    <w:name w:val="Heading 1 Char"/>
    <w:basedOn w:val="DefaultParagraphFont"/>
    <w:link w:val="Heading1"/>
    <w:rsid w:val="00AE55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5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5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55FE"/>
    <w:rPr>
      <w:b/>
      <w:spacing w:val="0"/>
    </w:rPr>
  </w:style>
  <w:style w:type="paragraph" w:customStyle="1" w:styleId="SuperHeading">
    <w:name w:val="SuperHeading"/>
    <w:basedOn w:val="Normal"/>
    <w:rsid w:val="00AE55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5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5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5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5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5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5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5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5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5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5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5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5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5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5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5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5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55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55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5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5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5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5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5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5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5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5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5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5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5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5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5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5FE"/>
    <w:rPr>
      <w:i/>
    </w:rPr>
  </w:style>
  <w:style w:type="paragraph" w:styleId="Caption">
    <w:name w:val="caption"/>
    <w:basedOn w:val="BodyText"/>
    <w:next w:val="Normal"/>
    <w:qFormat/>
    <w:rsid w:val="00AE55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5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5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5FE"/>
  </w:style>
  <w:style w:type="paragraph" w:styleId="TableofFigures">
    <w:name w:val="table of figures"/>
    <w:basedOn w:val="Normal"/>
    <w:next w:val="Normal"/>
    <w:semiHidden/>
    <w:rsid w:val="00AE55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5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55FE"/>
    <w:rPr>
      <w:rFonts w:ascii="Wingdings" w:hAnsi="Wingdings"/>
    </w:rPr>
  </w:style>
  <w:style w:type="paragraph" w:customStyle="1" w:styleId="TableHeading">
    <w:name w:val="Table Heading"/>
    <w:basedOn w:val="HeadingBase"/>
    <w:rsid w:val="00AE55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5FE"/>
    <w:rPr>
      <w:color w:val="0033CC"/>
      <w:u w:val="none"/>
    </w:rPr>
  </w:style>
  <w:style w:type="paragraph" w:customStyle="1" w:styleId="BodyTextRight">
    <w:name w:val="Body Text Right"/>
    <w:basedOn w:val="BodyText"/>
    <w:rsid w:val="00AE55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5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5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5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5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5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5FE"/>
    <w:rPr>
      <w:sz w:val="32"/>
    </w:rPr>
  </w:style>
  <w:style w:type="paragraph" w:customStyle="1" w:styleId="HeadingProcedure">
    <w:name w:val="Heading Procedure"/>
    <w:basedOn w:val="HeadingBase"/>
    <w:next w:val="Normal"/>
    <w:rsid w:val="00AE55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5FE"/>
    <w:pPr>
      <w:spacing w:before="60" w:after="60"/>
    </w:pPr>
  </w:style>
  <w:style w:type="paragraph" w:styleId="ListContinue">
    <w:name w:val="List Continue"/>
    <w:basedOn w:val="List"/>
    <w:rsid w:val="00AE55FE"/>
    <w:pPr>
      <w:ind w:firstLine="0"/>
    </w:pPr>
  </w:style>
  <w:style w:type="paragraph" w:customStyle="1" w:styleId="ListNote">
    <w:name w:val="List Note"/>
    <w:basedOn w:val="List"/>
    <w:rsid w:val="00AE55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5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5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5FE"/>
    <w:rPr>
      <w:rFonts w:ascii="Courier New" w:hAnsi="Courier New"/>
    </w:rPr>
  </w:style>
  <w:style w:type="paragraph" w:customStyle="1" w:styleId="NoteBullet">
    <w:name w:val="Note Bullet"/>
    <w:basedOn w:val="Note"/>
    <w:rsid w:val="00AE55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5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5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5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5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55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5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5FE"/>
    <w:rPr>
      <w:b/>
      <w:smallCaps/>
    </w:rPr>
  </w:style>
  <w:style w:type="paragraph" w:customStyle="1" w:styleId="TableListNumber">
    <w:name w:val="Table List Number"/>
    <w:basedOn w:val="ListNumber"/>
    <w:rsid w:val="00AE55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5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5FE"/>
    <w:pPr>
      <w:numPr>
        <w:numId w:val="7"/>
      </w:numPr>
    </w:pPr>
  </w:style>
  <w:style w:type="paragraph" w:customStyle="1" w:styleId="ListAlpha2">
    <w:name w:val="List Alpha 2"/>
    <w:basedOn w:val="List2"/>
    <w:rsid w:val="00AE55FE"/>
    <w:pPr>
      <w:numPr>
        <w:numId w:val="6"/>
      </w:numPr>
    </w:pPr>
  </w:style>
  <w:style w:type="paragraph" w:styleId="List2">
    <w:name w:val="List 2"/>
    <w:basedOn w:val="BodyText"/>
    <w:rsid w:val="00AE55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5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5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5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5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5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55FE"/>
    <w:pPr>
      <w:numPr>
        <w:numId w:val="2"/>
      </w:numPr>
    </w:pPr>
  </w:style>
  <w:style w:type="paragraph" w:styleId="ListContinue2">
    <w:name w:val="List Continue 2"/>
    <w:basedOn w:val="List2"/>
    <w:rsid w:val="00AE55FE"/>
    <w:pPr>
      <w:ind w:firstLine="0"/>
    </w:pPr>
  </w:style>
  <w:style w:type="paragraph" w:styleId="ListContinue3">
    <w:name w:val="List Continue 3"/>
    <w:basedOn w:val="List3"/>
    <w:rsid w:val="00AE55FE"/>
    <w:pPr>
      <w:ind w:left="1021" w:firstLine="0"/>
    </w:pPr>
  </w:style>
  <w:style w:type="paragraph" w:styleId="ListContinue4">
    <w:name w:val="List Continue 4"/>
    <w:basedOn w:val="List4"/>
    <w:rsid w:val="00AE55FE"/>
    <w:pPr>
      <w:ind w:firstLine="0"/>
    </w:pPr>
  </w:style>
  <w:style w:type="paragraph" w:styleId="ListContinue5">
    <w:name w:val="List Continue 5"/>
    <w:basedOn w:val="List5"/>
    <w:rsid w:val="00AE55FE"/>
    <w:pPr>
      <w:ind w:firstLine="0"/>
    </w:pPr>
  </w:style>
  <w:style w:type="paragraph" w:styleId="ListNumber3">
    <w:name w:val="List Number 3"/>
    <w:basedOn w:val="List3"/>
    <w:rsid w:val="00AE55FE"/>
    <w:pPr>
      <w:numPr>
        <w:numId w:val="3"/>
      </w:numPr>
    </w:pPr>
  </w:style>
  <w:style w:type="paragraph" w:styleId="ListNumber4">
    <w:name w:val="List Number 4"/>
    <w:basedOn w:val="List4"/>
    <w:rsid w:val="00AE55FE"/>
    <w:pPr>
      <w:numPr>
        <w:numId w:val="4"/>
      </w:numPr>
    </w:pPr>
  </w:style>
  <w:style w:type="paragraph" w:styleId="ListNumber5">
    <w:name w:val="List Number 5"/>
    <w:basedOn w:val="List5"/>
    <w:rsid w:val="00AE55FE"/>
    <w:pPr>
      <w:numPr>
        <w:numId w:val="5"/>
      </w:numPr>
    </w:pPr>
  </w:style>
  <w:style w:type="paragraph" w:styleId="BlockText">
    <w:name w:val="Block Text"/>
    <w:basedOn w:val="Normal"/>
    <w:rsid w:val="00AE55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5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5FE"/>
    <w:rPr>
      <w:sz w:val="16"/>
      <w:vertAlign w:val="superscript"/>
    </w:rPr>
  </w:style>
  <w:style w:type="character" w:customStyle="1" w:styleId="Symbols">
    <w:name w:val="Symbols"/>
    <w:basedOn w:val="DefaultParagraphFont"/>
    <w:rsid w:val="00AE55FE"/>
    <w:rPr>
      <w:rFonts w:ascii="Symbol" w:hAnsi="Symbol"/>
    </w:rPr>
  </w:style>
  <w:style w:type="character" w:customStyle="1" w:styleId="MenuOptions">
    <w:name w:val="Menu Options"/>
    <w:basedOn w:val="DefaultParagraphFont"/>
    <w:rsid w:val="00AE55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5FE"/>
    <w:rPr>
      <w:b/>
    </w:rPr>
  </w:style>
  <w:style w:type="character" w:customStyle="1" w:styleId="Underlined">
    <w:name w:val="Underlined"/>
    <w:basedOn w:val="DefaultParagraphFont"/>
    <w:rsid w:val="00AE55FE"/>
    <w:rPr>
      <w:u w:val="single"/>
    </w:rPr>
  </w:style>
  <w:style w:type="paragraph" w:customStyle="1" w:styleId="TableBodyTextRight">
    <w:name w:val="Table Body Text Right"/>
    <w:basedOn w:val="TableBodyText"/>
    <w:rsid w:val="00AE55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5FE"/>
    <w:rPr>
      <w:sz w:val="18"/>
    </w:rPr>
  </w:style>
  <w:style w:type="paragraph" w:customStyle="1" w:styleId="BodySmallRight">
    <w:name w:val="Body Small Right"/>
    <w:basedOn w:val="BodyTextRight"/>
    <w:rsid w:val="00AE55FE"/>
    <w:rPr>
      <w:sz w:val="18"/>
      <w:szCs w:val="18"/>
    </w:rPr>
  </w:style>
  <w:style w:type="paragraph" w:customStyle="1" w:styleId="MarginEdition">
    <w:name w:val="Margin Edition"/>
    <w:basedOn w:val="MarginNote"/>
    <w:rsid w:val="00AE55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5FE"/>
    <w:rPr>
      <w:sz w:val="2"/>
      <w:szCs w:val="2"/>
    </w:rPr>
  </w:style>
  <w:style w:type="character" w:customStyle="1" w:styleId="Small">
    <w:name w:val="Small"/>
    <w:basedOn w:val="DefaultParagraphFont"/>
    <w:rsid w:val="00AE55FE"/>
    <w:rPr>
      <w:sz w:val="16"/>
    </w:rPr>
  </w:style>
  <w:style w:type="paragraph" w:customStyle="1" w:styleId="WideTable">
    <w:name w:val="Wide Table"/>
    <w:basedOn w:val="Normal"/>
    <w:rsid w:val="00AE55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5FE"/>
  </w:style>
  <w:style w:type="paragraph" w:styleId="Quote">
    <w:name w:val="Quote"/>
    <w:basedOn w:val="Heading1"/>
    <w:link w:val="QuoteChar"/>
    <w:qFormat/>
    <w:rsid w:val="00AE55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5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5FE"/>
    <w:pPr>
      <w:pageBreakBefore/>
    </w:pPr>
  </w:style>
  <w:style w:type="paragraph" w:customStyle="1" w:styleId="Border">
    <w:name w:val="Border"/>
    <w:basedOn w:val="Normal"/>
    <w:qFormat/>
    <w:rsid w:val="00AE55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5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5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5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5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5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5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5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5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5FE"/>
    <w:rPr>
      <w:u w:val="single"/>
    </w:rPr>
  </w:style>
  <w:style w:type="character" w:customStyle="1" w:styleId="BoldandItalics">
    <w:name w:val="Bold and Italics"/>
    <w:qFormat/>
    <w:rsid w:val="00AE55FE"/>
    <w:rPr>
      <w:b/>
      <w:i/>
      <w:u w:val="none"/>
    </w:rPr>
  </w:style>
  <w:style w:type="paragraph" w:styleId="BalloonText">
    <w:name w:val="Balloon Text"/>
    <w:basedOn w:val="Normal"/>
    <w:link w:val="BalloonTextChar"/>
    <w:rsid w:val="00AE55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5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5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5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5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5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5FE"/>
    <w:pPr>
      <w:spacing w:before="0" w:after="0"/>
    </w:pPr>
  </w:style>
  <w:style w:type="paragraph" w:customStyle="1" w:styleId="BodyTextBold">
    <w:name w:val="Body Text Bold"/>
    <w:basedOn w:val="BodyText"/>
    <w:qFormat/>
    <w:rsid w:val="00AE55FE"/>
    <w:rPr>
      <w:b/>
    </w:rPr>
  </w:style>
  <w:style w:type="character" w:styleId="Hyperlink">
    <w:name w:val="Hyperlink"/>
    <w:basedOn w:val="DefaultParagraphFont"/>
    <w:uiPriority w:val="99"/>
    <w:unhideWhenUsed/>
    <w:rsid w:val="00952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3817</Characters>
  <Application>Microsoft Office Word</Application>
  <DocSecurity>0</DocSecurity>
  <Lines>159</Lines>
  <Paragraphs>78</Paragraphs>
  <ScaleCrop>false</ScaleCrop>
  <Company>Author-it Software Corporation Ltd.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TLIX5054 Comply with biosecurity border clearance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2019-09-27T01:12:00Z</dcterms:created>
  <dcterms:modified xsi:type="dcterms:W3CDTF">2019-09-27T01:12:00Z</dcterms:modified>
</cp:coreProperties>
</file>