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4D37" w:rsidP="000E4D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TLIX5054 Comply with biosecurity border clearance</w:t>
      </w:r>
      <w:r>
        <w:fldChar w:fldCharType="end"/>
      </w:r>
    </w:p>
    <w:p w:rsidR="000E4D37" w:rsidP="000E4D37">
      <w:pPr>
        <w:pStyle w:val="Version"/>
        <w:sectPr w:rsidSect="006606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066B" w:rsidP="0066066B">
      <w:pPr>
        <w:pStyle w:val="SuperHeading"/>
      </w:pPr>
      <w:r w:rsidRPr="0066066B">
        <w:t>TLIX5054 Comply with biosecurity border clearance</w:t>
      </w:r>
    </w:p>
    <w:p w:rsidR="00000000" w:rsidRPr="0066066B" w:rsidP="0066066B">
      <w:pPr>
        <w:pStyle w:val="Heading1"/>
      </w:pPr>
      <w:bookmarkStart w:id="1" w:name="O_838596"/>
      <w:bookmarkEnd w:id="1"/>
      <w:r w:rsidRPr="0066066B">
        <w:t>Modification History</w:t>
      </w:r>
    </w:p>
    <w:p w:rsidR="000E4D37" w:rsidP="000E4D37">
      <w:pPr>
        <w:pStyle w:val="BodyText"/>
      </w:pPr>
      <w:r w:rsidRPr="0066066B">
        <w:t>Release 1. This is the first release of this unit of competency in the TLI Transport and Logistics Training Package.</w:t>
      </w:r>
    </w:p>
    <w:p w:rsidR="00000000" w:rsidRPr="0066066B" w:rsidP="0066066B">
      <w:pPr>
        <w:pStyle w:val="Heading1"/>
      </w:pPr>
      <w:bookmarkStart w:id="2" w:name="O_838597"/>
      <w:bookmarkEnd w:id="2"/>
      <w:r w:rsidRPr="0066066B">
        <w:t>Application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BodyText"/>
            </w:pPr>
            <w:r w:rsidRPr="0066066B">
              <w:t>This unit involves the skills and knowledge required to assess documentation for</w:t>
            </w:r>
            <w:r w:rsidRPr="0066066B">
              <w:t xml:space="preserve"> compliance with biosecurity border clearance in accordance with legislation, regulatory requirements and workplace requirements.</w:t>
            </w:r>
          </w:p>
          <w:p w:rsidR="00000000" w:rsidRPr="0066066B" w:rsidP="0066066B">
            <w:pPr>
              <w:pStyle w:val="BodyText"/>
            </w:pPr>
            <w:r w:rsidRPr="0066066B">
              <w:t xml:space="preserve">This unit applies to individuals assessing documentation for compliance with biosecurity border clearance. Work is undertaken </w:t>
            </w:r>
            <w:r w:rsidRPr="0066066B">
              <w:t>in a range of environments including small to large worksites in the custom broking and international freight forwarding industries.</w:t>
            </w:r>
          </w:p>
          <w:p w:rsidR="00000000" w:rsidRPr="0066066B" w:rsidP="0066066B">
            <w:pPr>
              <w:pStyle w:val="BodyText"/>
            </w:pPr>
            <w:r w:rsidRPr="0066066B">
              <w:t>No licensing, legislative or certification requirements apply to this unit at the time of publication.</w:t>
            </w:r>
          </w:p>
        </w:tc>
      </w:tr>
    </w:tbl>
    <w:p w:rsidR="000E4D37" w:rsidP="0066066B">
      <w:pPr>
        <w:pStyle w:val="BodyText"/>
      </w:pPr>
    </w:p>
    <w:p w:rsidR="000E4D37" w:rsidP="0066066B">
      <w:pPr>
        <w:pStyle w:val="BodyText"/>
      </w:pPr>
    </w:p>
    <w:p w:rsidR="00000000" w:rsidRPr="0066066B" w:rsidP="0066066B">
      <w:pPr>
        <w:pStyle w:val="Heading1"/>
      </w:pPr>
      <w:bookmarkStart w:id="3" w:name="O_838598"/>
      <w:bookmarkEnd w:id="3"/>
      <w:r w:rsidRPr="0066066B">
        <w:t>Pre-requisite Unit</w:t>
      </w:r>
    </w:p>
    <w:p w:rsidR="000E4D37" w:rsidP="000E4D37">
      <w:pPr>
        <w:pStyle w:val="BodyText"/>
      </w:pPr>
      <w:r w:rsidRPr="0066066B">
        <w:t>Not applicable.</w:t>
      </w:r>
    </w:p>
    <w:p w:rsidR="00000000" w:rsidRPr="0066066B" w:rsidP="0066066B">
      <w:pPr>
        <w:pStyle w:val="Heading1"/>
      </w:pPr>
      <w:bookmarkStart w:id="4" w:name="O_838599"/>
      <w:bookmarkEnd w:id="4"/>
      <w:r w:rsidRPr="0066066B">
        <w:t>Competency Field</w:t>
      </w:r>
    </w:p>
    <w:p w:rsidR="000E4D37" w:rsidP="000E4D37">
      <w:pPr>
        <w:pStyle w:val="BodyText"/>
      </w:pPr>
      <w:r w:rsidRPr="0066066B">
        <w:t>X – Logistics</w:t>
      </w:r>
    </w:p>
    <w:p w:rsidR="00000000" w:rsidRPr="0066066B" w:rsidP="0066066B">
      <w:pPr>
        <w:pStyle w:val="Heading1"/>
      </w:pPr>
      <w:bookmarkStart w:id="5" w:name="O_838600"/>
      <w:bookmarkEnd w:id="5"/>
      <w:r w:rsidRPr="0066066B">
        <w:t>Unit Sector</w:t>
      </w:r>
    </w:p>
    <w:p w:rsidR="000E4D37" w:rsidP="000E4D37">
      <w:pPr>
        <w:pStyle w:val="BodyText"/>
      </w:pPr>
      <w:r w:rsidRPr="0066066B">
        <w:t>Not applicable.</w:t>
      </w:r>
    </w:p>
    <w:p w:rsidR="00000000" w:rsidRPr="0066066B" w:rsidP="0066066B">
      <w:pPr>
        <w:pStyle w:val="Heading1"/>
      </w:pPr>
      <w:bookmarkStart w:id="6" w:name="O_838601"/>
      <w:bookmarkEnd w:id="6"/>
      <w:r w:rsidRPr="0066066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80"/>
        <w:gridCol w:w="2028"/>
        <w:gridCol w:w="1"/>
        <w:gridCol w:w="632"/>
        <w:gridCol w:w="6155"/>
      </w:tblGrid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BodyText"/>
            </w:pPr>
            <w:r w:rsidRPr="0066066B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rPr>
                <w:rStyle w:val="SpecialBold"/>
              </w:rPr>
              <w:t>PERFORMANCE CRITERIA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Performance criteria describe the performance needed to demonstrate achievement of the element.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BodyText"/>
            </w:pPr>
            <w:r w:rsidRPr="0066066B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rPr>
                <w:rStyle w:val="SpecialBold"/>
              </w:rPr>
              <w:t xml:space="preserve">Comply with </w:t>
            </w:r>
            <w:r w:rsidRPr="0066066B">
              <w:rPr>
                <w:rStyle w:val="SpecialBold"/>
              </w:rPr>
              <w:t>non</w:t>
            </w:r>
            <w:r w:rsidRPr="0066066B">
              <w:rPr>
                <w:rStyle w:val="SpecialBold"/>
              </w:rPr>
              <w:noBreakHyphen/>
              <w:t>commodity documentation requirements and declarations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Documentation for compliance with non</w:t>
            </w:r>
            <w:r w:rsidRPr="0066066B">
              <w:noBreakHyphen/>
              <w:t xml:space="preserve">commodity concerns related </w:t>
            </w:r>
            <w:r w:rsidRPr="0066066B">
              <w:t>to cargo type i</w:t>
            </w:r>
            <w:r w:rsidRPr="0066066B">
              <w:t>s assessed in accordance with the Non commodity for Containerised Cargo Clearance (NCCC) Scheme Processes and Outcomes Document (POD) and non</w:t>
            </w:r>
            <w:r w:rsidRPr="0066066B">
              <w:noBreakHyphen/>
              <w:t>commodity information requirements policy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Documentation for compliance with non</w:t>
            </w:r>
            <w:r w:rsidRPr="0066066B">
              <w:noBreakHyphen/>
              <w:t>com</w:t>
            </w:r>
            <w:r w:rsidRPr="0066066B">
              <w:t>modity concern statements is assessed in accordance with NCCC POD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Treatment certificates are assessed for compliance with treatment certificate requirements for solid timber packaging or dunnage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Documentation to determine delivery location ca</w:t>
            </w:r>
            <w:r w:rsidRPr="0066066B">
              <w:t>tegory is assessed in accordance with NCCC POD and non</w:t>
            </w:r>
            <w:r w:rsidRPr="0066066B">
              <w:noBreakHyphen/>
              <w:t>commodity information requirements policy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Correct answers for non</w:t>
            </w:r>
            <w:r w:rsidRPr="0066066B">
              <w:noBreakHyphen/>
              <w:t>commodity declaration are determined when lodging full import declaration in accordance with NCCC POD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Correct answers for non</w:t>
            </w:r>
            <w:r w:rsidRPr="0066066B">
              <w:noBreakHyphen/>
              <w:t>commodity declaration when lodging full import declaration are assessed in accordance with NCCC POD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1.7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Relevant records are maintained in accordance with regulatory requirements and workplace procedures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BodyText"/>
            </w:pPr>
            <w:r w:rsidRPr="0066066B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rPr>
                <w:rStyle w:val="SpecialBold"/>
              </w:rPr>
              <w:t xml:space="preserve">Comply with commodity </w:t>
            </w:r>
            <w:r w:rsidRPr="0066066B">
              <w:rPr>
                <w:rStyle w:val="SpecialBold"/>
              </w:rPr>
              <w:t>documentation requirements and declarations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Documentation for commodities is assessed within scope of arrangement in accordance with the Automatic Entry Processing for Commodities (AEPCOMM) POD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Commodity related documentation is assessed for compliance with commodity concerns in accordance with the AEPCOMM POD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Correct commodity code and premises identifier (ID) are determined for automatic entry processing for commodity as appropriate in a</w:t>
            </w:r>
            <w:r w:rsidRPr="0066066B">
              <w:t>ccordance with the AEPCOMM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Relevant records are maintained in accordance with regulatory requirements and workplace procedures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BodyText"/>
            </w:pPr>
            <w:r w:rsidRPr="0066066B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rPr>
                <w:rStyle w:val="SpecialBold"/>
              </w:rPr>
              <w:t>Comply with minimum document requirements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Documentation is assessed for compliance with overarching requirement</w:t>
            </w:r>
            <w:r w:rsidRPr="0066066B">
              <w:t>s in accordance with minimum documentary and import declaration requirements policy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Documentation is assessed for compliance with format requirements in accordance with minimum documentary and import declaration requirements policy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 xml:space="preserve">Consignment specific documentation is assessed for compliance with relevant requirements (such as transport documentation or government certification) in accordance with minimum documentary and import </w:t>
            </w:r>
            <w:r w:rsidRPr="0066066B">
              <w:t>declaration requirements policy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BodyText"/>
            </w:pPr>
            <w:r w:rsidRPr="0066066B">
              <w:t>Relevant records</w:t>
            </w:r>
            <w:r w:rsidRPr="0066066B">
              <w:t xml:space="preserve"> are maintained in accordance with regulatory requirements and workplace procedures</w:t>
            </w:r>
          </w:p>
        </w:tc>
      </w:tr>
    </w:tbl>
    <w:p w:rsidR="000E4D37" w:rsidP="0066066B">
      <w:pPr>
        <w:pStyle w:val="BodyText"/>
      </w:pPr>
    </w:p>
    <w:p w:rsidR="000E4D37" w:rsidP="0066066B">
      <w:pPr>
        <w:pStyle w:val="BodyText"/>
      </w:pPr>
    </w:p>
    <w:p w:rsidR="00000000" w:rsidRPr="0066066B" w:rsidP="0066066B">
      <w:pPr>
        <w:pStyle w:val="Heading1"/>
      </w:pPr>
      <w:bookmarkStart w:id="7" w:name="O_838602"/>
      <w:bookmarkEnd w:id="7"/>
      <w:r w:rsidRPr="0066066B">
        <w:t>Foundation Skills</w:t>
      </w:r>
    </w:p>
    <w:p w:rsidR="000E4D37" w:rsidP="000E4D37">
      <w:pPr>
        <w:pStyle w:val="BodyText"/>
      </w:pPr>
      <w:r w:rsidRPr="0066066B">
        <w:t>Foundation skills essential to performance are explicit in the performance criteria of this unit of competency.</w:t>
      </w:r>
    </w:p>
    <w:p w:rsidR="00000000" w:rsidRPr="0066066B" w:rsidP="0066066B">
      <w:pPr>
        <w:pStyle w:val="Heading1"/>
      </w:pPr>
      <w:bookmarkStart w:id="8" w:name="O_838603"/>
      <w:bookmarkEnd w:id="8"/>
      <w:r w:rsidRPr="0066066B">
        <w:t>Rang</w:t>
      </w:r>
      <w:r w:rsidRPr="0066066B">
        <w:t>e of Conditions</w:t>
      </w:r>
    </w:p>
    <w:p w:rsidR="00000000" w:rsidRPr="0066066B" w:rsidP="000E4D37">
      <w:pPr>
        <w:pStyle w:val="BodyText"/>
      </w:pPr>
      <w:r w:rsidRPr="0066066B">
        <w:t>Range is restricted to essential operating conditions and any other variables essential to the work environment.</w:t>
      </w:r>
    </w:p>
    <w:p w:rsidR="000E4D37" w:rsidP="000E4D37">
      <w:pPr>
        <w:pStyle w:val="BodyText"/>
      </w:pPr>
      <w:r w:rsidRPr="0066066B">
        <w:t>Non</w:t>
      </w:r>
      <w:r w:rsidRPr="0066066B">
        <w:noBreakHyphen/>
        <w:t>essential conditions can be found in the Companion Volume Implementation Guide.</w:t>
      </w:r>
    </w:p>
    <w:p w:rsidR="00000000" w:rsidRPr="0066066B" w:rsidP="0066066B">
      <w:pPr>
        <w:pStyle w:val="Heading1"/>
      </w:pPr>
      <w:bookmarkStart w:id="9" w:name="O_838604"/>
      <w:bookmarkEnd w:id="9"/>
      <w:r w:rsidRPr="0066066B">
        <w:t>Unit Mapping Information</w:t>
      </w:r>
    </w:p>
    <w:p w:rsidR="000E4D37" w:rsidP="000E4D37">
      <w:pPr>
        <w:pStyle w:val="BodyText"/>
      </w:pPr>
      <w:r w:rsidRPr="0066066B">
        <w:t>This unit replaces and is equivalent to TLIX5054A Comply with biosecurity border clearance.</w:t>
      </w:r>
    </w:p>
    <w:p w:rsidR="00000000" w:rsidRPr="0066066B" w:rsidP="0066066B">
      <w:pPr>
        <w:pStyle w:val="Heading1"/>
      </w:pPr>
      <w:bookmarkStart w:id="10" w:name="O_838611"/>
      <w:bookmarkEnd w:id="10"/>
      <w:r w:rsidRPr="0066066B">
        <w:t>Links</w:t>
      </w:r>
    </w:p>
    <w:p w:rsidR="00000000" w:rsidRPr="0066066B" w:rsidP="000E4D37">
      <w:pPr>
        <w:pStyle w:val="BodyText"/>
      </w:pPr>
      <w:r w:rsidRPr="006606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28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066B" w:rsidP="000E4D37">
      <w:pPr>
        <w:pStyle w:val="BodyText"/>
        <w:sectPr w:rsidSect="006606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6066B" w:rsidP="0066066B">
      <w:pPr>
        <w:pStyle w:val="SuperHeading"/>
      </w:pPr>
      <w:r w:rsidRPr="0066066B">
        <w:t>Assessment Requirements for TLIX5054 Comply with biosecurity border clearance</w:t>
      </w:r>
    </w:p>
    <w:p w:rsidR="00000000" w:rsidRPr="0066066B" w:rsidP="0066066B">
      <w:pPr>
        <w:pStyle w:val="Heading1"/>
      </w:pPr>
      <w:bookmarkStart w:id="11" w:name="O_838606"/>
      <w:bookmarkEnd w:id="11"/>
      <w:r w:rsidRPr="0066066B">
        <w:t>Modification History</w:t>
      </w:r>
    </w:p>
    <w:p w:rsidR="000E4D37" w:rsidP="000E4D37">
      <w:pPr>
        <w:pStyle w:val="BodyText"/>
      </w:pPr>
      <w:r w:rsidRPr="0066066B">
        <w:t>Release 1. This is the first release of this unit of competency in the TLI Transport and</w:t>
      </w:r>
      <w:r w:rsidRPr="0066066B">
        <w:t xml:space="preserve"> Logistics Training Package.</w:t>
      </w:r>
    </w:p>
    <w:p w:rsidR="00000000" w:rsidRPr="0066066B" w:rsidP="0066066B">
      <w:pPr>
        <w:pStyle w:val="Heading1"/>
      </w:pPr>
      <w:bookmarkStart w:id="12" w:name="O_838607"/>
      <w:bookmarkEnd w:id="12"/>
      <w:r w:rsidRPr="0066066B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 xml:space="preserve">Evidence required to demonstrate competence in this unit must be relevant to and satisfy all of the requirements of the elements and performance criteria on </w:t>
            </w:r>
            <w:r w:rsidRPr="0066066B">
              <w:t>at least one occasion and include: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ListBullet"/>
            </w:pPr>
            <w:r w:rsidRPr="0066066B">
              <w:t xml:space="preserve">assessing documents, answering lodgement questions and determining appropriate automatic entry process (AEP) codes </w:t>
            </w:r>
          </w:p>
          <w:p w:rsidR="00000000" w:rsidRPr="0066066B" w:rsidP="0066066B">
            <w:pPr>
              <w:pStyle w:val="ListBullet"/>
            </w:pPr>
            <w:r w:rsidRPr="0066066B">
              <w:t>assessing documents with required attention to detail</w:t>
            </w:r>
          </w:p>
          <w:p w:rsidR="00000000" w:rsidRPr="0066066B" w:rsidP="0066066B">
            <w:pPr>
              <w:pStyle w:val="ListBullet"/>
            </w:pPr>
            <w:r w:rsidRPr="0066066B">
              <w:t>assessing whether documents are compliant with the requirements of the purpose for which they are to be used</w:t>
            </w:r>
          </w:p>
          <w:p w:rsidR="00000000" w:rsidRPr="0066066B" w:rsidP="0066066B">
            <w:pPr>
              <w:pStyle w:val="ListBullet"/>
            </w:pPr>
            <w:r w:rsidRPr="0066066B">
              <w:t>ensuring currency of relevant legislative and regulatory knowledge</w:t>
            </w:r>
          </w:p>
          <w:p w:rsidR="00000000" w:rsidRPr="0066066B" w:rsidP="0066066B">
            <w:pPr>
              <w:pStyle w:val="ListBullet"/>
            </w:pPr>
            <w:r w:rsidRPr="0066066B">
              <w:t>ensuring documents being assessed for an import shipment correctly input AEP cod</w:t>
            </w:r>
            <w:r w:rsidRPr="0066066B">
              <w:t xml:space="preserve">es </w:t>
            </w:r>
          </w:p>
          <w:p w:rsidR="00000000" w:rsidRPr="0066066B" w:rsidP="0066066B">
            <w:pPr>
              <w:pStyle w:val="ListBullet"/>
            </w:pPr>
            <w:r w:rsidRPr="0066066B">
              <w:t>maintaining records in accordance with regulatory requirements</w:t>
            </w:r>
          </w:p>
          <w:p w:rsidR="00000000" w:rsidRPr="0066066B" w:rsidP="0066066B">
            <w:pPr>
              <w:pStyle w:val="ListBullet"/>
            </w:pPr>
            <w:r w:rsidRPr="0066066B">
              <w:t>reading and interpreting relevant Acts and legislation.</w:t>
            </w:r>
          </w:p>
        </w:tc>
      </w:tr>
    </w:tbl>
    <w:p w:rsidR="00000000" w:rsidRPr="0066066B" w:rsidP="0066066B">
      <w:pPr>
        <w:pStyle w:val="BodyText"/>
      </w:pPr>
    </w:p>
    <w:p w:rsidR="00000000" w:rsidRPr="0066066B" w:rsidP="0066066B">
      <w:pPr>
        <w:pStyle w:val="AllowPageBreak"/>
      </w:pPr>
    </w:p>
    <w:p w:rsidR="00000000" w:rsidRPr="0066066B" w:rsidP="0066066B">
      <w:pPr>
        <w:pStyle w:val="Heading1"/>
      </w:pPr>
      <w:bookmarkStart w:id="13" w:name="O_838608"/>
      <w:bookmarkEnd w:id="13"/>
      <w:r w:rsidRPr="0066066B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6066B">
            <w:pPr>
              <w:pStyle w:val="BodyText"/>
              <w:rPr>
                <w:lang w:val="en-NZ"/>
              </w:rPr>
            </w:pPr>
            <w:r w:rsidRPr="0066066B">
              <w:t>Evidence required to demonstrate competence in this unit must be relevant to and satisfy all of</w:t>
            </w:r>
            <w:r w:rsidRPr="0066066B">
              <w:t xml:space="preserve"> the requirements of the elements and performance criteria and include knowledge of:</w:t>
            </w:r>
          </w:p>
        </w:tc>
      </w:tr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ListBullet"/>
            </w:pPr>
            <w:r w:rsidRPr="0066066B">
              <w:t>general awareness of biosecurity border clearance requirements</w:t>
            </w:r>
          </w:p>
          <w:p w:rsidR="00000000" w:rsidRPr="0066066B" w:rsidP="0066066B">
            <w:pPr>
              <w:pStyle w:val="ListBullet"/>
            </w:pPr>
            <w:r w:rsidRPr="0066066B">
              <w:t>obligations of person engaged in a regulatory arrangement</w:t>
            </w:r>
          </w:p>
          <w:p w:rsidR="00000000" w:rsidRPr="0066066B" w:rsidP="0066066B">
            <w:pPr>
              <w:pStyle w:val="ListBullet"/>
            </w:pPr>
            <w:r w:rsidRPr="0066066B">
              <w:t>policies regarding compliance with requirements of a regulatory arrangement</w:t>
            </w:r>
          </w:p>
          <w:p w:rsidR="00000000" w:rsidRPr="0066066B" w:rsidP="0066066B">
            <w:pPr>
              <w:pStyle w:val="ListBullet"/>
            </w:pPr>
            <w:r w:rsidRPr="0066066B">
              <w:t>relevant legislation, regulations, schemes, policies and procedures such as:</w:t>
            </w:r>
          </w:p>
          <w:p w:rsidR="00000000" w:rsidRPr="0066066B" w:rsidP="0066066B">
            <w:pPr>
              <w:pStyle w:val="ListBullet2"/>
            </w:pPr>
            <w:r w:rsidRPr="0066066B">
              <w:t xml:space="preserve">Automatic Entry Processing (AEP) for Commodities Scheme </w:t>
            </w:r>
          </w:p>
          <w:p w:rsidR="00000000" w:rsidRPr="0066066B" w:rsidP="0066066B">
            <w:pPr>
              <w:pStyle w:val="ListBullet2"/>
            </w:pPr>
            <w:r w:rsidRPr="0066066B">
              <w:t>minimum documentary and import declaration re</w:t>
            </w:r>
            <w:r w:rsidRPr="0066066B">
              <w:t>quirements policy</w:t>
            </w:r>
          </w:p>
          <w:p w:rsidR="00000000" w:rsidRPr="0066066B" w:rsidP="0066066B">
            <w:pPr>
              <w:pStyle w:val="ListBullet2"/>
            </w:pPr>
            <w:r w:rsidRPr="0066066B">
              <w:t>non</w:t>
            </w:r>
            <w:r w:rsidRPr="0066066B">
              <w:noBreakHyphen/>
              <w:t xml:space="preserve">commodity information requirements policy </w:t>
            </w:r>
          </w:p>
          <w:p w:rsidR="00000000" w:rsidRPr="0066066B" w:rsidP="0066066B">
            <w:pPr>
              <w:pStyle w:val="ListBullet2"/>
            </w:pPr>
            <w:r w:rsidRPr="0066066B">
              <w:t>Non</w:t>
            </w:r>
            <w:r w:rsidRPr="0066066B">
              <w:noBreakHyphen/>
              <w:t>commodity for Containerised Cargo Clearance (NCCC) Scheme.</w:t>
            </w:r>
          </w:p>
        </w:tc>
      </w:tr>
    </w:tbl>
    <w:p w:rsidR="000E4D37" w:rsidP="0066066B">
      <w:pPr>
        <w:pStyle w:val="BodyText"/>
      </w:pPr>
    </w:p>
    <w:p w:rsidR="000E4D37" w:rsidP="0066066B">
      <w:pPr>
        <w:pStyle w:val="BodyText"/>
      </w:pPr>
    </w:p>
    <w:p w:rsidR="00000000" w:rsidRPr="0066066B" w:rsidP="0066066B">
      <w:pPr>
        <w:pStyle w:val="Heading1"/>
      </w:pPr>
      <w:bookmarkStart w:id="14" w:name="O_838609"/>
      <w:bookmarkEnd w:id="14"/>
      <w:r w:rsidRPr="0066066B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0E4D3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6066B" w:rsidP="0066066B">
            <w:pPr>
              <w:pStyle w:val="BodyText"/>
            </w:pPr>
            <w:r w:rsidRPr="0066066B">
              <w:t xml:space="preserve">As a minimum, assessors must satisfy applicable regulatory requirements, which include requirements in the </w:t>
            </w:r>
            <w:r w:rsidRPr="0066066B">
              <w:rPr>
                <w:rStyle w:val="Emphasis"/>
              </w:rPr>
              <w:t>Standards for Registered Training Organisations</w:t>
            </w:r>
            <w:r w:rsidRPr="0066066B">
              <w:t xml:space="preserve"> current at the time of assessment. </w:t>
            </w:r>
          </w:p>
          <w:p w:rsidR="00000000" w:rsidRPr="0066066B" w:rsidP="0066066B">
            <w:pPr>
              <w:pStyle w:val="BodyText"/>
            </w:pPr>
            <w:r w:rsidRPr="0066066B">
              <w:t>As a minimum, assessment must satisfy applicable regulatory requi</w:t>
            </w:r>
            <w:r w:rsidRPr="0066066B">
              <w:t xml:space="preserve">rements, which include requirements in the </w:t>
            </w:r>
            <w:r w:rsidRPr="0066066B">
              <w:rPr>
                <w:rStyle w:val="Emphasis"/>
              </w:rPr>
              <w:t>Standards for Registered Training Organisations</w:t>
            </w:r>
            <w:r w:rsidRPr="0066066B">
              <w:t xml:space="preserve"> current at the time of assessment.</w:t>
            </w:r>
          </w:p>
          <w:p w:rsidR="00000000" w:rsidRPr="0066066B" w:rsidP="0066066B">
            <w:pPr>
              <w:pStyle w:val="BodyText"/>
            </w:pPr>
            <w:r w:rsidRPr="0066066B">
              <w:t>Assessment must occur in workplace operational situations where it is appropriate to do so. Where this is not appropriate, assessm</w:t>
            </w:r>
            <w:r w:rsidRPr="0066066B">
              <w:t xml:space="preserve">ent must occur in simulated workplace operational situations that replicate workplace conditions. </w:t>
            </w:r>
          </w:p>
          <w:p w:rsidR="00000000" w:rsidRPr="0066066B" w:rsidP="0066066B">
            <w:pPr>
              <w:pStyle w:val="BodyText"/>
            </w:pPr>
            <w:r w:rsidRPr="0066066B">
              <w:t xml:space="preserve">Assessment processes and techniques must be appropriate to the language, literacy and numeracy requirements of the work being performed and the needs of the </w:t>
            </w:r>
            <w:r w:rsidRPr="0066066B">
              <w:t>candidate.</w:t>
            </w:r>
          </w:p>
          <w:p w:rsidR="00000000" w:rsidRPr="0066066B" w:rsidP="0066066B">
            <w:pPr>
              <w:pStyle w:val="BodyText"/>
            </w:pPr>
            <w:r w:rsidRPr="0066066B">
              <w:t>Resources for assessment include:</w:t>
            </w:r>
          </w:p>
          <w:p w:rsidR="00000000" w:rsidRPr="0066066B" w:rsidP="0066066B">
            <w:pPr>
              <w:pStyle w:val="ListBullet"/>
            </w:pPr>
            <w:r w:rsidRPr="0066066B">
              <w:t>a range of relevant exercises, case studies and/or simulations</w:t>
            </w:r>
          </w:p>
          <w:p w:rsidR="00000000" w:rsidRPr="0066066B" w:rsidP="0066066B">
            <w:pPr>
              <w:pStyle w:val="ListBullet"/>
            </w:pPr>
            <w:r w:rsidRPr="0066066B">
              <w:t xml:space="preserve">applicable documentation including workplace procedures, regulations, codes of practice and operation manuals </w:t>
            </w:r>
          </w:p>
          <w:p w:rsidR="00000000" w:rsidRPr="0066066B" w:rsidP="0066066B">
            <w:pPr>
              <w:pStyle w:val="ListBullet"/>
            </w:pPr>
            <w:r w:rsidRPr="0066066B">
              <w:t>relevant materials, tools, equipment and personal protective equipment currently used in industry.</w:t>
            </w:r>
          </w:p>
        </w:tc>
      </w:tr>
    </w:tbl>
    <w:p w:rsidR="000E4D37" w:rsidP="0066066B">
      <w:pPr>
        <w:pStyle w:val="BodyText"/>
      </w:pPr>
    </w:p>
    <w:p w:rsidR="000E4D37" w:rsidP="0066066B">
      <w:pPr>
        <w:pStyle w:val="BodyText"/>
      </w:pPr>
    </w:p>
    <w:p w:rsidR="00000000" w:rsidRPr="0066066B" w:rsidP="0066066B">
      <w:pPr>
        <w:pStyle w:val="Heading1"/>
      </w:pPr>
      <w:bookmarkStart w:id="15" w:name="O_838612"/>
      <w:bookmarkEnd w:id="15"/>
      <w:r w:rsidRPr="0066066B">
        <w:t>Links</w:t>
      </w:r>
    </w:p>
    <w:p w:rsidR="00000000" w:rsidRPr="0066066B" w:rsidP="000E4D37">
      <w:pPr>
        <w:pStyle w:val="BodyText"/>
      </w:pPr>
      <w:r w:rsidRPr="0066066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228E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6066B" w:rsidP="0066066B"/>
    <w:sectPr w:rsidSect="006606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B" w:rsidRPr="000E4D37" w:rsidP="000E4D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37" w:rsidP="00660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4D37" w:rsidP="00660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E4D37" w:rsidP="006606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B" w:rsidP="006606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E4D37">
      <w:t>Approved</w:t>
    </w:r>
    <w:r w:rsidR="000E4D3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E4D3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E4D37">
      <w:rPr>
        <w:noProof/>
      </w:rPr>
      <w:t>4</w:t>
    </w:r>
    <w:r>
      <w:rPr>
        <w:noProof/>
      </w:rPr>
      <w:fldChar w:fldCharType="end"/>
    </w:r>
  </w:p>
  <w:p w:rsidR="0066066B" w:rsidP="006606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E4D3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E4D37">
      <w:t>Industry Skills Australia</w:t>
    </w:r>
    <w:r w:rsidR="000E4D37">
      <w:fldChar w:fldCharType="end"/>
    </w:r>
  </w:p>
  <w:p w:rsidR="0066066B" w:rsidP="006606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066B" w:rsidRPr="000E4D37" w:rsidP="000E4D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4D37" w:rsidRPr="002D2AF8" w:rsidP="00660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TLIX5054 Comply with biosecurity border clearance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E4D37" w:rsidP="006606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66B" w:rsidRPr="002D2AF8" w:rsidP="006606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E4D37">
      <w:t>TLIX5054 Comply with biosecurity border clearance</w:t>
    </w:r>
    <w:r w:rsidR="000E4D3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E4D37">
      <w:rPr>
        <w:noProof/>
      </w:rPr>
      <w:t>2 March 2025</w:t>
    </w:r>
    <w:r>
      <w:fldChar w:fldCharType="end"/>
    </w:r>
  </w:p>
  <w:p w:rsidR="0066066B" w:rsidP="006606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B03E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7039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3CC2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06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06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06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06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06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06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06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06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06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06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06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066B"/>
  </w:style>
  <w:style w:type="character" w:customStyle="1" w:styleId="Heading1Char">
    <w:name w:val="Heading 1 Char"/>
    <w:basedOn w:val="DefaultParagraphFont"/>
    <w:link w:val="Heading1"/>
    <w:rsid w:val="006606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06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06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066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6066B"/>
    <w:rPr>
      <w:b/>
      <w:spacing w:val="0"/>
    </w:rPr>
  </w:style>
  <w:style w:type="paragraph" w:styleId="ListBullet2">
    <w:name w:val="List Bullet 2"/>
    <w:basedOn w:val="List2"/>
    <w:rsid w:val="0066066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6066B"/>
    <w:rPr>
      <w:i/>
    </w:rPr>
  </w:style>
  <w:style w:type="paragraph" w:customStyle="1" w:styleId="SuperHeading">
    <w:name w:val="SuperHeading"/>
    <w:basedOn w:val="Normal"/>
    <w:rsid w:val="006606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06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606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06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06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0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06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0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06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06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06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06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06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06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06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06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06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06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06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06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06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06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606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06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06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06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06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06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06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06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06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06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06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06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606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06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06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066B"/>
  </w:style>
  <w:style w:type="paragraph" w:styleId="TableofFigures">
    <w:name w:val="table of figures"/>
    <w:basedOn w:val="Normal"/>
    <w:next w:val="Normal"/>
    <w:semiHidden/>
    <w:rsid w:val="006606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066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6066B"/>
    <w:rPr>
      <w:rFonts w:ascii="Wingdings" w:hAnsi="Wingdings"/>
    </w:rPr>
  </w:style>
  <w:style w:type="paragraph" w:customStyle="1" w:styleId="TableHeading">
    <w:name w:val="Table Heading"/>
    <w:basedOn w:val="HeadingBase"/>
    <w:rsid w:val="006606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066B"/>
    <w:rPr>
      <w:color w:val="0033CC"/>
      <w:u w:val="none"/>
    </w:rPr>
  </w:style>
  <w:style w:type="paragraph" w:customStyle="1" w:styleId="BodyTextRight">
    <w:name w:val="Body Text Right"/>
    <w:basedOn w:val="BodyText"/>
    <w:rsid w:val="006606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06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066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06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06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06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066B"/>
    <w:rPr>
      <w:sz w:val="32"/>
    </w:rPr>
  </w:style>
  <w:style w:type="paragraph" w:customStyle="1" w:styleId="HeadingProcedure">
    <w:name w:val="Heading Procedure"/>
    <w:basedOn w:val="HeadingBase"/>
    <w:next w:val="Normal"/>
    <w:rsid w:val="006606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066B"/>
    <w:pPr>
      <w:spacing w:before="60" w:after="60"/>
    </w:pPr>
  </w:style>
  <w:style w:type="paragraph" w:styleId="ListContinue">
    <w:name w:val="List Continue"/>
    <w:basedOn w:val="List"/>
    <w:rsid w:val="0066066B"/>
    <w:pPr>
      <w:ind w:firstLine="0"/>
    </w:pPr>
  </w:style>
  <w:style w:type="paragraph" w:customStyle="1" w:styleId="ListNote">
    <w:name w:val="List Note"/>
    <w:basedOn w:val="List"/>
    <w:rsid w:val="006606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06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06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066B"/>
    <w:rPr>
      <w:rFonts w:ascii="Courier New" w:hAnsi="Courier New"/>
    </w:rPr>
  </w:style>
  <w:style w:type="paragraph" w:customStyle="1" w:styleId="NoteBullet">
    <w:name w:val="Note Bullet"/>
    <w:basedOn w:val="Note"/>
    <w:rsid w:val="006606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06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06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06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066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606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06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066B"/>
    <w:rPr>
      <w:b/>
      <w:smallCaps/>
    </w:rPr>
  </w:style>
  <w:style w:type="paragraph" w:customStyle="1" w:styleId="TableListNumber">
    <w:name w:val="Table List Number"/>
    <w:basedOn w:val="ListNumber"/>
    <w:rsid w:val="006606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06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066B"/>
    <w:pPr>
      <w:numPr>
        <w:numId w:val="9"/>
      </w:numPr>
    </w:pPr>
  </w:style>
  <w:style w:type="paragraph" w:customStyle="1" w:styleId="ListAlpha2">
    <w:name w:val="List Alpha 2"/>
    <w:basedOn w:val="List2"/>
    <w:rsid w:val="0066066B"/>
    <w:pPr>
      <w:numPr>
        <w:numId w:val="8"/>
      </w:numPr>
    </w:pPr>
  </w:style>
  <w:style w:type="paragraph" w:styleId="List2">
    <w:name w:val="List 2"/>
    <w:basedOn w:val="BodyText"/>
    <w:rsid w:val="006606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06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06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066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6066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6066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6066B"/>
    <w:pPr>
      <w:numPr>
        <w:numId w:val="4"/>
      </w:numPr>
    </w:pPr>
  </w:style>
  <w:style w:type="paragraph" w:styleId="ListContinue2">
    <w:name w:val="List Continue 2"/>
    <w:basedOn w:val="List2"/>
    <w:rsid w:val="0066066B"/>
    <w:pPr>
      <w:ind w:firstLine="0"/>
    </w:pPr>
  </w:style>
  <w:style w:type="paragraph" w:styleId="ListContinue3">
    <w:name w:val="List Continue 3"/>
    <w:basedOn w:val="List3"/>
    <w:rsid w:val="0066066B"/>
    <w:pPr>
      <w:ind w:left="1021" w:firstLine="0"/>
    </w:pPr>
  </w:style>
  <w:style w:type="paragraph" w:styleId="ListContinue4">
    <w:name w:val="List Continue 4"/>
    <w:basedOn w:val="List4"/>
    <w:rsid w:val="0066066B"/>
    <w:pPr>
      <w:ind w:firstLine="0"/>
    </w:pPr>
  </w:style>
  <w:style w:type="paragraph" w:styleId="ListContinue5">
    <w:name w:val="List Continue 5"/>
    <w:basedOn w:val="List5"/>
    <w:rsid w:val="0066066B"/>
    <w:pPr>
      <w:ind w:firstLine="0"/>
    </w:pPr>
  </w:style>
  <w:style w:type="paragraph" w:styleId="ListNumber3">
    <w:name w:val="List Number 3"/>
    <w:basedOn w:val="List3"/>
    <w:rsid w:val="0066066B"/>
    <w:pPr>
      <w:numPr>
        <w:numId w:val="5"/>
      </w:numPr>
    </w:pPr>
  </w:style>
  <w:style w:type="paragraph" w:styleId="ListNumber4">
    <w:name w:val="List Number 4"/>
    <w:basedOn w:val="List4"/>
    <w:rsid w:val="0066066B"/>
    <w:pPr>
      <w:numPr>
        <w:numId w:val="6"/>
      </w:numPr>
    </w:pPr>
  </w:style>
  <w:style w:type="paragraph" w:styleId="ListNumber5">
    <w:name w:val="List Number 5"/>
    <w:basedOn w:val="List5"/>
    <w:rsid w:val="0066066B"/>
    <w:pPr>
      <w:numPr>
        <w:numId w:val="7"/>
      </w:numPr>
    </w:pPr>
  </w:style>
  <w:style w:type="paragraph" w:styleId="BlockText">
    <w:name w:val="Block Text"/>
    <w:basedOn w:val="Normal"/>
    <w:rsid w:val="006606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06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066B"/>
    <w:rPr>
      <w:sz w:val="16"/>
      <w:vertAlign w:val="superscript"/>
    </w:rPr>
  </w:style>
  <w:style w:type="character" w:customStyle="1" w:styleId="Symbols">
    <w:name w:val="Symbols"/>
    <w:basedOn w:val="DefaultParagraphFont"/>
    <w:rsid w:val="0066066B"/>
    <w:rPr>
      <w:rFonts w:ascii="Symbol" w:hAnsi="Symbol"/>
    </w:rPr>
  </w:style>
  <w:style w:type="character" w:customStyle="1" w:styleId="MenuOptions">
    <w:name w:val="Menu Options"/>
    <w:basedOn w:val="DefaultParagraphFont"/>
    <w:rsid w:val="006606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066B"/>
    <w:rPr>
      <w:b/>
    </w:rPr>
  </w:style>
  <w:style w:type="character" w:customStyle="1" w:styleId="Underlined">
    <w:name w:val="Underlined"/>
    <w:basedOn w:val="DefaultParagraphFont"/>
    <w:rsid w:val="0066066B"/>
    <w:rPr>
      <w:u w:val="single"/>
    </w:rPr>
  </w:style>
  <w:style w:type="paragraph" w:customStyle="1" w:styleId="TableBodyTextRight">
    <w:name w:val="Table Body Text Right"/>
    <w:basedOn w:val="TableBodyText"/>
    <w:rsid w:val="006606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066B"/>
    <w:rPr>
      <w:sz w:val="18"/>
    </w:rPr>
  </w:style>
  <w:style w:type="paragraph" w:customStyle="1" w:styleId="BodySmallRight">
    <w:name w:val="Body Small Right"/>
    <w:basedOn w:val="BodyTextRight"/>
    <w:rsid w:val="0066066B"/>
    <w:rPr>
      <w:sz w:val="18"/>
      <w:szCs w:val="18"/>
    </w:rPr>
  </w:style>
  <w:style w:type="paragraph" w:customStyle="1" w:styleId="MarginEdition">
    <w:name w:val="Margin Edition"/>
    <w:basedOn w:val="MarginNote"/>
    <w:rsid w:val="006606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066B"/>
    <w:rPr>
      <w:sz w:val="2"/>
      <w:szCs w:val="2"/>
    </w:rPr>
  </w:style>
  <w:style w:type="character" w:customStyle="1" w:styleId="Small">
    <w:name w:val="Small"/>
    <w:basedOn w:val="DefaultParagraphFont"/>
    <w:rsid w:val="0066066B"/>
    <w:rPr>
      <w:sz w:val="16"/>
    </w:rPr>
  </w:style>
  <w:style w:type="paragraph" w:customStyle="1" w:styleId="WideTable">
    <w:name w:val="Wide Table"/>
    <w:basedOn w:val="Normal"/>
    <w:rsid w:val="006606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066B"/>
  </w:style>
  <w:style w:type="paragraph" w:styleId="Quote">
    <w:name w:val="Quote"/>
    <w:basedOn w:val="Heading1"/>
    <w:link w:val="QuoteChar"/>
    <w:qFormat/>
    <w:rsid w:val="006606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06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066B"/>
    <w:pPr>
      <w:pageBreakBefore/>
    </w:pPr>
  </w:style>
  <w:style w:type="paragraph" w:customStyle="1" w:styleId="Border">
    <w:name w:val="Border"/>
    <w:basedOn w:val="Normal"/>
    <w:qFormat/>
    <w:rsid w:val="006606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06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06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06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06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06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06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06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06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066B"/>
    <w:rPr>
      <w:u w:val="single"/>
    </w:rPr>
  </w:style>
  <w:style w:type="character" w:customStyle="1" w:styleId="BoldandItalics">
    <w:name w:val="Bold and Italics"/>
    <w:qFormat/>
    <w:rsid w:val="0066066B"/>
    <w:rPr>
      <w:b/>
      <w:i/>
      <w:u w:val="none"/>
    </w:rPr>
  </w:style>
  <w:style w:type="paragraph" w:styleId="BalloonText">
    <w:name w:val="Balloon Text"/>
    <w:basedOn w:val="Normal"/>
    <w:link w:val="BalloonTextChar"/>
    <w:rsid w:val="006606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06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06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06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06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06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066B"/>
    <w:pPr>
      <w:spacing w:before="0" w:after="0"/>
    </w:pPr>
  </w:style>
  <w:style w:type="paragraph" w:customStyle="1" w:styleId="BodyTextBold">
    <w:name w:val="Body Text Bold"/>
    <w:basedOn w:val="BodyText"/>
    <w:qFormat/>
    <w:rsid w:val="0066066B"/>
    <w:rPr>
      <w:b/>
    </w:rPr>
  </w:style>
  <w:style w:type="character" w:styleId="Hyperlink">
    <w:name w:val="Hyperlink"/>
    <w:basedOn w:val="DefaultParagraphFont"/>
    <w:uiPriority w:val="99"/>
    <w:unhideWhenUsed/>
    <w:rsid w:val="000E4D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955</Words>
  <Characters>6459</Characters>
  <Application>Microsoft Office Word</Application>
  <DocSecurity>0</DocSecurity>
  <Lines>208</Lines>
  <Paragraphs>115</Paragraphs>
  <ScaleCrop>false</ScaleCrop>
  <Company>Author-it Software Corporation Ltd.</Company>
  <LinksUpToDate>false</LinksUpToDate>
  <CharactersWithSpaces>7299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TLIX5054 Comply with biosecurity border clearance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2025-03-02T02:03:00Z</dcterms:created>
  <dcterms:modified xsi:type="dcterms:W3CDTF">2025-03-02T02:03:00Z</dcterms:modified>
</cp:coreProperties>
</file>