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22F4" w:rsidP="00132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TLIX5053 Determine tariff classification for complex goods</w:t>
      </w:r>
      <w:r>
        <w:fldChar w:fldCharType="end"/>
      </w:r>
    </w:p>
    <w:p w:rsidR="001322F4" w:rsidP="001322F4">
      <w:pPr>
        <w:pStyle w:val="Version"/>
        <w:sectPr w:rsidSect="00E46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61E6" w:rsidP="00E461E6">
      <w:pPr>
        <w:pStyle w:val="SuperHeading"/>
      </w:pPr>
      <w:r w:rsidRPr="00E461E6">
        <w:t>TLIX5053 Determine tariff classification for complex goods</w:t>
      </w:r>
    </w:p>
    <w:p w:rsidR="00000000" w:rsidRPr="00E461E6" w:rsidP="00E461E6">
      <w:pPr>
        <w:pStyle w:val="Heading1"/>
      </w:pPr>
      <w:bookmarkStart w:id="1" w:name="O_838576"/>
      <w:bookmarkEnd w:id="1"/>
      <w:r w:rsidRPr="00E461E6">
        <w:t>Modification History</w:t>
      </w:r>
    </w:p>
    <w:p w:rsidR="001322F4" w:rsidP="001322F4">
      <w:pPr>
        <w:pStyle w:val="BodyText"/>
      </w:pPr>
      <w:r w:rsidRPr="00E461E6">
        <w:t>Release 1. This is the first release of this unit of competency in the TLI Transport and Logistics Training Package.</w:t>
      </w:r>
    </w:p>
    <w:p w:rsidR="00000000" w:rsidRPr="00E461E6" w:rsidP="00E461E6">
      <w:pPr>
        <w:pStyle w:val="Heading1"/>
      </w:pPr>
      <w:bookmarkStart w:id="2" w:name="O_838577"/>
      <w:bookmarkEnd w:id="2"/>
      <w:r w:rsidRPr="00E461E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t>This unit involves the skills and knowledge required to classify complex</w:t>
            </w:r>
            <w:r w:rsidRPr="00E461E6">
              <w:t xml:space="preserve"> goods for import and export of goods in accordance with the current Australian Customs Act, relevant legislation and workplace requirements.</w:t>
            </w:r>
          </w:p>
          <w:p w:rsidR="00000000" w:rsidRPr="00E461E6" w:rsidP="00E461E6">
            <w:pPr>
              <w:pStyle w:val="BodyText"/>
            </w:pPr>
            <w:r w:rsidRPr="00E461E6">
              <w:t xml:space="preserve">This unit applies to individuals working as a customs broker. Work must be carried in compliance with the current </w:t>
            </w:r>
            <w:r w:rsidRPr="00E461E6">
              <w:t>Customs Tariff Act, relevant legislation and workplace requirements concerning customs classification functions.</w:t>
            </w:r>
          </w:p>
          <w:p w:rsidR="00000000" w:rsidRPr="00E461E6" w:rsidP="00E461E6">
            <w:pPr>
              <w:pStyle w:val="BodyText"/>
            </w:pPr>
            <w:r w:rsidRPr="00E461E6">
              <w:t>Work is undertaken in a range of environments including small to large worksites in the custom broking and international freight forwarding ind</w:t>
            </w:r>
            <w:r w:rsidRPr="00E461E6">
              <w:t>ustries</w:t>
            </w:r>
          </w:p>
          <w:p w:rsidR="00000000" w:rsidRPr="00E461E6" w:rsidP="00E461E6">
            <w:pPr>
              <w:pStyle w:val="BodyText"/>
            </w:pPr>
            <w:r w:rsidRPr="00E461E6">
              <w:t>No licensing, legislative or certification requirements apply to this unit at the time of publication.</w:t>
            </w:r>
          </w:p>
        </w:tc>
      </w:tr>
    </w:tbl>
    <w:p w:rsidR="001322F4" w:rsidP="00E461E6">
      <w:pPr>
        <w:pStyle w:val="BodyText"/>
      </w:pPr>
    </w:p>
    <w:p w:rsidR="001322F4" w:rsidP="00E461E6">
      <w:pPr>
        <w:pStyle w:val="BodyText"/>
      </w:pPr>
    </w:p>
    <w:p w:rsidR="00000000" w:rsidRPr="00E461E6" w:rsidP="00E461E6">
      <w:pPr>
        <w:pStyle w:val="Heading1"/>
      </w:pPr>
      <w:bookmarkStart w:id="3" w:name="O_838578"/>
      <w:bookmarkEnd w:id="3"/>
      <w:r w:rsidRPr="00E461E6">
        <w:t>Pre-requisite Unit</w:t>
      </w:r>
    </w:p>
    <w:p w:rsidR="001322F4" w:rsidP="001322F4">
      <w:pPr>
        <w:pStyle w:val="BodyText"/>
      </w:pPr>
      <w:r w:rsidRPr="00E461E6">
        <w:t>Not applicable.</w:t>
      </w:r>
    </w:p>
    <w:p w:rsidR="00000000" w:rsidRPr="00E461E6" w:rsidP="00E461E6">
      <w:pPr>
        <w:pStyle w:val="Heading1"/>
      </w:pPr>
      <w:bookmarkStart w:id="4" w:name="O_838579"/>
      <w:bookmarkEnd w:id="4"/>
      <w:r w:rsidRPr="00E461E6">
        <w:t>Competency Field</w:t>
      </w:r>
    </w:p>
    <w:p w:rsidR="001322F4" w:rsidP="001322F4">
      <w:pPr>
        <w:pStyle w:val="BodyText"/>
      </w:pPr>
      <w:r w:rsidRPr="00E461E6">
        <w:t>X – Logistics</w:t>
      </w:r>
    </w:p>
    <w:p w:rsidR="00000000" w:rsidRPr="00E461E6" w:rsidP="00E461E6">
      <w:pPr>
        <w:pStyle w:val="Heading1"/>
      </w:pPr>
      <w:bookmarkStart w:id="5" w:name="O_838580"/>
      <w:bookmarkEnd w:id="5"/>
      <w:r w:rsidRPr="00E461E6">
        <w:t>Unit Sector</w:t>
      </w:r>
    </w:p>
    <w:p w:rsidR="001322F4" w:rsidP="001322F4">
      <w:pPr>
        <w:pStyle w:val="BodyText"/>
      </w:pPr>
      <w:r w:rsidRPr="00E461E6">
        <w:t>Not applicable.</w:t>
      </w:r>
    </w:p>
    <w:p w:rsidR="00000000" w:rsidRPr="00E461E6" w:rsidP="00E461E6">
      <w:pPr>
        <w:pStyle w:val="Heading1"/>
      </w:pPr>
      <w:bookmarkStart w:id="6" w:name="O_838581"/>
      <w:bookmarkEnd w:id="6"/>
      <w:r w:rsidRPr="00E461E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3"/>
        <w:gridCol w:w="1882"/>
        <w:gridCol w:w="588"/>
        <w:gridCol w:w="6373"/>
      </w:tblGrid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PERFORMANCE CRITERIA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Performance criteria describe the performance needed to demonstrate achievement of the element.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Apply identi</w:t>
            </w:r>
            <w:r w:rsidRPr="00E461E6">
              <w:rPr>
                <w:rStyle w:val="SpecialBold"/>
              </w:rPr>
              <w:t>fication principles to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Research resources to classify goods are accessed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Objective and analytical classification principles are applied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Administrative Appeals Tribunal (AAT) decisions and court cases are considered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Precedents are considered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Product research is undertaken and validation of identification is sought as required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Interpret and apply interpretive rules to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Appropriate interpretive rules (IRs) are identified and accessed when classifying goods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IRs are applied to justify tariff classification of goods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Interpret and apply tariff section and chapter notes to goods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Tariff classification is considered in relation to legal notes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Rejection of alternate headings is justified by reference to section and chapter notes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Select tariff headings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Terms in context of particular tariff headings and words are applied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References to aid tariff interpretation are used as required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Alternate headings are considered as appropriate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Select tariff sub-headings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AAT decisions, court cases and other precedents on tariff classification are interpreted and used to inform selection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Sub-heading notes are reviewed in hierarchical order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Dash system is applied to classification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Relevant precedents are applied when classifying goods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rPr>
                <w:rStyle w:val="SpecialBold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rPr>
                <w:rStyle w:val="SpecialBold"/>
              </w:rPr>
              <w:t>Complete post classification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Requirements for tariff classification advice are identified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Tariff classification advice request is prepared in response to identified problems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Applications for tariff concession order are made in response to client instructions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 xml:space="preserve">Relevant documentation and other sources of information such as that sourced from the internet or from industry experts, is retained in accordance </w:t>
            </w:r>
            <w:r w:rsidRPr="00E461E6">
              <w:t xml:space="preserve">with legislative requirements and workplace procedures 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 xml:space="preserve">Completed documentation is stored in accordance with relevant Australian </w:t>
            </w:r>
            <w:r w:rsidRPr="00E461E6">
              <w:t>Government department and legislative requirements, and workplace procedures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Tariff classification advice is prov</w:t>
            </w:r>
            <w:r w:rsidRPr="00E461E6">
              <w:t>ided to client in accordance with workplace procedures</w:t>
            </w:r>
          </w:p>
        </w:tc>
      </w:tr>
      <w:tr w:rsidTr="00132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61E6">
            <w:pPr>
              <w:pStyle w:val="BodyText"/>
              <w:rPr>
                <w:lang w:val="en-NZ"/>
              </w:rPr>
            </w:pPr>
            <w:r w:rsidRPr="00E461E6"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61E6" w:rsidP="00E461E6">
            <w:pPr>
              <w:pStyle w:val="BodyText"/>
            </w:pPr>
            <w:r w:rsidRPr="00E461E6">
              <w:t>Pre-or post classification areas of dispute are identified and dispute resolution procedures are initiated as required</w:t>
            </w:r>
          </w:p>
        </w:tc>
      </w:tr>
    </w:tbl>
    <w:p w:rsidR="001322F4" w:rsidP="00E461E6">
      <w:pPr>
        <w:pStyle w:val="BodyText"/>
      </w:pPr>
    </w:p>
    <w:p w:rsidR="001322F4" w:rsidP="00E461E6">
      <w:pPr>
        <w:pStyle w:val="BodyText"/>
      </w:pPr>
    </w:p>
    <w:p w:rsidR="00000000" w:rsidRPr="00E461E6" w:rsidP="00E461E6">
      <w:pPr>
        <w:pStyle w:val="Heading1"/>
      </w:pPr>
      <w:bookmarkStart w:id="7" w:name="O_838582"/>
      <w:bookmarkEnd w:id="7"/>
      <w:r w:rsidRPr="00E461E6">
        <w:t>Foundation Skills</w:t>
      </w:r>
    </w:p>
    <w:p w:rsidR="001322F4" w:rsidP="001322F4">
      <w:pPr>
        <w:pStyle w:val="BodyText"/>
      </w:pPr>
      <w:r w:rsidRPr="00E461E6">
        <w:t>Found</w:t>
      </w:r>
      <w:r w:rsidRPr="00E461E6">
        <w:t>ation skills essential to performance are explicit in the performance criteria of this unit of competency.</w:t>
      </w:r>
    </w:p>
    <w:p w:rsidR="00000000" w:rsidRPr="00E461E6" w:rsidP="00E461E6">
      <w:pPr>
        <w:pStyle w:val="Heading1"/>
      </w:pPr>
      <w:bookmarkStart w:id="8" w:name="O_838583"/>
      <w:bookmarkEnd w:id="8"/>
      <w:r w:rsidRPr="00E461E6">
        <w:t>Range of Conditions</w:t>
      </w:r>
    </w:p>
    <w:p w:rsidR="00000000" w:rsidRPr="00E461E6" w:rsidP="001322F4">
      <w:pPr>
        <w:pStyle w:val="BodyText"/>
      </w:pPr>
      <w:r w:rsidRPr="00E461E6">
        <w:t>Range is restricted to essential operating conditions and any other variables essential to the work environment</w:t>
      </w:r>
      <w:r w:rsidRPr="00E461E6">
        <w:t>.</w:t>
      </w:r>
    </w:p>
    <w:p w:rsidR="001322F4" w:rsidP="001322F4">
      <w:pPr>
        <w:pStyle w:val="BodyText"/>
      </w:pPr>
      <w:r w:rsidRPr="00E461E6">
        <w:t>Non-essential conditions can be found in the Companion Volume Implementation Guide.</w:t>
      </w:r>
    </w:p>
    <w:p w:rsidR="00000000" w:rsidRPr="00E461E6" w:rsidP="00E461E6">
      <w:pPr>
        <w:pStyle w:val="Heading1"/>
      </w:pPr>
      <w:bookmarkStart w:id="9" w:name="O_838584"/>
      <w:bookmarkEnd w:id="9"/>
      <w:r w:rsidRPr="00E461E6">
        <w:t>Unit Mapping Information</w:t>
      </w:r>
    </w:p>
    <w:p w:rsidR="001322F4" w:rsidP="001322F4">
      <w:pPr>
        <w:pStyle w:val="BodyText"/>
      </w:pPr>
      <w:r w:rsidRPr="00E461E6">
        <w:t>This unit replaces and is equivalent to TLIX5053A Determine tariff classification for complex goods.</w:t>
      </w:r>
    </w:p>
    <w:p w:rsidR="00000000" w:rsidRPr="00E461E6" w:rsidP="00E461E6">
      <w:pPr>
        <w:pStyle w:val="Heading1"/>
      </w:pPr>
      <w:bookmarkStart w:id="10" w:name="O_838591"/>
      <w:bookmarkEnd w:id="10"/>
      <w:r w:rsidRPr="00E461E6">
        <w:t>Links</w:t>
      </w:r>
    </w:p>
    <w:p w:rsidR="00000000" w:rsidRPr="00E461E6" w:rsidP="001322F4">
      <w:pPr>
        <w:pStyle w:val="BodyText"/>
      </w:pPr>
      <w:r w:rsidRPr="00E461E6">
        <w:t>Co</w:t>
      </w:r>
      <w:r w:rsidRPr="00E461E6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F1B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461E6" w:rsidP="00E461E6"/>
    <w:sectPr w:rsidSect="00E46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E6" w:rsidRPr="001322F4" w:rsidP="00132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F4" w:rsidP="00E46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22F4" w:rsidP="00E46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322F4" w:rsidP="00E46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61E6" w:rsidRPr="001322F4" w:rsidP="00132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2F4" w:rsidRPr="002D2AF8" w:rsidP="00E46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TLIX5053 Determine tariff classification for complex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April 2022</w:t>
    </w:r>
    <w:r>
      <w:fldChar w:fldCharType="end"/>
    </w:r>
  </w:p>
  <w:p w:rsidR="001322F4" w:rsidP="00E46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6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6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6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6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6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6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6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6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6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6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61E6"/>
  </w:style>
  <w:style w:type="character" w:customStyle="1" w:styleId="Heading1Char">
    <w:name w:val="Heading 1 Char"/>
    <w:basedOn w:val="DefaultParagraphFont"/>
    <w:link w:val="Heading1"/>
    <w:rsid w:val="00E46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6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61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61E6"/>
    <w:rPr>
      <w:b/>
      <w:spacing w:val="0"/>
    </w:rPr>
  </w:style>
  <w:style w:type="paragraph" w:customStyle="1" w:styleId="SuperHeading">
    <w:name w:val="SuperHeading"/>
    <w:basedOn w:val="Normal"/>
    <w:rsid w:val="00E46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6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6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6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6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6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6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6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6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6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6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6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6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6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6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6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6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6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6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6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61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61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6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6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6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6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61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6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6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6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6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6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6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6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6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6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61E6"/>
    <w:rPr>
      <w:i/>
    </w:rPr>
  </w:style>
  <w:style w:type="paragraph" w:styleId="Caption">
    <w:name w:val="caption"/>
    <w:basedOn w:val="BodyText"/>
    <w:next w:val="Normal"/>
    <w:qFormat/>
    <w:rsid w:val="00E46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6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6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61E6"/>
  </w:style>
  <w:style w:type="paragraph" w:styleId="TableofFigures">
    <w:name w:val="table of figures"/>
    <w:basedOn w:val="Normal"/>
    <w:next w:val="Normal"/>
    <w:semiHidden/>
    <w:rsid w:val="00E46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61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61E6"/>
    <w:rPr>
      <w:rFonts w:ascii="Wingdings" w:hAnsi="Wingdings"/>
    </w:rPr>
  </w:style>
  <w:style w:type="paragraph" w:customStyle="1" w:styleId="TableHeading">
    <w:name w:val="Table Heading"/>
    <w:basedOn w:val="HeadingBase"/>
    <w:rsid w:val="00E46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61E6"/>
    <w:rPr>
      <w:color w:val="0033CC"/>
      <w:u w:val="none"/>
    </w:rPr>
  </w:style>
  <w:style w:type="paragraph" w:customStyle="1" w:styleId="BodyTextRight">
    <w:name w:val="Body Text Right"/>
    <w:basedOn w:val="BodyText"/>
    <w:rsid w:val="00E46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6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61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6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6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6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61E6"/>
    <w:rPr>
      <w:sz w:val="32"/>
    </w:rPr>
  </w:style>
  <w:style w:type="paragraph" w:customStyle="1" w:styleId="HeadingProcedure">
    <w:name w:val="Heading Procedure"/>
    <w:basedOn w:val="HeadingBase"/>
    <w:next w:val="Normal"/>
    <w:rsid w:val="00E46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61E6"/>
    <w:pPr>
      <w:spacing w:before="60" w:after="60"/>
    </w:pPr>
  </w:style>
  <w:style w:type="paragraph" w:styleId="ListContinue">
    <w:name w:val="List Continue"/>
    <w:basedOn w:val="List"/>
    <w:rsid w:val="00E461E6"/>
    <w:pPr>
      <w:ind w:firstLine="0"/>
    </w:pPr>
  </w:style>
  <w:style w:type="paragraph" w:customStyle="1" w:styleId="ListNote">
    <w:name w:val="List Note"/>
    <w:basedOn w:val="List"/>
    <w:rsid w:val="00E46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6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6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61E6"/>
    <w:rPr>
      <w:rFonts w:ascii="Courier New" w:hAnsi="Courier New"/>
    </w:rPr>
  </w:style>
  <w:style w:type="paragraph" w:customStyle="1" w:styleId="NoteBullet">
    <w:name w:val="Note Bullet"/>
    <w:basedOn w:val="Note"/>
    <w:rsid w:val="00E46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6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6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6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61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6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6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61E6"/>
    <w:rPr>
      <w:b/>
      <w:smallCaps/>
    </w:rPr>
  </w:style>
  <w:style w:type="paragraph" w:customStyle="1" w:styleId="TableListNumber">
    <w:name w:val="Table List Number"/>
    <w:basedOn w:val="ListNumber"/>
    <w:rsid w:val="00E46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6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61E6"/>
    <w:pPr>
      <w:numPr>
        <w:numId w:val="7"/>
      </w:numPr>
    </w:pPr>
  </w:style>
  <w:style w:type="paragraph" w:customStyle="1" w:styleId="ListAlpha2">
    <w:name w:val="List Alpha 2"/>
    <w:basedOn w:val="List2"/>
    <w:rsid w:val="00E461E6"/>
    <w:pPr>
      <w:numPr>
        <w:numId w:val="6"/>
      </w:numPr>
    </w:pPr>
  </w:style>
  <w:style w:type="paragraph" w:styleId="List2">
    <w:name w:val="List 2"/>
    <w:basedOn w:val="BodyText"/>
    <w:rsid w:val="00E46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6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6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6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61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61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61E6"/>
    <w:pPr>
      <w:numPr>
        <w:numId w:val="2"/>
      </w:numPr>
    </w:pPr>
  </w:style>
  <w:style w:type="paragraph" w:styleId="ListContinue2">
    <w:name w:val="List Continue 2"/>
    <w:basedOn w:val="List2"/>
    <w:rsid w:val="00E461E6"/>
    <w:pPr>
      <w:ind w:firstLine="0"/>
    </w:pPr>
  </w:style>
  <w:style w:type="paragraph" w:styleId="ListContinue3">
    <w:name w:val="List Continue 3"/>
    <w:basedOn w:val="List3"/>
    <w:rsid w:val="00E461E6"/>
    <w:pPr>
      <w:ind w:left="1021" w:firstLine="0"/>
    </w:pPr>
  </w:style>
  <w:style w:type="paragraph" w:styleId="ListContinue4">
    <w:name w:val="List Continue 4"/>
    <w:basedOn w:val="List4"/>
    <w:rsid w:val="00E461E6"/>
    <w:pPr>
      <w:ind w:firstLine="0"/>
    </w:pPr>
  </w:style>
  <w:style w:type="paragraph" w:styleId="ListContinue5">
    <w:name w:val="List Continue 5"/>
    <w:basedOn w:val="List5"/>
    <w:rsid w:val="00E461E6"/>
    <w:pPr>
      <w:ind w:firstLine="0"/>
    </w:pPr>
  </w:style>
  <w:style w:type="paragraph" w:styleId="ListNumber3">
    <w:name w:val="List Number 3"/>
    <w:basedOn w:val="List3"/>
    <w:rsid w:val="00E461E6"/>
    <w:pPr>
      <w:numPr>
        <w:numId w:val="3"/>
      </w:numPr>
    </w:pPr>
  </w:style>
  <w:style w:type="paragraph" w:styleId="ListNumber4">
    <w:name w:val="List Number 4"/>
    <w:basedOn w:val="List4"/>
    <w:rsid w:val="00E461E6"/>
    <w:pPr>
      <w:numPr>
        <w:numId w:val="4"/>
      </w:numPr>
    </w:pPr>
  </w:style>
  <w:style w:type="paragraph" w:styleId="ListNumber5">
    <w:name w:val="List Number 5"/>
    <w:basedOn w:val="List5"/>
    <w:rsid w:val="00E461E6"/>
    <w:pPr>
      <w:numPr>
        <w:numId w:val="5"/>
      </w:numPr>
    </w:pPr>
  </w:style>
  <w:style w:type="paragraph" w:styleId="BlockText">
    <w:name w:val="Block Text"/>
    <w:basedOn w:val="Normal"/>
    <w:rsid w:val="00E46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6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61E6"/>
    <w:rPr>
      <w:sz w:val="16"/>
      <w:vertAlign w:val="superscript"/>
    </w:rPr>
  </w:style>
  <w:style w:type="character" w:customStyle="1" w:styleId="Symbols">
    <w:name w:val="Symbols"/>
    <w:basedOn w:val="DefaultParagraphFont"/>
    <w:rsid w:val="00E461E6"/>
    <w:rPr>
      <w:rFonts w:ascii="Symbol" w:hAnsi="Symbol"/>
    </w:rPr>
  </w:style>
  <w:style w:type="character" w:customStyle="1" w:styleId="MenuOptions">
    <w:name w:val="Menu Options"/>
    <w:basedOn w:val="DefaultParagraphFont"/>
    <w:rsid w:val="00E46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61E6"/>
    <w:rPr>
      <w:b/>
    </w:rPr>
  </w:style>
  <w:style w:type="character" w:customStyle="1" w:styleId="Underlined">
    <w:name w:val="Underlined"/>
    <w:basedOn w:val="DefaultParagraphFont"/>
    <w:rsid w:val="00E461E6"/>
    <w:rPr>
      <w:u w:val="single"/>
    </w:rPr>
  </w:style>
  <w:style w:type="paragraph" w:customStyle="1" w:styleId="TableBodyTextRight">
    <w:name w:val="Table Body Text Right"/>
    <w:basedOn w:val="TableBodyText"/>
    <w:rsid w:val="00E46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61E6"/>
    <w:rPr>
      <w:sz w:val="18"/>
    </w:rPr>
  </w:style>
  <w:style w:type="paragraph" w:customStyle="1" w:styleId="BodySmallRight">
    <w:name w:val="Body Small Right"/>
    <w:basedOn w:val="BodyTextRight"/>
    <w:rsid w:val="00E461E6"/>
    <w:rPr>
      <w:sz w:val="18"/>
      <w:szCs w:val="18"/>
    </w:rPr>
  </w:style>
  <w:style w:type="paragraph" w:customStyle="1" w:styleId="MarginEdition">
    <w:name w:val="Margin Edition"/>
    <w:basedOn w:val="MarginNote"/>
    <w:rsid w:val="00E46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61E6"/>
    <w:rPr>
      <w:sz w:val="2"/>
      <w:szCs w:val="2"/>
    </w:rPr>
  </w:style>
  <w:style w:type="character" w:customStyle="1" w:styleId="Small">
    <w:name w:val="Small"/>
    <w:basedOn w:val="DefaultParagraphFont"/>
    <w:rsid w:val="00E461E6"/>
    <w:rPr>
      <w:sz w:val="16"/>
    </w:rPr>
  </w:style>
  <w:style w:type="paragraph" w:customStyle="1" w:styleId="WideTable">
    <w:name w:val="Wide Table"/>
    <w:basedOn w:val="Normal"/>
    <w:rsid w:val="00E46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61E6"/>
  </w:style>
  <w:style w:type="paragraph" w:styleId="Quote">
    <w:name w:val="Quote"/>
    <w:basedOn w:val="Heading1"/>
    <w:link w:val="QuoteChar"/>
    <w:qFormat/>
    <w:rsid w:val="00E46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6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61E6"/>
    <w:pPr>
      <w:pageBreakBefore/>
    </w:pPr>
  </w:style>
  <w:style w:type="paragraph" w:customStyle="1" w:styleId="Border">
    <w:name w:val="Border"/>
    <w:basedOn w:val="Normal"/>
    <w:qFormat/>
    <w:rsid w:val="00E46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6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6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6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6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6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6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6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6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61E6"/>
    <w:rPr>
      <w:u w:val="single"/>
    </w:rPr>
  </w:style>
  <w:style w:type="character" w:customStyle="1" w:styleId="BoldandItalics">
    <w:name w:val="Bold and Italics"/>
    <w:qFormat/>
    <w:rsid w:val="00E461E6"/>
    <w:rPr>
      <w:b/>
      <w:i/>
      <w:u w:val="none"/>
    </w:rPr>
  </w:style>
  <w:style w:type="paragraph" w:styleId="BalloonText">
    <w:name w:val="Balloon Text"/>
    <w:basedOn w:val="Normal"/>
    <w:link w:val="BalloonTextChar"/>
    <w:rsid w:val="00E46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6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6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6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6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6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61E6"/>
    <w:pPr>
      <w:spacing w:before="0" w:after="0"/>
    </w:pPr>
  </w:style>
  <w:style w:type="paragraph" w:customStyle="1" w:styleId="BodyTextBold">
    <w:name w:val="Body Text Bold"/>
    <w:basedOn w:val="BodyText"/>
    <w:qFormat/>
    <w:rsid w:val="00E461E6"/>
    <w:rPr>
      <w:b/>
    </w:rPr>
  </w:style>
  <w:style w:type="character" w:styleId="Hyperlink">
    <w:name w:val="Hyperlink"/>
    <w:basedOn w:val="DefaultParagraphFont"/>
    <w:uiPriority w:val="99"/>
    <w:unhideWhenUsed/>
    <w:rsid w:val="00132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3726</Characters>
  <Application>Microsoft Office Word</Application>
  <DocSecurity>0</DocSecurity>
  <Lines>177</Lines>
  <Paragraphs>105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TLIX5053 Determine tariff classification for complex goods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2022-04-07T07:30:00Z</dcterms:created>
  <dcterms:modified xsi:type="dcterms:W3CDTF">2022-04-07T07:30:00Z</dcterms:modified>
</cp:coreProperties>
</file>