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F63" w:rsidP="00454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TLIX5052 Determine complex customs value</w:t>
      </w:r>
      <w:r>
        <w:fldChar w:fldCharType="end"/>
      </w:r>
    </w:p>
    <w:p w:rsidR="00454F63" w:rsidP="00454F63">
      <w:pPr>
        <w:pStyle w:val="Version"/>
        <w:sectPr w:rsidSect="00814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7E7" w:rsidP="008147E7">
      <w:pPr>
        <w:pStyle w:val="SuperHeading"/>
      </w:pPr>
      <w:r w:rsidRPr="008147E7">
        <w:t>TLIX5052 Determine complex customs value</w:t>
      </w:r>
    </w:p>
    <w:p w:rsidR="00000000" w:rsidRPr="008147E7" w:rsidP="008147E7">
      <w:pPr>
        <w:pStyle w:val="Heading1"/>
      </w:pPr>
      <w:bookmarkStart w:id="1" w:name="O_838557"/>
      <w:bookmarkEnd w:id="1"/>
      <w:r w:rsidRPr="008147E7">
        <w:t>Modification History</w:t>
      </w:r>
    </w:p>
    <w:p w:rsidR="00454F63" w:rsidP="00454F63">
      <w:pPr>
        <w:pStyle w:val="BodyText"/>
      </w:pPr>
      <w:r w:rsidRPr="008147E7">
        <w:t>Release 1. This is the first release of this unit of competency in the TLI Transport and Logistics Training Package.</w:t>
      </w:r>
    </w:p>
    <w:p w:rsidR="00000000" w:rsidRPr="008147E7" w:rsidP="008147E7">
      <w:pPr>
        <w:pStyle w:val="Heading1"/>
      </w:pPr>
      <w:bookmarkStart w:id="2" w:name="O_838558"/>
      <w:bookmarkEnd w:id="2"/>
      <w:r w:rsidRPr="008147E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E7" w:rsidP="008147E7">
            <w:pPr>
              <w:pStyle w:val="BodyText"/>
            </w:pPr>
            <w:r w:rsidRPr="008147E7">
              <w:t>This unit involves the skills and knowledge required to carry out complex customs valuat</w:t>
            </w:r>
            <w:r w:rsidRPr="008147E7">
              <w:t xml:space="preserve">ion in accordance with customs and relevant legislation. </w:t>
            </w:r>
          </w:p>
          <w:p w:rsidR="00000000" w:rsidRPr="008147E7" w:rsidP="008147E7">
            <w:pPr>
              <w:pStyle w:val="BodyText"/>
            </w:pPr>
            <w:r w:rsidRPr="008147E7">
              <w:t>It includes applying the relevant method for the complex customs valuation required, identifying the contract of sale for customs valuation purposes, determining the price and elements of adjusted p</w:t>
            </w:r>
            <w:r w:rsidRPr="008147E7">
              <w:t xml:space="preserve">rice, and identifying elements of price related costs. It also includes calculating customs value through the application of currency conversion and factorisation principles, and recording valuation information on customs declaration. </w:t>
            </w:r>
          </w:p>
          <w:p w:rsidR="00000000" w:rsidRPr="008147E7" w:rsidP="008147E7">
            <w:pPr>
              <w:pStyle w:val="BodyText"/>
            </w:pPr>
            <w:r w:rsidRPr="008147E7">
              <w:t>This unit applies to</w:t>
            </w:r>
            <w:r w:rsidRPr="008147E7">
              <w:t xml:space="preserve"> individuals working as a customs broker. Work must be carried out in compliance with the current Australian Customs Act as amended and case law concerning customs valuation.</w:t>
            </w:r>
          </w:p>
          <w:p w:rsidR="00000000" w:rsidRPr="008147E7" w:rsidP="008147E7">
            <w:pPr>
              <w:pStyle w:val="BodyText"/>
            </w:pPr>
            <w:r w:rsidRPr="008147E7">
              <w:t xml:space="preserve">Work is undertaken in a range of environments including small to large worksites </w:t>
            </w:r>
            <w:r w:rsidRPr="008147E7">
              <w:t>in the customs broking and international trade industries.</w:t>
            </w:r>
          </w:p>
          <w:p w:rsidR="00000000" w:rsidRPr="008147E7" w:rsidP="008147E7">
            <w:pPr>
              <w:pStyle w:val="BodyText"/>
            </w:pPr>
            <w:r w:rsidRPr="008147E7">
              <w:t>No licensing, legislative or certification requirements apply to this unit at the time of publication.</w:t>
            </w:r>
          </w:p>
        </w:tc>
      </w:tr>
    </w:tbl>
    <w:p w:rsidR="00454F63" w:rsidP="008147E7">
      <w:pPr>
        <w:pStyle w:val="BodyText"/>
      </w:pPr>
    </w:p>
    <w:p w:rsidR="00454F63" w:rsidP="008147E7">
      <w:pPr>
        <w:pStyle w:val="BodyText"/>
      </w:pPr>
    </w:p>
    <w:p w:rsidR="00000000" w:rsidRPr="008147E7" w:rsidP="008147E7">
      <w:pPr>
        <w:pStyle w:val="Heading1"/>
      </w:pPr>
      <w:bookmarkStart w:id="3" w:name="O_838559"/>
      <w:bookmarkEnd w:id="3"/>
      <w:r w:rsidRPr="008147E7">
        <w:t>Pre-requisite Unit</w:t>
      </w:r>
    </w:p>
    <w:p w:rsidR="00454F63" w:rsidP="00454F63">
      <w:pPr>
        <w:pStyle w:val="BodyText"/>
      </w:pPr>
      <w:r w:rsidRPr="008147E7">
        <w:t>Not applicable.</w:t>
      </w:r>
    </w:p>
    <w:p w:rsidR="00000000" w:rsidRPr="008147E7" w:rsidP="008147E7">
      <w:pPr>
        <w:pStyle w:val="Heading1"/>
      </w:pPr>
      <w:bookmarkStart w:id="4" w:name="O_838560"/>
      <w:bookmarkEnd w:id="4"/>
      <w:r w:rsidRPr="008147E7">
        <w:t>Competency Field</w:t>
      </w:r>
    </w:p>
    <w:p w:rsidR="00454F63" w:rsidP="00454F63">
      <w:pPr>
        <w:pStyle w:val="BodyText"/>
      </w:pPr>
      <w:r w:rsidRPr="008147E7">
        <w:t xml:space="preserve">X – </w:t>
      </w:r>
      <w:r w:rsidRPr="008147E7">
        <w:t>Logistics</w:t>
      </w:r>
    </w:p>
    <w:p w:rsidR="00000000" w:rsidRPr="008147E7" w:rsidP="008147E7">
      <w:pPr>
        <w:pStyle w:val="Heading1"/>
      </w:pPr>
      <w:bookmarkStart w:id="5" w:name="O_838561"/>
      <w:bookmarkEnd w:id="5"/>
      <w:r w:rsidRPr="008147E7">
        <w:t>Unit Sector</w:t>
      </w:r>
    </w:p>
    <w:p w:rsidR="00454F63" w:rsidP="00454F63">
      <w:pPr>
        <w:pStyle w:val="BodyText"/>
      </w:pPr>
      <w:r w:rsidRPr="008147E7">
        <w:t>Not applicable.</w:t>
      </w:r>
    </w:p>
    <w:p w:rsidR="00000000" w:rsidRPr="008147E7" w:rsidP="008147E7">
      <w:pPr>
        <w:pStyle w:val="Heading1"/>
      </w:pPr>
      <w:bookmarkStart w:id="6" w:name="O_838562"/>
      <w:bookmarkEnd w:id="6"/>
      <w:r w:rsidRPr="008147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E7" w:rsidP="008147E7">
            <w:pPr>
              <w:pStyle w:val="BodyText"/>
            </w:pPr>
            <w:r w:rsidRPr="008147E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rPr>
                <w:rStyle w:val="SpecialBold"/>
              </w:rPr>
              <w:t>PERFORMANCE CRITERIA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Performance criteria describe the performance needed to demonstrate achievement of the element.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E7" w:rsidP="008147E7">
            <w:pPr>
              <w:pStyle w:val="BodyText"/>
            </w:pPr>
            <w:r w:rsidRPr="008147E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rPr>
                <w:rStyle w:val="SpecialBold"/>
              </w:rPr>
              <w:t>Apply appropriate valuation method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Situations where transaction value method applies are recognised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Situations where alternate methods of valuation apply are recognised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Situations where there is insufficient reliable information to determine appropriate valuation method, are identified and referred in accordance with workplace policies and procedu</w:t>
            </w:r>
            <w:r w:rsidRPr="008147E7">
              <w:t>res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Appropriate valuation method is selected and applied for the complex customs valuation situation identified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Variations to the order of use of valuation methods are considered and applie</w:t>
            </w:r>
            <w:r w:rsidRPr="008147E7">
              <w:t>d in accordance with the provisions of the current Australian Customs Act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E7" w:rsidP="008147E7">
            <w:pPr>
              <w:pStyle w:val="BodyText"/>
            </w:pPr>
            <w:r w:rsidRPr="008147E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rPr>
                <w:rStyle w:val="SpecialBold"/>
              </w:rPr>
              <w:t>Apply elements of price related costs for a customs valuation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Correct treatment of royalty or licence fee in customs value is determined and followed in accordance with the cu</w:t>
            </w:r>
            <w:r w:rsidRPr="008147E7">
              <w:t>rrent Australian Customs Act and relevant case law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Correct treatment of commissions to be included in customs value is determined and followed in accordance with the current Australian Customs Act and relevant case law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Correct valuation method for private import of cars and yachts is determined and followed in accordance with relevant legislation, case law and current Australian customs policies and procedures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E7" w:rsidP="008147E7">
            <w:pPr>
              <w:pStyle w:val="BodyText"/>
            </w:pPr>
            <w:r w:rsidRPr="008147E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rPr>
                <w:rStyle w:val="SpecialBold"/>
              </w:rPr>
              <w:t>Seek valuation advice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Requirement for an application f</w:t>
            </w:r>
            <w:r w:rsidRPr="008147E7">
              <w:t>or valuation advice is identified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Valuation advice is prepared in response to identified concern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Correct legislative and case law references are included in the application for valuation advice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Post entry valuation advice to client is initiated as required</w:t>
            </w:r>
          </w:p>
        </w:tc>
      </w:tr>
      <w:tr w:rsidTr="00454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7E7">
            <w:pPr>
              <w:pStyle w:val="BodyText"/>
              <w:rPr>
                <w:lang w:val="en-NZ"/>
              </w:rPr>
            </w:pPr>
            <w:r w:rsidRPr="008147E7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7E7" w:rsidP="008147E7">
            <w:pPr>
              <w:pStyle w:val="BodyText"/>
            </w:pPr>
            <w:r w:rsidRPr="008147E7">
              <w:t>Relevant documentation is passed on to client in accordance with legislation and workplace procedures</w:t>
            </w:r>
          </w:p>
        </w:tc>
      </w:tr>
    </w:tbl>
    <w:p w:rsidR="00454F63" w:rsidP="008147E7">
      <w:pPr>
        <w:pStyle w:val="BodyText"/>
      </w:pPr>
    </w:p>
    <w:p w:rsidR="00454F63" w:rsidP="008147E7">
      <w:pPr>
        <w:pStyle w:val="BodyText"/>
      </w:pPr>
    </w:p>
    <w:p w:rsidR="00000000" w:rsidRPr="008147E7" w:rsidP="008147E7">
      <w:pPr>
        <w:pStyle w:val="Heading1"/>
      </w:pPr>
      <w:bookmarkStart w:id="7" w:name="O_838563"/>
      <w:bookmarkEnd w:id="7"/>
      <w:r w:rsidRPr="008147E7">
        <w:t>Foundation Skills</w:t>
      </w:r>
    </w:p>
    <w:p w:rsidR="00454F63" w:rsidP="00454F63">
      <w:pPr>
        <w:pStyle w:val="BodyText"/>
      </w:pPr>
      <w:r w:rsidRPr="008147E7">
        <w:t>Foundation skills essential to performance are</w:t>
      </w:r>
      <w:r w:rsidRPr="008147E7">
        <w:t xml:space="preserve"> explicit in the performance criteria of this unit of competency.</w:t>
      </w:r>
    </w:p>
    <w:p w:rsidR="00000000" w:rsidRPr="008147E7" w:rsidP="008147E7">
      <w:pPr>
        <w:pStyle w:val="Heading1"/>
      </w:pPr>
      <w:bookmarkStart w:id="8" w:name="O_838564"/>
      <w:bookmarkEnd w:id="8"/>
      <w:r w:rsidRPr="008147E7">
        <w:t>Range of Conditions</w:t>
      </w:r>
    </w:p>
    <w:p w:rsidR="00000000" w:rsidRPr="008147E7" w:rsidP="00454F63">
      <w:pPr>
        <w:pStyle w:val="BodyText"/>
      </w:pPr>
      <w:r w:rsidRPr="008147E7">
        <w:t>Range is restricted to essential operating conditions and any other variables essential to the work environment.</w:t>
      </w:r>
    </w:p>
    <w:p w:rsidR="00454F63" w:rsidP="00454F63">
      <w:pPr>
        <w:pStyle w:val="BodyText"/>
      </w:pPr>
      <w:r w:rsidRPr="008147E7">
        <w:t>Non</w:t>
      </w:r>
      <w:r w:rsidRPr="008147E7">
        <w:noBreakHyphen/>
      </w:r>
      <w:r w:rsidRPr="008147E7">
        <w:t>essential conditions can be found in the Companion Volume Implementation Guide.</w:t>
      </w:r>
    </w:p>
    <w:p w:rsidR="00000000" w:rsidRPr="008147E7" w:rsidP="008147E7">
      <w:pPr>
        <w:pStyle w:val="Heading1"/>
      </w:pPr>
      <w:bookmarkStart w:id="9" w:name="O_838565"/>
      <w:bookmarkEnd w:id="9"/>
      <w:r w:rsidRPr="008147E7">
        <w:t>Unit Mapping Information</w:t>
      </w:r>
    </w:p>
    <w:p w:rsidR="00454F63" w:rsidP="00454F63">
      <w:pPr>
        <w:pStyle w:val="BodyText"/>
      </w:pPr>
      <w:r w:rsidRPr="008147E7">
        <w:t>This unit replaces and is equivalent to TLIX5052A Determine complex customs value.</w:t>
      </w:r>
    </w:p>
    <w:p w:rsidR="00000000" w:rsidRPr="008147E7" w:rsidP="008147E7">
      <w:pPr>
        <w:pStyle w:val="Heading1"/>
      </w:pPr>
      <w:bookmarkStart w:id="10" w:name="O_838572"/>
      <w:bookmarkEnd w:id="10"/>
      <w:r w:rsidRPr="008147E7">
        <w:t>Links</w:t>
      </w:r>
    </w:p>
    <w:p w:rsidR="00000000" w:rsidRPr="008147E7" w:rsidP="00454F63">
      <w:pPr>
        <w:pStyle w:val="BodyText"/>
      </w:pPr>
      <w:r w:rsidRPr="008147E7">
        <w:t>Companion Volume implement</w:t>
      </w:r>
      <w:r w:rsidRPr="008147E7">
        <w:t xml:space="preserve">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A53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147E7" w:rsidP="008147E7"/>
    <w:sectPr w:rsidSect="008147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E7" w:rsidRPr="00454F63" w:rsidP="00454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63" w:rsidP="00814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F63" w:rsidP="00814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4F63" w:rsidP="00814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7E7" w:rsidRPr="00454F63" w:rsidP="00454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F63" w:rsidRPr="002D2AF8" w:rsidP="00814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TLIX5052 Determine complex customs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454F63" w:rsidP="00814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7E7"/>
  </w:style>
  <w:style w:type="character" w:customStyle="1" w:styleId="Heading1Char">
    <w:name w:val="Heading 1 Char"/>
    <w:basedOn w:val="DefaultParagraphFont"/>
    <w:link w:val="Heading1"/>
    <w:rsid w:val="00814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7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147E7"/>
    <w:rPr>
      <w:b/>
      <w:spacing w:val="0"/>
    </w:rPr>
  </w:style>
  <w:style w:type="paragraph" w:customStyle="1" w:styleId="SuperHeading">
    <w:name w:val="SuperHeading"/>
    <w:basedOn w:val="Normal"/>
    <w:rsid w:val="00814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7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47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4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7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7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7E7"/>
    <w:rPr>
      <w:i/>
    </w:rPr>
  </w:style>
  <w:style w:type="paragraph" w:styleId="Caption">
    <w:name w:val="caption"/>
    <w:basedOn w:val="BodyText"/>
    <w:next w:val="Normal"/>
    <w:qFormat/>
    <w:rsid w:val="00814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7E7"/>
  </w:style>
  <w:style w:type="paragraph" w:styleId="TableofFigures">
    <w:name w:val="table of figures"/>
    <w:basedOn w:val="Normal"/>
    <w:next w:val="Normal"/>
    <w:semiHidden/>
    <w:rsid w:val="00814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7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47E7"/>
    <w:rPr>
      <w:rFonts w:ascii="Wingdings" w:hAnsi="Wingdings"/>
    </w:rPr>
  </w:style>
  <w:style w:type="paragraph" w:customStyle="1" w:styleId="TableHeading">
    <w:name w:val="Table Heading"/>
    <w:basedOn w:val="HeadingBase"/>
    <w:rsid w:val="00814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7E7"/>
    <w:rPr>
      <w:color w:val="0033CC"/>
      <w:u w:val="none"/>
    </w:rPr>
  </w:style>
  <w:style w:type="paragraph" w:customStyle="1" w:styleId="BodyTextRight">
    <w:name w:val="Body Text Right"/>
    <w:basedOn w:val="BodyText"/>
    <w:rsid w:val="00814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7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7E7"/>
    <w:rPr>
      <w:sz w:val="32"/>
    </w:rPr>
  </w:style>
  <w:style w:type="paragraph" w:customStyle="1" w:styleId="HeadingProcedure">
    <w:name w:val="Heading Procedure"/>
    <w:basedOn w:val="HeadingBase"/>
    <w:next w:val="Normal"/>
    <w:rsid w:val="00814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7E7"/>
    <w:pPr>
      <w:spacing w:before="60" w:after="60"/>
    </w:pPr>
  </w:style>
  <w:style w:type="paragraph" w:styleId="ListContinue">
    <w:name w:val="List Continue"/>
    <w:basedOn w:val="List"/>
    <w:rsid w:val="008147E7"/>
    <w:pPr>
      <w:ind w:firstLine="0"/>
    </w:pPr>
  </w:style>
  <w:style w:type="paragraph" w:customStyle="1" w:styleId="ListNote">
    <w:name w:val="List Note"/>
    <w:basedOn w:val="List"/>
    <w:rsid w:val="00814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7E7"/>
    <w:rPr>
      <w:rFonts w:ascii="Courier New" w:hAnsi="Courier New"/>
    </w:rPr>
  </w:style>
  <w:style w:type="paragraph" w:customStyle="1" w:styleId="NoteBullet">
    <w:name w:val="Note Bullet"/>
    <w:basedOn w:val="Note"/>
    <w:rsid w:val="00814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7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4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7E7"/>
    <w:rPr>
      <w:b/>
      <w:smallCaps/>
    </w:rPr>
  </w:style>
  <w:style w:type="paragraph" w:customStyle="1" w:styleId="TableListNumber">
    <w:name w:val="Table List Number"/>
    <w:basedOn w:val="ListNumber"/>
    <w:rsid w:val="00814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7E7"/>
    <w:pPr>
      <w:numPr>
        <w:numId w:val="7"/>
      </w:numPr>
    </w:pPr>
  </w:style>
  <w:style w:type="paragraph" w:customStyle="1" w:styleId="ListAlpha2">
    <w:name w:val="List Alpha 2"/>
    <w:basedOn w:val="List2"/>
    <w:rsid w:val="008147E7"/>
    <w:pPr>
      <w:numPr>
        <w:numId w:val="6"/>
      </w:numPr>
    </w:pPr>
  </w:style>
  <w:style w:type="paragraph" w:styleId="List2">
    <w:name w:val="List 2"/>
    <w:basedOn w:val="BodyText"/>
    <w:rsid w:val="00814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7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7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7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47E7"/>
    <w:pPr>
      <w:numPr>
        <w:numId w:val="2"/>
      </w:numPr>
    </w:pPr>
  </w:style>
  <w:style w:type="paragraph" w:styleId="ListContinue2">
    <w:name w:val="List Continue 2"/>
    <w:basedOn w:val="List2"/>
    <w:rsid w:val="008147E7"/>
    <w:pPr>
      <w:ind w:firstLine="0"/>
    </w:pPr>
  </w:style>
  <w:style w:type="paragraph" w:styleId="ListContinue3">
    <w:name w:val="List Continue 3"/>
    <w:basedOn w:val="List3"/>
    <w:rsid w:val="008147E7"/>
    <w:pPr>
      <w:ind w:left="1021" w:firstLine="0"/>
    </w:pPr>
  </w:style>
  <w:style w:type="paragraph" w:styleId="ListContinue4">
    <w:name w:val="List Continue 4"/>
    <w:basedOn w:val="List4"/>
    <w:rsid w:val="008147E7"/>
    <w:pPr>
      <w:ind w:firstLine="0"/>
    </w:pPr>
  </w:style>
  <w:style w:type="paragraph" w:styleId="ListContinue5">
    <w:name w:val="List Continue 5"/>
    <w:basedOn w:val="List5"/>
    <w:rsid w:val="008147E7"/>
    <w:pPr>
      <w:ind w:firstLine="0"/>
    </w:pPr>
  </w:style>
  <w:style w:type="paragraph" w:styleId="ListNumber3">
    <w:name w:val="List Number 3"/>
    <w:basedOn w:val="List3"/>
    <w:rsid w:val="008147E7"/>
    <w:pPr>
      <w:numPr>
        <w:numId w:val="3"/>
      </w:numPr>
    </w:pPr>
  </w:style>
  <w:style w:type="paragraph" w:styleId="ListNumber4">
    <w:name w:val="List Number 4"/>
    <w:basedOn w:val="List4"/>
    <w:rsid w:val="008147E7"/>
    <w:pPr>
      <w:numPr>
        <w:numId w:val="4"/>
      </w:numPr>
    </w:pPr>
  </w:style>
  <w:style w:type="paragraph" w:styleId="ListNumber5">
    <w:name w:val="List Number 5"/>
    <w:basedOn w:val="List5"/>
    <w:rsid w:val="008147E7"/>
    <w:pPr>
      <w:numPr>
        <w:numId w:val="5"/>
      </w:numPr>
    </w:pPr>
  </w:style>
  <w:style w:type="paragraph" w:styleId="BlockText">
    <w:name w:val="Block Text"/>
    <w:basedOn w:val="Normal"/>
    <w:rsid w:val="00814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7E7"/>
    <w:rPr>
      <w:sz w:val="16"/>
      <w:vertAlign w:val="superscript"/>
    </w:rPr>
  </w:style>
  <w:style w:type="character" w:customStyle="1" w:styleId="Symbols">
    <w:name w:val="Symbols"/>
    <w:basedOn w:val="DefaultParagraphFont"/>
    <w:rsid w:val="008147E7"/>
    <w:rPr>
      <w:rFonts w:ascii="Symbol" w:hAnsi="Symbol"/>
    </w:rPr>
  </w:style>
  <w:style w:type="character" w:customStyle="1" w:styleId="MenuOptions">
    <w:name w:val="Menu Options"/>
    <w:basedOn w:val="DefaultParagraphFont"/>
    <w:rsid w:val="00814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7E7"/>
    <w:rPr>
      <w:b/>
    </w:rPr>
  </w:style>
  <w:style w:type="character" w:customStyle="1" w:styleId="Underlined">
    <w:name w:val="Underlined"/>
    <w:basedOn w:val="DefaultParagraphFont"/>
    <w:rsid w:val="008147E7"/>
    <w:rPr>
      <w:u w:val="single"/>
    </w:rPr>
  </w:style>
  <w:style w:type="paragraph" w:customStyle="1" w:styleId="TableBodyTextRight">
    <w:name w:val="Table Body Text Right"/>
    <w:basedOn w:val="TableBodyText"/>
    <w:rsid w:val="00814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7E7"/>
    <w:rPr>
      <w:sz w:val="18"/>
    </w:rPr>
  </w:style>
  <w:style w:type="paragraph" w:customStyle="1" w:styleId="BodySmallRight">
    <w:name w:val="Body Small Right"/>
    <w:basedOn w:val="BodyTextRight"/>
    <w:rsid w:val="008147E7"/>
    <w:rPr>
      <w:sz w:val="18"/>
      <w:szCs w:val="18"/>
    </w:rPr>
  </w:style>
  <w:style w:type="paragraph" w:customStyle="1" w:styleId="MarginEdition">
    <w:name w:val="Margin Edition"/>
    <w:basedOn w:val="MarginNote"/>
    <w:rsid w:val="00814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7E7"/>
    <w:rPr>
      <w:sz w:val="2"/>
      <w:szCs w:val="2"/>
    </w:rPr>
  </w:style>
  <w:style w:type="character" w:customStyle="1" w:styleId="Small">
    <w:name w:val="Small"/>
    <w:basedOn w:val="DefaultParagraphFont"/>
    <w:rsid w:val="008147E7"/>
    <w:rPr>
      <w:sz w:val="16"/>
    </w:rPr>
  </w:style>
  <w:style w:type="paragraph" w:customStyle="1" w:styleId="WideTable">
    <w:name w:val="Wide Table"/>
    <w:basedOn w:val="Normal"/>
    <w:rsid w:val="00814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7E7"/>
  </w:style>
  <w:style w:type="paragraph" w:styleId="Quote">
    <w:name w:val="Quote"/>
    <w:basedOn w:val="Heading1"/>
    <w:link w:val="QuoteChar"/>
    <w:qFormat/>
    <w:rsid w:val="00814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7E7"/>
    <w:pPr>
      <w:pageBreakBefore/>
    </w:pPr>
  </w:style>
  <w:style w:type="paragraph" w:customStyle="1" w:styleId="Border">
    <w:name w:val="Border"/>
    <w:basedOn w:val="Normal"/>
    <w:qFormat/>
    <w:rsid w:val="00814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7E7"/>
    <w:rPr>
      <w:u w:val="single"/>
    </w:rPr>
  </w:style>
  <w:style w:type="character" w:customStyle="1" w:styleId="BoldandItalics">
    <w:name w:val="Bold and Italics"/>
    <w:qFormat/>
    <w:rsid w:val="008147E7"/>
    <w:rPr>
      <w:b/>
      <w:i/>
      <w:u w:val="none"/>
    </w:rPr>
  </w:style>
  <w:style w:type="paragraph" w:styleId="BalloonText">
    <w:name w:val="Balloon Text"/>
    <w:basedOn w:val="Normal"/>
    <w:link w:val="BalloonTextChar"/>
    <w:rsid w:val="00814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7E7"/>
    <w:pPr>
      <w:spacing w:before="0" w:after="0"/>
    </w:pPr>
  </w:style>
  <w:style w:type="paragraph" w:customStyle="1" w:styleId="BodyTextBold">
    <w:name w:val="Body Text Bold"/>
    <w:basedOn w:val="BodyText"/>
    <w:qFormat/>
    <w:rsid w:val="008147E7"/>
    <w:rPr>
      <w:b/>
    </w:rPr>
  </w:style>
  <w:style w:type="character" w:styleId="Hyperlink">
    <w:name w:val="Hyperlink"/>
    <w:basedOn w:val="DefaultParagraphFont"/>
    <w:uiPriority w:val="99"/>
    <w:unhideWhenUsed/>
    <w:rsid w:val="00454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3479</Characters>
  <Application>Microsoft Office Word</Application>
  <DocSecurity>0</DocSecurity>
  <Lines>133</Lines>
  <Paragraphs>76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TLIX5052 Determine complex customs value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2022-04-07T06:54:00Z</dcterms:created>
  <dcterms:modified xsi:type="dcterms:W3CDTF">2022-04-07T06:54:00Z</dcterms:modified>
</cp:coreProperties>
</file>