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0D5" w:rsidP="00DB60D5">
      <w:pPr>
        <w:pStyle w:val="Title"/>
      </w:pPr>
      <w:r>
        <w:fldChar w:fldCharType="begin"/>
      </w:r>
      <w:r>
        <w:instrText xml:space="preserve"> TITLE   \* MERGEFORMAT </w:instrText>
      </w:r>
      <w:r>
        <w:fldChar w:fldCharType="separate"/>
      </w:r>
      <w:r>
        <w:t>TLIX5050 Determine origin of goods and apply preference schemes or free trade agreements</w:t>
      </w:r>
      <w:r>
        <w:fldChar w:fldCharType="end"/>
      </w:r>
    </w:p>
    <w:p w:rsidR="00DB60D5" w:rsidP="00DB60D5">
      <w:pPr>
        <w:pStyle w:val="Version"/>
        <w:sectPr w:rsidSect="009E0F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F49" w:rsidP="009E0F49">
      <w:pPr>
        <w:pStyle w:val="SuperHeading"/>
      </w:pPr>
      <w:r w:rsidRPr="009E0F49">
        <w:t>TLIX5050 Determine origin of goods and apply preference schemes or free trade agreements</w:t>
      </w:r>
    </w:p>
    <w:p w:rsidR="00000000" w:rsidRPr="009E0F49" w:rsidP="009E0F49">
      <w:pPr>
        <w:pStyle w:val="Heading1"/>
      </w:pPr>
      <w:bookmarkStart w:id="1" w:name="O_838538"/>
      <w:bookmarkEnd w:id="1"/>
      <w:r w:rsidRPr="009E0F49">
        <w:t>Modification History</w:t>
      </w:r>
    </w:p>
    <w:p w:rsidR="00DB60D5" w:rsidP="00DB60D5">
      <w:pPr>
        <w:pStyle w:val="BodyText"/>
      </w:pPr>
      <w:r w:rsidRPr="009E0F49">
        <w:t>Release 1. This is the first release of this unit of competency in the TLI Transport and Logistics Training Package.</w:t>
      </w:r>
    </w:p>
    <w:p w:rsidR="00000000" w:rsidRPr="009E0F49" w:rsidP="009E0F49">
      <w:pPr>
        <w:pStyle w:val="Heading1"/>
      </w:pPr>
      <w:bookmarkStart w:id="2" w:name="O_838539"/>
      <w:bookmarkEnd w:id="2"/>
      <w:r w:rsidRPr="009E0F49">
        <w:t>Application</w:t>
      </w:r>
    </w:p>
    <w:tbl>
      <w:tblPr>
        <w:tblW w:w="0" w:type="auto"/>
        <w:tblCellMar>
          <w:left w:w="62" w:type="dxa"/>
          <w:right w:w="62" w:type="dxa"/>
        </w:tblCellMar>
        <w:tblLook w:val="0000"/>
      </w:tblPr>
      <w:tblGrid>
        <w:gridCol w:w="9196"/>
      </w:tblGrid>
      <w:tr w:rsidTr="00DB6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t>This unit involves the skills and knowledge required to determine the origin of goods and to interpret the application of preference schemes and/or free trade agreements to those goods.</w:t>
            </w:r>
          </w:p>
          <w:p w:rsidR="00000000" w:rsidRPr="009E0F49" w:rsidP="009E0F49">
            <w:pPr>
              <w:pStyle w:val="BodyText"/>
            </w:pPr>
            <w:r w:rsidRPr="009E0F49">
              <w:t>Work must be carried out in compliance with the re</w:t>
            </w:r>
            <w:r w:rsidRPr="009E0F49">
              <w:t>levant customs requirements, and relevant legislation and workplace requirements concerning the determination of origin of goods.</w:t>
            </w:r>
          </w:p>
          <w:p w:rsidR="00000000" w:rsidRPr="009E0F49" w:rsidP="009E0F49">
            <w:pPr>
              <w:pStyle w:val="BodyText"/>
            </w:pPr>
            <w:r w:rsidRPr="009E0F49">
              <w:t>Work is undertaken in a range of environments including small to large worksites in the customs broking industry.</w:t>
            </w:r>
          </w:p>
          <w:p w:rsidR="00000000" w:rsidRPr="009E0F49" w:rsidP="009E0F49">
            <w:pPr>
              <w:pStyle w:val="BodyText"/>
            </w:pPr>
            <w:r w:rsidRPr="009E0F49">
              <w:t>No licensing</w:t>
            </w:r>
            <w:r w:rsidRPr="009E0F49">
              <w:t>, legislative or certification requirements apply to this unit at the time of publication.</w:t>
            </w:r>
          </w:p>
        </w:tc>
      </w:tr>
    </w:tbl>
    <w:p w:rsidR="00DB60D5" w:rsidP="009E0F49">
      <w:pPr>
        <w:pStyle w:val="BodyText"/>
      </w:pPr>
    </w:p>
    <w:p w:rsidR="00DB60D5" w:rsidP="009E0F49">
      <w:pPr>
        <w:pStyle w:val="BodyText"/>
      </w:pPr>
    </w:p>
    <w:p w:rsidR="00000000" w:rsidRPr="009E0F49" w:rsidP="009E0F49">
      <w:pPr>
        <w:pStyle w:val="Heading1"/>
      </w:pPr>
      <w:bookmarkStart w:id="3" w:name="O_838540"/>
      <w:bookmarkEnd w:id="3"/>
      <w:r w:rsidRPr="009E0F49">
        <w:t>Pre-requisite Unit</w:t>
      </w:r>
    </w:p>
    <w:p w:rsidR="00DB60D5" w:rsidP="00DB60D5">
      <w:pPr>
        <w:pStyle w:val="BodyText"/>
      </w:pPr>
      <w:r w:rsidRPr="009E0F49">
        <w:t>Not applicable.</w:t>
      </w:r>
    </w:p>
    <w:p w:rsidR="00000000" w:rsidRPr="009E0F49" w:rsidP="009E0F49">
      <w:pPr>
        <w:pStyle w:val="Heading1"/>
      </w:pPr>
      <w:bookmarkStart w:id="4" w:name="O_838541"/>
      <w:bookmarkEnd w:id="4"/>
      <w:r w:rsidRPr="009E0F49">
        <w:t>Competency Field</w:t>
      </w:r>
    </w:p>
    <w:p w:rsidR="00DB60D5" w:rsidP="00DB60D5">
      <w:pPr>
        <w:pStyle w:val="BodyText"/>
      </w:pPr>
      <w:r w:rsidRPr="009E0F49">
        <w:t>X – Logistics</w:t>
      </w:r>
    </w:p>
    <w:p w:rsidR="00000000" w:rsidRPr="009E0F49" w:rsidP="009E0F49">
      <w:pPr>
        <w:pStyle w:val="Heading1"/>
      </w:pPr>
      <w:bookmarkStart w:id="5" w:name="O_838542"/>
      <w:bookmarkEnd w:id="5"/>
      <w:r w:rsidRPr="009E0F49">
        <w:t>Unit Sector</w:t>
      </w:r>
    </w:p>
    <w:p w:rsidR="00DB60D5" w:rsidP="00DB60D5">
      <w:pPr>
        <w:pStyle w:val="BodyText"/>
      </w:pPr>
      <w:r w:rsidRPr="009E0F49">
        <w:t>Not applicable.</w:t>
      </w:r>
    </w:p>
    <w:p w:rsidR="00000000" w:rsidRPr="009E0F49" w:rsidP="009E0F49">
      <w:pPr>
        <w:pStyle w:val="Heading1"/>
      </w:pPr>
      <w:bookmarkStart w:id="6" w:name="O_838543"/>
      <w:bookmarkEnd w:id="6"/>
      <w:r w:rsidRPr="009E0F49">
        <w:t>Elements and Performance Criteria</w:t>
      </w:r>
    </w:p>
    <w:tbl>
      <w:tblPr>
        <w:tblW w:w="0" w:type="auto"/>
        <w:tblCellMar>
          <w:left w:w="62" w:type="dxa"/>
          <w:right w:w="62" w:type="dxa"/>
        </w:tblCellMar>
        <w:tblLook w:val="0000"/>
      </w:tblPr>
      <w:tblGrid>
        <w:gridCol w:w="340"/>
        <w:gridCol w:w="1809"/>
        <w:gridCol w:w="1"/>
        <w:gridCol w:w="565"/>
        <w:gridCol w:w="6481"/>
      </w:tblGrid>
      <w:tr w:rsidTr="00DB60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rPr>
                <w:rStyle w:val="SpecialBold"/>
              </w:rPr>
              <w:t>PERFORMANCE CRITERIA</w:t>
            </w:r>
          </w:p>
        </w:tc>
      </w:tr>
      <w:tr w:rsidTr="00DB60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Performance criteria describe the performance needed to demonstrate achievement of the element.</w:t>
            </w:r>
          </w:p>
        </w:tc>
      </w:tr>
      <w:tr w:rsidTr="00DB60D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rPr>
                <w:rStyle w:val="SpecialBold"/>
              </w:rPr>
              <w:t>Determine eligibility for preferential</w:t>
            </w:r>
            <w:r w:rsidRPr="009E0F49">
              <w:rPr>
                <w:rStyle w:val="SpecialBold"/>
              </w:rPr>
              <w:t xml:space="preserve"> tariff rates</w:t>
            </w: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1.1</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Place or country of origin of goods presented for clearance is correctly identified in accordance with commercial documents, including certificates of origin</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1.2</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Eligibility for preferential tariff rates, including free trade agreements, is assessed in accordance with commercial documents and relevant legislation</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1.3</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 xml:space="preserve">Goods presented for clearance are checked to confirm eligibility and/or compliance with current </w:t>
            </w:r>
            <w:r w:rsidRPr="009E0F49">
              <w:t xml:space="preserve">Australian Customs Act and/or other legislation and associated rules of origin </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1.4</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Certificates of origin are checked for accuracy and compliance with legislation and/or customs policy as required</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1.5</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Compliance with direct shipment rules is confirmed as required</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1.6</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Client is advised to provide additional information as required</w:t>
            </w:r>
          </w:p>
        </w:tc>
      </w:tr>
      <w:tr w:rsidTr="00DB60D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rPr>
                <w:rStyle w:val="SpecialBold"/>
              </w:rPr>
              <w:t>Apply relevant preference scheme or free trade agreement</w:t>
            </w: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2.1</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Requirements of relevant preference scheme are identified,</w:t>
            </w:r>
            <w:r w:rsidRPr="009E0F49">
              <w:t xml:space="preserve"> read, correctly interpreted and applied in accordance with relevant legislation</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2.2</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Requirements of relevant free trade agreement are identified, read, correctly interpreted and applied in accordance with relevant legislation</w:t>
            </w:r>
          </w:p>
        </w:tc>
      </w:tr>
      <w:tr w:rsidTr="00DB60D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rPr>
                <w:rStyle w:val="SpecialBold"/>
              </w:rPr>
              <w:t>Establish relevant duty rate</w:t>
            </w: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3.1</w:t>
            </w:r>
          </w:p>
        </w:tc>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Relevant tariff schedule is referenced in accordance with legislation</w:t>
            </w:r>
          </w:p>
        </w:tc>
      </w:tr>
      <w:tr w:rsidTr="00DB60D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3.2</w:t>
            </w:r>
          </w:p>
        </w:tc>
        <w:tc>
          <w:tcPr>
            <w:tcW w:w="0" w:type="auto"/>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t>Relevant duty rate is confirmed and applied</w:t>
            </w:r>
          </w:p>
        </w:tc>
      </w:tr>
    </w:tbl>
    <w:p w:rsidR="00DB60D5" w:rsidP="009E0F49">
      <w:pPr>
        <w:pStyle w:val="BodyText"/>
      </w:pPr>
    </w:p>
    <w:p w:rsidR="00DB60D5" w:rsidP="009E0F49">
      <w:pPr>
        <w:pStyle w:val="BodyText"/>
      </w:pPr>
    </w:p>
    <w:p w:rsidR="00000000" w:rsidRPr="009E0F49" w:rsidP="009E0F49">
      <w:pPr>
        <w:pStyle w:val="Heading1"/>
      </w:pPr>
      <w:bookmarkStart w:id="7" w:name="O_838544"/>
      <w:bookmarkEnd w:id="7"/>
      <w:r w:rsidRPr="009E0F49">
        <w:t>Foundation Skills</w:t>
      </w:r>
    </w:p>
    <w:p w:rsidR="00DB60D5" w:rsidP="00DB60D5">
      <w:pPr>
        <w:pStyle w:val="BodyText"/>
      </w:pPr>
      <w:r w:rsidRPr="009E0F49">
        <w:t>Foundation skills essential to performance are explicit in the performance criteria of this unit of competency.</w:t>
      </w:r>
    </w:p>
    <w:p w:rsidR="00000000" w:rsidRPr="009E0F49" w:rsidP="009E0F49">
      <w:pPr>
        <w:pStyle w:val="Heading1"/>
      </w:pPr>
      <w:bookmarkStart w:id="8" w:name="O_838545"/>
      <w:bookmarkEnd w:id="8"/>
      <w:r w:rsidRPr="009E0F49">
        <w:t>Range of Conditions</w:t>
      </w:r>
    </w:p>
    <w:p w:rsidR="00000000" w:rsidRPr="009E0F49" w:rsidP="00DB60D5">
      <w:pPr>
        <w:pStyle w:val="BodyText"/>
      </w:pPr>
      <w:r w:rsidRPr="009E0F49">
        <w:t>Range is restricted to essential operating conditions and any other variables essential to the work enviro</w:t>
      </w:r>
      <w:r w:rsidRPr="009E0F49">
        <w:t>nment.</w:t>
      </w:r>
    </w:p>
    <w:p w:rsidR="00DB60D5" w:rsidP="00DB60D5">
      <w:pPr>
        <w:pStyle w:val="BodyText"/>
      </w:pPr>
      <w:r w:rsidRPr="009E0F49">
        <w:t>Non-essential conditions can be found in the Companion Volume Implementation Guide.</w:t>
      </w:r>
    </w:p>
    <w:p w:rsidR="00000000" w:rsidRPr="009E0F49" w:rsidP="009E0F49">
      <w:pPr>
        <w:pStyle w:val="Heading1"/>
      </w:pPr>
      <w:bookmarkStart w:id="9" w:name="O_838546"/>
      <w:bookmarkEnd w:id="9"/>
      <w:r w:rsidRPr="009E0F49">
        <w:t>Unit Mapping Information</w:t>
      </w:r>
    </w:p>
    <w:p w:rsidR="00DB60D5" w:rsidP="00DB60D5">
      <w:pPr>
        <w:pStyle w:val="BodyText"/>
      </w:pPr>
      <w:r w:rsidRPr="009E0F49">
        <w:t>This unit replaces and is equivalent to TLIX5050A Determine origin of goods and apply preference schemes or free trade agr</w:t>
      </w:r>
      <w:r w:rsidRPr="009E0F49">
        <w:t>eements.</w:t>
      </w:r>
    </w:p>
    <w:p w:rsidR="00000000" w:rsidRPr="009E0F49" w:rsidP="009E0F49">
      <w:pPr>
        <w:pStyle w:val="Heading1"/>
      </w:pPr>
      <w:bookmarkStart w:id="10" w:name="O_838553"/>
      <w:bookmarkEnd w:id="10"/>
      <w:r w:rsidRPr="009E0F49">
        <w:t>Links</w:t>
      </w:r>
    </w:p>
    <w:p w:rsidR="00000000" w:rsidRPr="009E0F49" w:rsidP="00DB60D5">
      <w:pPr>
        <w:pStyle w:val="BodyText"/>
      </w:pPr>
      <w:r w:rsidRPr="009E0F4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7E9E">
        <w:rPr>
          <w:rStyle w:val="Hyperlink"/>
        </w:rPr>
        <w:t>https://vetnet.gov.au/Pages/TrainingDocs.aspx?q=df441c6e-213d-43e3-874c-0b3f7036d851</w:t>
      </w:r>
      <w:r>
        <w:fldChar w:fldCharType="end"/>
      </w:r>
    </w:p>
    <w:p w:rsidR="00000000" w:rsidRPr="009E0F49" w:rsidP="00DB60D5">
      <w:pPr>
        <w:pStyle w:val="BodyText"/>
        <w:sectPr w:rsidSect="009E0F49">
          <w:headerReference w:type="default" r:id="rId10"/>
          <w:footerReference w:type="default" r:id="rId11"/>
          <w:pgSz w:w="11908" w:h="16833"/>
          <w:pgMar w:top="1702" w:right="1418" w:bottom="1702" w:left="1418" w:header="992" w:footer="992" w:gutter="0"/>
          <w:cols w:space="720"/>
          <w:noEndnote/>
          <w:docGrid w:linePitch="299"/>
        </w:sectPr>
      </w:pPr>
    </w:p>
    <w:p w:rsidR="00000000" w:rsidRPr="009E0F49" w:rsidP="009E0F49">
      <w:pPr>
        <w:pStyle w:val="SuperHeading"/>
      </w:pPr>
      <w:r w:rsidRPr="009E0F49">
        <w:t xml:space="preserve">Assessment </w:t>
      </w:r>
      <w:r w:rsidRPr="009E0F49">
        <w:t>Requirements for TLIX5050 Determine origin of goods and apply preference schemes or free trade agreements</w:t>
      </w:r>
    </w:p>
    <w:p w:rsidR="00000000" w:rsidRPr="009E0F49" w:rsidP="009E0F49">
      <w:pPr>
        <w:pStyle w:val="Heading1"/>
      </w:pPr>
      <w:bookmarkStart w:id="11" w:name="O_838548"/>
      <w:bookmarkEnd w:id="11"/>
      <w:r w:rsidRPr="009E0F49">
        <w:t>Modification History</w:t>
      </w:r>
    </w:p>
    <w:p w:rsidR="00DB60D5" w:rsidP="00DB60D5">
      <w:pPr>
        <w:pStyle w:val="BodyText"/>
      </w:pPr>
      <w:r w:rsidRPr="009E0F49">
        <w:t>Release 1. This is the first release of this unit of competency in the TLI Transport and Logistics Training Packa</w:t>
      </w:r>
      <w:r w:rsidRPr="009E0F49">
        <w:t>ge.</w:t>
      </w:r>
    </w:p>
    <w:p w:rsidR="00000000" w:rsidRPr="009E0F49" w:rsidP="009E0F49">
      <w:pPr>
        <w:pStyle w:val="Heading1"/>
      </w:pPr>
      <w:bookmarkStart w:id="12" w:name="O_838549"/>
      <w:bookmarkEnd w:id="12"/>
      <w:r w:rsidRPr="009E0F49">
        <w:t>Performance Evidence</w:t>
      </w:r>
    </w:p>
    <w:tbl>
      <w:tblPr>
        <w:tblW w:w="0" w:type="auto"/>
        <w:tblCellMar>
          <w:left w:w="62" w:type="dxa"/>
          <w:right w:w="62" w:type="dxa"/>
        </w:tblCellMar>
        <w:tblLook w:val="0000"/>
      </w:tblPr>
      <w:tblGrid>
        <w:gridCol w:w="9196"/>
      </w:tblGrid>
      <w:tr w:rsidTr="00DB60D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Evidence required to demonstrate competence in this unit must be relevant to and satisfy all of the requirements of the elements and performance criteria on at least one occasion and include:</w:t>
            </w:r>
          </w:p>
        </w:tc>
      </w:tr>
      <w:tr w:rsidTr="00DB60D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E0F49" w:rsidP="009E0F49">
            <w:pPr>
              <w:pStyle w:val="ListBullet"/>
            </w:pPr>
            <w:r w:rsidRPr="009E0F49">
              <w:t>applying correct preference scheme and rule</w:t>
            </w:r>
          </w:p>
          <w:p w:rsidR="00000000" w:rsidRPr="009E0F49" w:rsidP="009E0F49">
            <w:pPr>
              <w:pStyle w:val="ListBullet"/>
            </w:pPr>
            <w:r w:rsidRPr="009E0F49">
              <w:t xml:space="preserve">applying quality procedures </w:t>
            </w:r>
          </w:p>
          <w:p w:rsidR="00000000" w:rsidRPr="009E0F49" w:rsidP="009E0F49">
            <w:pPr>
              <w:pStyle w:val="ListBullet"/>
            </w:pPr>
            <w:r w:rsidRPr="009E0F49">
              <w:t>applying relevant free trade agreement</w:t>
            </w:r>
          </w:p>
          <w:p w:rsidR="00000000" w:rsidRPr="009E0F49" w:rsidP="009E0F49">
            <w:pPr>
              <w:pStyle w:val="ListBullet"/>
            </w:pPr>
            <w:r w:rsidRPr="009E0F49">
              <w:t>applying relevant legislative and regulatory knowledge</w:t>
            </w:r>
          </w:p>
          <w:p w:rsidR="00000000" w:rsidRPr="009E0F49" w:rsidP="009E0F49">
            <w:pPr>
              <w:pStyle w:val="ListBullet"/>
            </w:pPr>
            <w:r w:rsidRPr="009E0F49">
              <w:t>assessing evidence of compliance accurately</w:t>
            </w:r>
          </w:p>
          <w:p w:rsidR="00000000" w:rsidRPr="009E0F49" w:rsidP="009E0F49">
            <w:pPr>
              <w:pStyle w:val="ListBullet"/>
            </w:pPr>
            <w:r w:rsidRPr="009E0F49">
              <w:t>communicating effectively with clients</w:t>
            </w:r>
          </w:p>
          <w:p w:rsidR="00000000" w:rsidRPr="009E0F49" w:rsidP="009E0F49">
            <w:pPr>
              <w:pStyle w:val="ListBullet"/>
            </w:pPr>
            <w:r w:rsidRPr="009E0F49">
              <w:t>correctly identifying the requirements of applicable preference schemes and/or free trade agreements</w:t>
            </w:r>
          </w:p>
          <w:p w:rsidR="00000000" w:rsidRPr="009E0F49" w:rsidP="009E0F49">
            <w:pPr>
              <w:pStyle w:val="ListBullet"/>
            </w:pPr>
            <w:r w:rsidRPr="009E0F49">
              <w:t>establishing correct origin code</w:t>
            </w:r>
          </w:p>
          <w:p w:rsidR="00000000" w:rsidRPr="009E0F49" w:rsidP="009E0F49">
            <w:pPr>
              <w:pStyle w:val="ListBullet"/>
            </w:pPr>
            <w:r w:rsidRPr="009E0F49">
              <w:t>establishing correct preference rule and/or code</w:t>
            </w:r>
          </w:p>
          <w:p w:rsidR="00000000" w:rsidRPr="009E0F49" w:rsidP="009E0F49">
            <w:pPr>
              <w:pStyle w:val="ListBullet"/>
            </w:pPr>
            <w:r w:rsidRPr="009E0F49">
              <w:t>identifying correctly:</w:t>
            </w:r>
          </w:p>
          <w:p w:rsidR="00000000" w:rsidRPr="009E0F49" w:rsidP="009E0F49">
            <w:pPr>
              <w:pStyle w:val="ListBullet2"/>
            </w:pPr>
            <w:r w:rsidRPr="009E0F49">
              <w:t>eligible/non-eligible goods for preference purpos</w:t>
            </w:r>
            <w:r w:rsidRPr="009E0F49">
              <w:t>es</w:t>
            </w:r>
          </w:p>
          <w:p w:rsidR="00000000" w:rsidRPr="009E0F49" w:rsidP="009E0F49">
            <w:pPr>
              <w:pStyle w:val="ListBullet2"/>
            </w:pPr>
            <w:r w:rsidRPr="009E0F49">
              <w:t>places and countries where preferential tariff rates may apply</w:t>
            </w:r>
          </w:p>
          <w:p w:rsidR="00000000" w:rsidRPr="009E0F49" w:rsidP="009E0F49">
            <w:pPr>
              <w:pStyle w:val="ListBullet"/>
            </w:pPr>
            <w:r w:rsidRPr="009E0F49">
              <w:t>providing accurate advice to clients</w:t>
            </w:r>
          </w:p>
          <w:p w:rsidR="00000000" w:rsidRPr="009E0F49" w:rsidP="009E0F49">
            <w:pPr>
              <w:pStyle w:val="ListBullet"/>
            </w:pPr>
            <w:r w:rsidRPr="009E0F49">
              <w:t>reading and correctly interpreting appropriate legislation</w:t>
            </w:r>
          </w:p>
          <w:p w:rsidR="00000000" w:rsidRPr="009E0F49" w:rsidP="009E0F49">
            <w:pPr>
              <w:pStyle w:val="ListBullet"/>
            </w:pPr>
            <w:r w:rsidRPr="009E0F49">
              <w:t xml:space="preserve">reading and correctly interpreting current documents and tariff schedules </w:t>
            </w:r>
          </w:p>
          <w:p w:rsidR="00000000" w:rsidRPr="009E0F49" w:rsidP="009E0F49">
            <w:pPr>
              <w:pStyle w:val="ListBullet"/>
            </w:pPr>
            <w:r w:rsidRPr="009E0F49">
              <w:t>reading and interpreting tariff schedules</w:t>
            </w:r>
          </w:p>
          <w:p w:rsidR="00000000" w:rsidRPr="009E0F49" w:rsidP="009E0F49">
            <w:pPr>
              <w:pStyle w:val="ListBullet"/>
            </w:pPr>
            <w:r w:rsidRPr="009E0F49">
              <w:t>sequencing activity competently.</w:t>
            </w:r>
          </w:p>
        </w:tc>
      </w:tr>
    </w:tbl>
    <w:p w:rsidR="00000000" w:rsidRPr="009E0F49" w:rsidP="009E0F49">
      <w:pPr>
        <w:pStyle w:val="BodyText"/>
      </w:pPr>
    </w:p>
    <w:p w:rsidR="00000000" w:rsidRPr="009E0F49" w:rsidP="009E0F49">
      <w:pPr>
        <w:pStyle w:val="AllowPageBreak"/>
      </w:pPr>
    </w:p>
    <w:p w:rsidR="00000000" w:rsidRPr="009E0F49" w:rsidP="009E0F49">
      <w:pPr>
        <w:pStyle w:val="Heading1"/>
      </w:pPr>
      <w:bookmarkStart w:id="13" w:name="O_838550"/>
      <w:bookmarkEnd w:id="13"/>
      <w:r w:rsidRPr="009E0F49">
        <w:t>Knowledge Evidence</w:t>
      </w:r>
    </w:p>
    <w:tbl>
      <w:tblPr>
        <w:tblW w:w="0" w:type="auto"/>
        <w:tblCellMar>
          <w:left w:w="62" w:type="dxa"/>
          <w:right w:w="62" w:type="dxa"/>
        </w:tblCellMar>
        <w:tblLook w:val="0000"/>
      </w:tblPr>
      <w:tblGrid>
        <w:gridCol w:w="9196"/>
      </w:tblGrid>
      <w:tr w:rsidTr="00DB60D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E0F49">
            <w:pPr>
              <w:pStyle w:val="BodyText"/>
              <w:rPr>
                <w:lang w:val="en-NZ"/>
              </w:rPr>
            </w:pPr>
            <w:r w:rsidRPr="009E0F49">
              <w:t>Evidence required to demonstrate competence in this unit must be relevant to and satisfy all of the requirements of the elements and performanc</w:t>
            </w:r>
            <w:r w:rsidRPr="009E0F49">
              <w:t>e criteria and include knowledge of:</w:t>
            </w:r>
          </w:p>
        </w:tc>
      </w:tr>
      <w:tr w:rsidTr="00DB60D5">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9E0F49" w:rsidP="009E0F49">
            <w:pPr>
              <w:pStyle w:val="ListBullet"/>
            </w:pPr>
            <w:r w:rsidRPr="009E0F49">
              <w:t>Australia’s current free trade agreements</w:t>
            </w:r>
          </w:p>
          <w:p w:rsidR="00000000" w:rsidRPr="009E0F49" w:rsidP="009E0F49">
            <w:pPr>
              <w:pStyle w:val="ListBullet"/>
            </w:pPr>
            <w:r w:rsidRPr="009E0F49">
              <w:t>free trade agreements under negotiation</w:t>
            </w:r>
          </w:p>
          <w:p w:rsidR="00000000" w:rsidRPr="009E0F49" w:rsidP="009E0F49">
            <w:pPr>
              <w:pStyle w:val="ListBullet"/>
            </w:pPr>
            <w:r w:rsidRPr="009E0F49">
              <w:t>function of a Certificate of Origin advice</w:t>
            </w:r>
          </w:p>
          <w:p w:rsidR="00000000" w:rsidRPr="009E0F49" w:rsidP="009E0F49">
            <w:pPr>
              <w:pStyle w:val="ListBullet"/>
            </w:pPr>
            <w:r w:rsidRPr="009E0F49">
              <w:t>how to determine appropriate duty rates under preferential tariff schemes and free trade agreements</w:t>
            </w:r>
          </w:p>
          <w:p w:rsidR="00000000" w:rsidRPr="009E0F49" w:rsidP="009E0F49">
            <w:pPr>
              <w:pStyle w:val="ListBullet"/>
            </w:pPr>
            <w:r w:rsidRPr="009E0F49">
              <w:t>legislative and policy requirements for determining:</w:t>
            </w:r>
          </w:p>
          <w:p w:rsidR="00000000" w:rsidRPr="009E0F49" w:rsidP="009E0F49">
            <w:pPr>
              <w:pStyle w:val="ListBullet2"/>
            </w:pPr>
            <w:r w:rsidRPr="009E0F49">
              <w:t>eligibility for preferential rates</w:t>
            </w:r>
          </w:p>
          <w:p w:rsidR="00000000" w:rsidRPr="009E0F49" w:rsidP="009E0F49">
            <w:pPr>
              <w:pStyle w:val="ListBullet2"/>
            </w:pPr>
            <w:r w:rsidRPr="009E0F49">
              <w:t>origin of goods</w:t>
            </w:r>
          </w:p>
          <w:p w:rsidR="00000000" w:rsidRPr="009E0F49" w:rsidP="009E0F49">
            <w:pPr>
              <w:pStyle w:val="ListBullet"/>
            </w:pPr>
            <w:r w:rsidRPr="009E0F49">
              <w:t>pathway requirements</w:t>
            </w:r>
          </w:p>
          <w:p w:rsidR="00000000" w:rsidRPr="009E0F49" w:rsidP="009E0F49">
            <w:pPr>
              <w:pStyle w:val="ListBullet"/>
            </w:pPr>
            <w:r w:rsidRPr="009E0F49">
              <w:t>recognition of the requirements for claiming preference or the application of a particular free trade agreement, including direct shipment, certificates of origin and other declarations</w:t>
            </w:r>
          </w:p>
          <w:p w:rsidR="00000000" w:rsidRPr="009E0F49" w:rsidP="009E0F49">
            <w:pPr>
              <w:pStyle w:val="ListBullet"/>
            </w:pPr>
            <w:r w:rsidRPr="009E0F49">
              <w:t>role and importance of free trade agreements</w:t>
            </w:r>
          </w:p>
          <w:p w:rsidR="00000000" w:rsidRPr="009E0F49" w:rsidP="009E0F49">
            <w:pPr>
              <w:pStyle w:val="ListBullet"/>
            </w:pPr>
            <w:r w:rsidRPr="009E0F49">
              <w:t>types of preferential tar</w:t>
            </w:r>
            <w:r w:rsidRPr="009E0F49">
              <w:t>iff schemes including classes of countries and places where special rates apply.</w:t>
            </w:r>
          </w:p>
        </w:tc>
      </w:tr>
    </w:tbl>
    <w:p w:rsidR="00DB60D5" w:rsidP="009E0F49">
      <w:pPr>
        <w:pStyle w:val="BodyText"/>
      </w:pPr>
    </w:p>
    <w:p w:rsidR="00DB60D5" w:rsidP="009E0F49">
      <w:pPr>
        <w:pStyle w:val="BodyText"/>
      </w:pPr>
    </w:p>
    <w:p w:rsidR="00000000" w:rsidRPr="009E0F49" w:rsidP="009E0F49">
      <w:pPr>
        <w:pStyle w:val="Heading1"/>
      </w:pPr>
      <w:bookmarkStart w:id="14" w:name="O_838551"/>
      <w:bookmarkEnd w:id="14"/>
      <w:r w:rsidRPr="009E0F49">
        <w:t>Assessment Conditions</w:t>
      </w:r>
    </w:p>
    <w:tbl>
      <w:tblPr>
        <w:tblW w:w="0" w:type="auto"/>
        <w:tblCellMar>
          <w:left w:w="62" w:type="dxa"/>
          <w:right w:w="62" w:type="dxa"/>
        </w:tblCellMar>
        <w:tblLook w:val="0000"/>
      </w:tblPr>
      <w:tblGrid>
        <w:gridCol w:w="9196"/>
      </w:tblGrid>
      <w:tr w:rsidTr="00DB6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0F49" w:rsidP="009E0F49">
            <w:pPr>
              <w:pStyle w:val="BodyText"/>
            </w:pPr>
            <w:r w:rsidRPr="009E0F49">
              <w:t xml:space="preserve">As a minimum, assessors must satisfy applicable regulatory requirements, which include requirements in the </w:t>
            </w:r>
            <w:r w:rsidRPr="009E0F49">
              <w:rPr>
                <w:rStyle w:val="Emphasis"/>
              </w:rPr>
              <w:t>Standards for Registered Training Organisations</w:t>
            </w:r>
            <w:r w:rsidRPr="009E0F49">
              <w:t xml:space="preserve"> current at the time of assessment. </w:t>
            </w:r>
          </w:p>
          <w:p w:rsidR="00000000" w:rsidRPr="009E0F49" w:rsidP="009E0F49">
            <w:pPr>
              <w:pStyle w:val="BodyText"/>
            </w:pPr>
            <w:r w:rsidRPr="009E0F49">
              <w:t xml:space="preserve">As a minimum, assessment must satisfy applicable regulatory requirements, which include requirements in </w:t>
            </w:r>
            <w:r w:rsidRPr="009E0F49">
              <w:rPr>
                <w:rStyle w:val="Emphasis"/>
              </w:rPr>
              <w:t>the Standards for Registered Training Organisations</w:t>
            </w:r>
            <w:r w:rsidRPr="009E0F49">
              <w:t xml:space="preserve"> current at the t</w:t>
            </w:r>
            <w:r w:rsidRPr="009E0F49">
              <w:t>ime of assessment.</w:t>
            </w:r>
          </w:p>
          <w:p w:rsidR="00000000" w:rsidRPr="009E0F49" w:rsidP="009E0F49">
            <w:pPr>
              <w:pStyle w:val="BodyText"/>
            </w:pPr>
            <w:r w:rsidRPr="009E0F49">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9E0F49" w:rsidP="009E0F49">
            <w:pPr>
              <w:pStyle w:val="BodyText"/>
            </w:pPr>
            <w:r w:rsidRPr="009E0F49">
              <w:t>Assessme</w:t>
            </w:r>
            <w:r w:rsidRPr="009E0F49">
              <w:t>nt processes and techniques must be appropriate to the language, literacy and numeracy requirements of the work being performed and the needs of the candidate.</w:t>
            </w:r>
          </w:p>
          <w:p w:rsidR="00000000" w:rsidRPr="009E0F49" w:rsidP="009E0F49">
            <w:pPr>
              <w:pStyle w:val="BodyText"/>
            </w:pPr>
            <w:r w:rsidRPr="009E0F49">
              <w:t>Resources for assessment include:</w:t>
            </w:r>
          </w:p>
          <w:p w:rsidR="00000000" w:rsidRPr="009E0F49" w:rsidP="009E0F49">
            <w:pPr>
              <w:pStyle w:val="ListBullet"/>
            </w:pPr>
            <w:r w:rsidRPr="009E0F49">
              <w:t>a range of relevant exercises, case studies and/or simulation</w:t>
            </w:r>
            <w:r w:rsidRPr="009E0F49">
              <w:t>s</w:t>
            </w:r>
          </w:p>
          <w:p w:rsidR="00000000" w:rsidRPr="009E0F49" w:rsidP="009E0F49">
            <w:pPr>
              <w:pStyle w:val="ListBullet"/>
            </w:pPr>
            <w:r w:rsidRPr="009E0F49">
              <w:t xml:space="preserve">applicable documentation including workplace procedures, regulations, codes of practice and operation manuals </w:t>
            </w:r>
          </w:p>
          <w:p w:rsidR="00000000" w:rsidRPr="009E0F49" w:rsidP="009E0F49">
            <w:pPr>
              <w:pStyle w:val="ListBullet"/>
            </w:pPr>
            <w:r w:rsidRPr="009E0F49">
              <w:t>relevant materials, tools, equipment and personal protective equipment currently used in industry.</w:t>
            </w:r>
          </w:p>
        </w:tc>
      </w:tr>
    </w:tbl>
    <w:p w:rsidR="00DB60D5" w:rsidP="009E0F49">
      <w:pPr>
        <w:pStyle w:val="BodyText"/>
      </w:pPr>
    </w:p>
    <w:p w:rsidR="00DB60D5" w:rsidP="009E0F49">
      <w:pPr>
        <w:pStyle w:val="BodyText"/>
      </w:pPr>
    </w:p>
    <w:p w:rsidR="00000000" w:rsidRPr="009E0F49" w:rsidP="009E0F49">
      <w:pPr>
        <w:pStyle w:val="Heading1"/>
      </w:pPr>
      <w:bookmarkStart w:id="15" w:name="O_838554"/>
      <w:bookmarkEnd w:id="15"/>
      <w:r w:rsidRPr="009E0F49">
        <w:t>Links</w:t>
      </w:r>
    </w:p>
    <w:p w:rsidR="00000000" w:rsidRPr="009E0F49" w:rsidP="00DB60D5">
      <w:pPr>
        <w:pStyle w:val="BodyText"/>
      </w:pPr>
      <w:r w:rsidRPr="009E0F4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7E9E">
        <w:rPr>
          <w:rStyle w:val="Hyperlink"/>
        </w:rPr>
        <w:t>https://vetnet.gov.au/Pages/TrainingDocs.aspx?q=df441c6e-213d-43e3-874c-0b3f7036d851</w:t>
      </w:r>
      <w:r>
        <w:fldChar w:fldCharType="end"/>
      </w:r>
    </w:p>
    <w:p w:rsidR="00000000" w:rsidRPr="009E0F49" w:rsidP="009E0F49"/>
    <w:sectPr w:rsidSect="009E0F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rsidRPr="00DB60D5" w:rsidP="00DB60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D5" w:rsidP="009E0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60D5" w:rsidP="009E0F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B60D5" w:rsidP="009E0F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rsidP="009E0F49">
    <w:pPr>
      <w:pStyle w:val="Footer"/>
      <w:framePr w:wrap="around"/>
    </w:pPr>
    <w:r>
      <w:fldChar w:fldCharType="begin"/>
    </w:r>
    <w:r>
      <w:instrText xml:space="preserve"> DOCPROPERTY  Subject  \* MERGEFORMAT </w:instrText>
    </w:r>
    <w:r>
      <w:fldChar w:fldCharType="separate"/>
    </w:r>
    <w:r w:rsidR="00DB60D5">
      <w:t>Approved</w:t>
    </w:r>
    <w:r w:rsidR="00DB60D5">
      <w:fldChar w:fldCharType="end"/>
    </w:r>
    <w:r>
      <w:tab/>
      <w:t xml:space="preserve">Page </w:t>
    </w:r>
    <w:r>
      <w:fldChar w:fldCharType="begin"/>
    </w:r>
    <w:r>
      <w:instrText xml:space="preserve"> PAGE  \* Arabic  \* MERGEFORMAT </w:instrText>
    </w:r>
    <w:r>
      <w:fldChar w:fldCharType="separate"/>
    </w:r>
    <w:r w:rsidR="00DB60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0D5">
      <w:rPr>
        <w:noProof/>
      </w:rPr>
      <w:t>4</w:t>
    </w:r>
    <w:r>
      <w:rPr>
        <w:noProof/>
      </w:rPr>
      <w:fldChar w:fldCharType="end"/>
    </w:r>
  </w:p>
  <w:p w:rsidR="009E0F49" w:rsidP="009E0F49">
    <w:pPr>
      <w:pStyle w:val="Footer"/>
      <w:framePr w:wrap="around"/>
    </w:pPr>
    <w:r>
      <w:t xml:space="preserve">© Commonwealth of Australia, </w:t>
    </w:r>
    <w:r>
      <w:fldChar w:fldCharType="begin"/>
    </w:r>
    <w:r>
      <w:instrText xml:space="preserve"> DATE  \@ "yyyy"  \* MERGEFORMAT </w:instrText>
    </w:r>
    <w:r>
      <w:fldChar w:fldCharType="separate"/>
    </w:r>
    <w:r w:rsidR="00DB60D5">
      <w:rPr>
        <w:noProof/>
      </w:rPr>
      <w:t>2025</w:t>
    </w:r>
    <w:r>
      <w:fldChar w:fldCharType="end"/>
    </w:r>
    <w:r>
      <w:tab/>
    </w:r>
    <w:r>
      <w:fldChar w:fldCharType="begin"/>
    </w:r>
    <w:r>
      <w:instrText xml:space="preserve"> DOCPROPERTY  Author  \* MERGEFORMAT </w:instrText>
    </w:r>
    <w:r>
      <w:fldChar w:fldCharType="separate"/>
    </w:r>
    <w:r w:rsidR="00DB60D5">
      <w:t>Industry Skills Australia</w:t>
    </w:r>
    <w:r w:rsidR="00DB60D5">
      <w:fldChar w:fldCharType="end"/>
    </w:r>
  </w:p>
  <w:p w:rsidR="009E0F49" w:rsidP="009E0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F49" w:rsidRPr="00DB60D5" w:rsidP="00DB60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D5" w:rsidRPr="002D2AF8" w:rsidP="009E0F49">
    <w:pPr>
      <w:pStyle w:val="Header"/>
      <w:framePr w:wrap="around"/>
    </w:pPr>
    <w:r>
      <w:fldChar w:fldCharType="begin"/>
    </w:r>
    <w:r>
      <w:instrText xml:space="preserve"> TITLE   \* MERGEFORMAT </w:instrText>
    </w:r>
    <w:r>
      <w:fldChar w:fldCharType="separate"/>
    </w:r>
    <w:r>
      <w:t>TLIX5050 Determine origin of goods and apply preference schemes or free trade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60D5" w:rsidP="009E0F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F49" w:rsidRPr="002D2AF8" w:rsidP="009E0F49">
    <w:pPr>
      <w:pStyle w:val="Header"/>
      <w:framePr w:wrap="around"/>
    </w:pPr>
    <w:r>
      <w:fldChar w:fldCharType="begin"/>
    </w:r>
    <w:r>
      <w:instrText xml:space="preserve"> TITLE   \* MERGEFORMAT </w:instrText>
    </w:r>
    <w:r>
      <w:fldChar w:fldCharType="separate"/>
    </w:r>
    <w:r w:rsidR="00DB60D5">
      <w:t>TLIX5050 Determine origin of goods and apply preference schemes or free trade agreements</w:t>
    </w:r>
    <w:r w:rsidR="00DB60D5">
      <w:fldChar w:fldCharType="end"/>
    </w:r>
    <w:r>
      <w:tab/>
      <w:t xml:space="preserve">Date this document was generated: </w:t>
    </w:r>
    <w:r>
      <w:fldChar w:fldCharType="begin"/>
    </w:r>
    <w:r>
      <w:instrText xml:space="preserve"> CREATEDATE  \@ "d MMMM yyyy"  \* MERGEFORMAT </w:instrText>
    </w:r>
    <w:r>
      <w:fldChar w:fldCharType="separate"/>
    </w:r>
    <w:r w:rsidR="00DB60D5">
      <w:rPr>
        <w:noProof/>
      </w:rPr>
      <w:t>2 March 2025</w:t>
    </w:r>
    <w:r>
      <w:fldChar w:fldCharType="end"/>
    </w:r>
  </w:p>
  <w:p w:rsidR="009E0F49" w:rsidP="009E0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41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88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24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F49"/>
    <w:pPr>
      <w:spacing w:before="360" w:after="60"/>
      <w:outlineLvl w:val="0"/>
    </w:pPr>
    <w:rPr>
      <w:sz w:val="32"/>
    </w:rPr>
  </w:style>
  <w:style w:type="paragraph" w:styleId="Heading2">
    <w:name w:val="heading 2"/>
    <w:basedOn w:val="HeadingBase"/>
    <w:next w:val="BodyText"/>
    <w:link w:val="Heading2Char"/>
    <w:qFormat/>
    <w:rsid w:val="009E0F49"/>
    <w:pPr>
      <w:keepLines/>
      <w:spacing w:before="240" w:after="120"/>
      <w:outlineLvl w:val="1"/>
    </w:pPr>
    <w:rPr>
      <w:sz w:val="28"/>
      <w:szCs w:val="40"/>
    </w:rPr>
  </w:style>
  <w:style w:type="paragraph" w:styleId="Heading3">
    <w:name w:val="heading 3"/>
    <w:basedOn w:val="HeadingBase"/>
    <w:next w:val="BodyText"/>
    <w:link w:val="Heading3Char"/>
    <w:qFormat/>
    <w:rsid w:val="009E0F49"/>
    <w:pPr>
      <w:spacing w:before="180" w:after="120"/>
      <w:outlineLvl w:val="2"/>
    </w:pPr>
    <w:rPr>
      <w:spacing w:val="-10"/>
      <w:kern w:val="32"/>
    </w:rPr>
  </w:style>
  <w:style w:type="paragraph" w:styleId="Heading4">
    <w:name w:val="heading 4"/>
    <w:basedOn w:val="HeadingBase"/>
    <w:next w:val="BodyText"/>
    <w:link w:val="Heading4Char"/>
    <w:qFormat/>
    <w:rsid w:val="009E0F49"/>
    <w:pPr>
      <w:spacing w:before="160" w:after="120"/>
      <w:outlineLvl w:val="3"/>
    </w:pPr>
    <w:rPr>
      <w:sz w:val="22"/>
    </w:rPr>
  </w:style>
  <w:style w:type="paragraph" w:styleId="Heading5">
    <w:name w:val="heading 5"/>
    <w:basedOn w:val="HeadingBase"/>
    <w:next w:val="Normal"/>
    <w:link w:val="Heading5Char"/>
    <w:qFormat/>
    <w:rsid w:val="009E0F49"/>
    <w:pPr>
      <w:spacing w:before="80"/>
      <w:outlineLvl w:val="4"/>
    </w:pPr>
    <w:rPr>
      <w:color w:val="918585"/>
      <w:sz w:val="20"/>
    </w:rPr>
  </w:style>
  <w:style w:type="paragraph" w:styleId="Heading6">
    <w:name w:val="heading 6"/>
    <w:basedOn w:val="HeadingBase"/>
    <w:next w:val="Normal"/>
    <w:link w:val="Heading6Char"/>
    <w:qFormat/>
    <w:rsid w:val="009E0F49"/>
    <w:pPr>
      <w:spacing w:before="60"/>
      <w:outlineLvl w:val="5"/>
    </w:pPr>
    <w:rPr>
      <w:color w:val="918585"/>
      <w:sz w:val="20"/>
    </w:rPr>
  </w:style>
  <w:style w:type="paragraph" w:styleId="Heading7">
    <w:name w:val="heading 7"/>
    <w:basedOn w:val="Normal"/>
    <w:next w:val="Normal"/>
    <w:link w:val="Heading7Char"/>
    <w:qFormat/>
    <w:rsid w:val="009E0F49"/>
    <w:pPr>
      <w:ind w:left="720"/>
      <w:outlineLvl w:val="6"/>
    </w:pPr>
    <w:rPr>
      <w:i/>
    </w:rPr>
  </w:style>
  <w:style w:type="paragraph" w:styleId="Heading8">
    <w:name w:val="heading 8"/>
    <w:basedOn w:val="Normal"/>
    <w:next w:val="Normal"/>
    <w:link w:val="Heading8Char"/>
    <w:qFormat/>
    <w:rsid w:val="009E0F49"/>
    <w:pPr>
      <w:ind w:left="720"/>
      <w:outlineLvl w:val="7"/>
    </w:pPr>
    <w:rPr>
      <w:i/>
    </w:rPr>
  </w:style>
  <w:style w:type="paragraph" w:styleId="Heading9">
    <w:name w:val="heading 9"/>
    <w:basedOn w:val="Normal"/>
    <w:next w:val="Normal"/>
    <w:link w:val="Heading9Char"/>
    <w:qFormat/>
    <w:rsid w:val="009E0F49"/>
    <w:pPr>
      <w:ind w:left="720"/>
      <w:outlineLvl w:val="8"/>
    </w:pPr>
    <w:rPr>
      <w:i/>
    </w:rPr>
  </w:style>
  <w:style w:type="character" w:default="1" w:styleId="DefaultParagraphFont">
    <w:name w:val="Default Paragraph Font"/>
    <w:uiPriority w:val="1"/>
    <w:unhideWhenUsed/>
    <w:rsid w:val="009E0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F49"/>
  </w:style>
  <w:style w:type="character" w:customStyle="1" w:styleId="Heading1Char">
    <w:name w:val="Heading 1 Char"/>
    <w:basedOn w:val="DefaultParagraphFont"/>
    <w:link w:val="Heading1"/>
    <w:rsid w:val="009E0F49"/>
    <w:rPr>
      <w:rFonts w:ascii="Times New Roman" w:eastAsia="Times New Roman" w:hAnsi="Times New Roman" w:cs="Times New Roman"/>
      <w:b/>
      <w:sz w:val="32"/>
      <w:szCs w:val="20"/>
      <w:lang w:eastAsia="en-US"/>
    </w:rPr>
  </w:style>
  <w:style w:type="paragraph" w:styleId="BodyText">
    <w:name w:val="Body Text"/>
    <w:basedOn w:val="Normal"/>
    <w:link w:val="BodyTextChar"/>
    <w:rsid w:val="009E0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F49"/>
    <w:rPr>
      <w:rFonts w:ascii="Times New Roman" w:eastAsia="Times New Roman" w:hAnsi="Times New Roman" w:cs="Times New Roman"/>
      <w:sz w:val="24"/>
      <w:lang w:eastAsia="en-US"/>
    </w:rPr>
  </w:style>
  <w:style w:type="paragraph" w:styleId="ListBullet">
    <w:name w:val="List Bullet"/>
    <w:basedOn w:val="List"/>
    <w:rsid w:val="009E0F49"/>
    <w:pPr>
      <w:numPr>
        <w:numId w:val="12"/>
      </w:numPr>
      <w:tabs>
        <w:tab w:val="clear" w:pos="340"/>
      </w:tabs>
      <w:spacing w:before="40" w:after="40"/>
    </w:pPr>
  </w:style>
  <w:style w:type="character" w:customStyle="1" w:styleId="SpecialBold">
    <w:name w:val="Special Bold"/>
    <w:basedOn w:val="DefaultParagraphFont"/>
    <w:rsid w:val="009E0F49"/>
    <w:rPr>
      <w:b/>
      <w:spacing w:val="0"/>
    </w:rPr>
  </w:style>
  <w:style w:type="paragraph" w:styleId="ListBullet2">
    <w:name w:val="List Bullet 2"/>
    <w:basedOn w:val="List2"/>
    <w:rsid w:val="009E0F49"/>
    <w:pPr>
      <w:numPr>
        <w:numId w:val="13"/>
      </w:numPr>
      <w:tabs>
        <w:tab w:val="clear" w:pos="680"/>
      </w:tabs>
    </w:pPr>
  </w:style>
  <w:style w:type="character" w:styleId="Emphasis">
    <w:name w:val="Emphasis"/>
    <w:basedOn w:val="DefaultParagraphFont"/>
    <w:qFormat/>
    <w:rsid w:val="009E0F49"/>
    <w:rPr>
      <w:i/>
    </w:rPr>
  </w:style>
  <w:style w:type="paragraph" w:customStyle="1" w:styleId="SuperHeading">
    <w:name w:val="SuperHeading"/>
    <w:basedOn w:val="Normal"/>
    <w:rsid w:val="009E0F49"/>
    <w:pPr>
      <w:spacing w:before="240" w:after="120"/>
      <w:outlineLvl w:val="0"/>
    </w:pPr>
    <w:rPr>
      <w:rFonts w:ascii="Times New Roman" w:hAnsi="Times New Roman"/>
      <w:b/>
      <w:sz w:val="32"/>
    </w:rPr>
  </w:style>
  <w:style w:type="paragraph" w:customStyle="1" w:styleId="AllowPageBreak">
    <w:name w:val="AllowPageBreak"/>
    <w:rsid w:val="009E0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F49"/>
    <w:rPr>
      <w:rFonts w:ascii="Courier New" w:eastAsia="Times New Roman" w:hAnsi="Courier New" w:cs="Times New Roman"/>
      <w:i/>
      <w:szCs w:val="20"/>
      <w:lang w:eastAsia="en-US"/>
    </w:rPr>
  </w:style>
  <w:style w:type="paragraph" w:customStyle="1" w:styleId="HeadingBase">
    <w:name w:val="Heading Base"/>
    <w:rsid w:val="009E0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F49"/>
    <w:pPr>
      <w:tabs>
        <w:tab w:val="right" w:leader="dot" w:pos="9072"/>
      </w:tabs>
      <w:ind w:left="567"/>
    </w:pPr>
    <w:rPr>
      <w:szCs w:val="22"/>
    </w:rPr>
  </w:style>
  <w:style w:type="paragraph" w:customStyle="1" w:styleId="TOCBase">
    <w:name w:val="TOC Base"/>
    <w:rsid w:val="009E0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F49"/>
    <w:pPr>
      <w:tabs>
        <w:tab w:val="right" w:leader="dot" w:pos="9072"/>
      </w:tabs>
      <w:spacing w:before="40" w:after="40"/>
      <w:ind w:left="284"/>
    </w:pPr>
    <w:rPr>
      <w:rFonts w:ascii="Times New Roman" w:hAnsi="Times New Roman"/>
    </w:rPr>
  </w:style>
  <w:style w:type="paragraph" w:styleId="TOC1">
    <w:name w:val="toc 1"/>
    <w:basedOn w:val="TOCBase"/>
    <w:next w:val="Normal"/>
    <w:rsid w:val="009E0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F49"/>
    <w:rPr>
      <w:rFonts w:ascii="Times New Roman" w:eastAsia="Times New Roman" w:hAnsi="Times New Roman" w:cs="Times New Roman"/>
      <w:sz w:val="16"/>
      <w:lang w:eastAsia="en-US"/>
    </w:rPr>
  </w:style>
  <w:style w:type="paragraph" w:styleId="Title">
    <w:name w:val="Title"/>
    <w:basedOn w:val="HeadingBase"/>
    <w:link w:val="TitleChar"/>
    <w:qFormat/>
    <w:rsid w:val="009E0F49"/>
    <w:pPr>
      <w:spacing w:before="5040"/>
      <w:jc w:val="center"/>
    </w:pPr>
    <w:rPr>
      <w:sz w:val="48"/>
      <w:szCs w:val="72"/>
      <w:lang w:val="en-US"/>
    </w:rPr>
  </w:style>
  <w:style w:type="character" w:customStyle="1" w:styleId="TitleChar">
    <w:name w:val="Title Char"/>
    <w:basedOn w:val="DefaultParagraphFont"/>
    <w:link w:val="Title"/>
    <w:rsid w:val="009E0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F49"/>
    <w:pPr>
      <w:tabs>
        <w:tab w:val="left" w:pos="3600"/>
        <w:tab w:val="left" w:pos="3958"/>
      </w:tabs>
    </w:pPr>
  </w:style>
  <w:style w:type="paragraph" w:styleId="List">
    <w:name w:val="List"/>
    <w:basedOn w:val="BodyText"/>
    <w:next w:val="BodyText"/>
    <w:rsid w:val="009E0F49"/>
    <w:pPr>
      <w:tabs>
        <w:tab w:val="left" w:pos="340"/>
      </w:tabs>
      <w:spacing w:before="60" w:after="60"/>
      <w:ind w:left="340" w:hanging="340"/>
    </w:pPr>
  </w:style>
  <w:style w:type="paragraph" w:customStyle="1" w:styleId="Note">
    <w:name w:val="Note"/>
    <w:basedOn w:val="BodyText"/>
    <w:rsid w:val="009E0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F49"/>
    <w:pPr>
      <w:framePr w:wrap="auto" w:hAnchor="text" w:y="6049"/>
    </w:pPr>
    <w:rPr>
      <w:color w:val="000000"/>
      <w:sz w:val="40"/>
    </w:rPr>
  </w:style>
  <w:style w:type="paragraph" w:customStyle="1" w:styleId="TOCTitle">
    <w:name w:val="TOCTitle"/>
    <w:basedOn w:val="Heading1"/>
    <w:rsid w:val="009E0F49"/>
    <w:pPr>
      <w:spacing w:after="240"/>
      <w:jc w:val="center"/>
      <w:outlineLvl w:val="9"/>
    </w:pPr>
    <w:rPr>
      <w:caps/>
    </w:rPr>
  </w:style>
  <w:style w:type="paragraph" w:customStyle="1" w:styleId="Version">
    <w:name w:val="Version"/>
    <w:rsid w:val="009E0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F49"/>
    <w:pPr>
      <w:keepNext w:val="0"/>
      <w:tabs>
        <w:tab w:val="right" w:pos="4176"/>
      </w:tabs>
      <w:ind w:left="198" w:hanging="198"/>
    </w:pPr>
    <w:rPr>
      <w:rFonts w:ascii="Garamond" w:hAnsi="Garamond"/>
    </w:rPr>
  </w:style>
  <w:style w:type="paragraph" w:styleId="IndexHeading">
    <w:name w:val="index heading"/>
    <w:basedOn w:val="Normal"/>
    <w:next w:val="Index1"/>
    <w:semiHidden/>
    <w:rsid w:val="009E0F49"/>
    <w:pPr>
      <w:spacing w:before="120" w:after="120"/>
    </w:pPr>
    <w:rPr>
      <w:rFonts w:ascii="Arial" w:hAnsi="Arial"/>
      <w:b/>
      <w:color w:val="918585"/>
      <w:sz w:val="24"/>
    </w:rPr>
  </w:style>
  <w:style w:type="paragraph" w:styleId="Header">
    <w:name w:val="header"/>
    <w:basedOn w:val="Normal"/>
    <w:link w:val="HeaderChar"/>
    <w:rsid w:val="009E0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F49"/>
    <w:rPr>
      <w:rFonts w:ascii="Times New Roman" w:eastAsia="Times New Roman" w:hAnsi="Times New Roman" w:cs="Times New Roman"/>
      <w:sz w:val="16"/>
      <w:szCs w:val="20"/>
      <w:lang w:val="en-GB" w:eastAsia="en-US"/>
    </w:rPr>
  </w:style>
  <w:style w:type="paragraph" w:customStyle="1" w:styleId="Chapter">
    <w:name w:val="Chapter"/>
    <w:basedOn w:val="Normal"/>
    <w:rsid w:val="009E0F49"/>
    <w:pPr>
      <w:spacing w:before="240"/>
    </w:pPr>
    <w:rPr>
      <w:rFonts w:ascii="Times New Roman" w:hAnsi="Times New Roman"/>
      <w:smallCaps/>
      <w:spacing w:val="80"/>
      <w:sz w:val="28"/>
    </w:rPr>
  </w:style>
  <w:style w:type="paragraph" w:customStyle="1" w:styleId="InChapter">
    <w:name w:val="InChapter"/>
    <w:basedOn w:val="Heading3"/>
    <w:rsid w:val="009E0F49"/>
    <w:pPr>
      <w:spacing w:after="240"/>
      <w:outlineLvl w:val="9"/>
    </w:pPr>
    <w:rPr>
      <w:noProof/>
    </w:rPr>
  </w:style>
  <w:style w:type="paragraph" w:styleId="Index2">
    <w:name w:val="index 2"/>
    <w:basedOn w:val="Normal"/>
    <w:next w:val="Normal"/>
    <w:semiHidden/>
    <w:rsid w:val="009E0F49"/>
    <w:pPr>
      <w:tabs>
        <w:tab w:val="right" w:pos="4176"/>
      </w:tabs>
      <w:ind w:left="568" w:hanging="284"/>
    </w:pPr>
    <w:rPr>
      <w:rFonts w:ascii="Garamond" w:hAnsi="Garamond"/>
    </w:rPr>
  </w:style>
  <w:style w:type="paragraph" w:customStyle="1" w:styleId="Byline">
    <w:name w:val="Byline"/>
    <w:rsid w:val="009E0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F49"/>
    <w:pPr>
      <w:tabs>
        <w:tab w:val="clear" w:pos="3600"/>
        <w:tab w:val="clear" w:pos="3958"/>
      </w:tabs>
      <w:jc w:val="right"/>
    </w:pPr>
  </w:style>
  <w:style w:type="paragraph" w:styleId="Caption">
    <w:name w:val="caption"/>
    <w:basedOn w:val="BodyText"/>
    <w:next w:val="Normal"/>
    <w:qFormat/>
    <w:rsid w:val="009E0F49"/>
    <w:pPr>
      <w:framePr w:w="2268" w:hSpace="181" w:vSpace="181" w:wrap="around" w:vAnchor="text" w:hAnchor="page" w:x="1135" w:y="285" w:anchorLock="1"/>
    </w:pPr>
    <w:rPr>
      <w:i/>
    </w:rPr>
  </w:style>
  <w:style w:type="paragraph" w:customStyle="1" w:styleId="MiniTOCTitle">
    <w:name w:val="MiniTOCTitle"/>
    <w:basedOn w:val="Heading4"/>
    <w:rsid w:val="009E0F49"/>
    <w:pPr>
      <w:spacing w:before="240"/>
      <w:outlineLvl w:val="9"/>
    </w:pPr>
    <w:rPr>
      <w:noProof/>
      <w:sz w:val="24"/>
    </w:rPr>
  </w:style>
  <w:style w:type="paragraph" w:customStyle="1" w:styleId="MiniTOCItem">
    <w:name w:val="MiniTOCItem"/>
    <w:basedOn w:val="ListBullet"/>
    <w:rsid w:val="009E0F49"/>
    <w:pPr>
      <w:numPr>
        <w:numId w:val="0"/>
      </w:numPr>
      <w:tabs>
        <w:tab w:val="right" w:leader="dot" w:pos="6521"/>
      </w:tabs>
      <w:spacing w:before="0" w:after="0"/>
    </w:pPr>
  </w:style>
  <w:style w:type="paragraph" w:customStyle="1" w:styleId="TOFTitle">
    <w:name w:val="TOFTitle"/>
    <w:basedOn w:val="TOCTitle"/>
    <w:rsid w:val="009E0F49"/>
  </w:style>
  <w:style w:type="paragraph" w:styleId="TableofFigures">
    <w:name w:val="table of figures"/>
    <w:basedOn w:val="Normal"/>
    <w:next w:val="Normal"/>
    <w:semiHidden/>
    <w:rsid w:val="009E0F49"/>
    <w:pPr>
      <w:tabs>
        <w:tab w:val="right" w:leader="dot" w:pos="9072"/>
      </w:tabs>
      <w:ind w:left="970" w:hanging="403"/>
    </w:pPr>
    <w:rPr>
      <w:rFonts w:ascii="Times New Roman" w:hAnsi="Times New Roman"/>
      <w:b/>
    </w:rPr>
  </w:style>
  <w:style w:type="paragraph" w:styleId="ListNumber">
    <w:name w:val="List Number"/>
    <w:basedOn w:val="List"/>
    <w:rsid w:val="009E0F49"/>
    <w:pPr>
      <w:numPr>
        <w:numId w:val="15"/>
      </w:numPr>
      <w:tabs>
        <w:tab w:val="clear" w:pos="340"/>
      </w:tabs>
    </w:pPr>
  </w:style>
  <w:style w:type="character" w:customStyle="1" w:styleId="WingdingSymbols">
    <w:name w:val="Wingding Symbols"/>
    <w:rsid w:val="009E0F49"/>
    <w:rPr>
      <w:rFonts w:ascii="Wingdings" w:hAnsi="Wingdings"/>
    </w:rPr>
  </w:style>
  <w:style w:type="paragraph" w:customStyle="1" w:styleId="TableHeading">
    <w:name w:val="Table Heading"/>
    <w:basedOn w:val="HeadingBase"/>
    <w:rsid w:val="009E0F49"/>
    <w:pPr>
      <w:keepLines/>
      <w:pBdr>
        <w:bottom w:val="single" w:sz="6" w:space="1" w:color="918585"/>
      </w:pBdr>
      <w:spacing w:before="240"/>
    </w:pPr>
  </w:style>
  <w:style w:type="character" w:customStyle="1" w:styleId="HotSpot">
    <w:name w:val="HotSpot"/>
    <w:rsid w:val="009E0F49"/>
    <w:rPr>
      <w:color w:val="0033CC"/>
      <w:u w:val="none"/>
    </w:rPr>
  </w:style>
  <w:style w:type="paragraph" w:customStyle="1" w:styleId="BodyTextRight">
    <w:name w:val="Body Text Right"/>
    <w:basedOn w:val="BodyText"/>
    <w:rsid w:val="009E0F49"/>
    <w:pPr>
      <w:spacing w:before="0" w:after="0"/>
      <w:jc w:val="right"/>
    </w:pPr>
  </w:style>
  <w:style w:type="paragraph" w:styleId="Index3">
    <w:name w:val="index 3"/>
    <w:basedOn w:val="ListNumber2"/>
    <w:next w:val="Normal"/>
    <w:semiHidden/>
    <w:rsid w:val="009E0F49"/>
    <w:pPr>
      <w:numPr>
        <w:numId w:val="0"/>
      </w:numPr>
      <w:tabs>
        <w:tab w:val="right" w:leader="dot" w:pos="4176"/>
      </w:tabs>
    </w:pPr>
  </w:style>
  <w:style w:type="paragraph" w:styleId="ListNumber2">
    <w:name w:val="List Number 2"/>
    <w:basedOn w:val="List2"/>
    <w:rsid w:val="009E0F49"/>
    <w:pPr>
      <w:numPr>
        <w:numId w:val="10"/>
      </w:numPr>
      <w:tabs>
        <w:tab w:val="clear" w:pos="1060"/>
      </w:tabs>
    </w:pPr>
  </w:style>
  <w:style w:type="paragraph" w:customStyle="1" w:styleId="MarginNote">
    <w:name w:val="Margin Note"/>
    <w:basedOn w:val="BodyText"/>
    <w:rsid w:val="009E0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F49"/>
    <w:rPr>
      <w:sz w:val="32"/>
    </w:rPr>
  </w:style>
  <w:style w:type="paragraph" w:customStyle="1" w:styleId="HeadingProcedure">
    <w:name w:val="Heading Procedure"/>
    <w:basedOn w:val="HeadingBase"/>
    <w:next w:val="Normal"/>
    <w:rsid w:val="009E0F49"/>
    <w:pPr>
      <w:tabs>
        <w:tab w:val="left" w:pos="0"/>
      </w:tabs>
      <w:spacing w:before="120" w:after="60"/>
    </w:pPr>
    <w:rPr>
      <w:i/>
      <w:color w:val="918585"/>
      <w:sz w:val="22"/>
    </w:rPr>
  </w:style>
  <w:style w:type="paragraph" w:customStyle="1" w:styleId="TableBodyText">
    <w:name w:val="Table Body Text"/>
    <w:basedOn w:val="BodyText"/>
    <w:rsid w:val="009E0F49"/>
    <w:pPr>
      <w:spacing w:before="60" w:after="60"/>
    </w:pPr>
  </w:style>
  <w:style w:type="paragraph" w:styleId="ListContinue">
    <w:name w:val="List Continue"/>
    <w:basedOn w:val="List"/>
    <w:rsid w:val="009E0F49"/>
    <w:pPr>
      <w:ind w:firstLine="0"/>
    </w:pPr>
  </w:style>
  <w:style w:type="paragraph" w:customStyle="1" w:styleId="ListNote">
    <w:name w:val="List Note"/>
    <w:basedOn w:val="List"/>
    <w:rsid w:val="009E0F49"/>
    <w:pPr>
      <w:pBdr>
        <w:top w:val="single" w:sz="6" w:space="2" w:color="918585"/>
        <w:bottom w:val="single" w:sz="6" w:space="2" w:color="918585"/>
      </w:pBdr>
      <w:tabs>
        <w:tab w:val="left" w:pos="1021"/>
      </w:tabs>
      <w:ind w:firstLine="0"/>
    </w:pPr>
  </w:style>
  <w:style w:type="paragraph" w:customStyle="1" w:styleId="Warning">
    <w:name w:val="Warning"/>
    <w:basedOn w:val="BodyText"/>
    <w:rsid w:val="009E0F49"/>
    <w:pPr>
      <w:shd w:val="clear" w:color="auto" w:fill="D9D9D9"/>
      <w:tabs>
        <w:tab w:val="left" w:pos="992"/>
      </w:tabs>
      <w:ind w:left="119" w:right="119"/>
    </w:pPr>
    <w:rPr>
      <w:sz w:val="20"/>
    </w:rPr>
  </w:style>
  <w:style w:type="paragraph" w:customStyle="1" w:styleId="MarginIcons">
    <w:name w:val="Margin Icons"/>
    <w:basedOn w:val="BodyText"/>
    <w:rsid w:val="009E0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F49"/>
    <w:rPr>
      <w:rFonts w:ascii="Courier New" w:hAnsi="Courier New"/>
    </w:rPr>
  </w:style>
  <w:style w:type="paragraph" w:customStyle="1" w:styleId="NoteBullet">
    <w:name w:val="Note Bullet"/>
    <w:basedOn w:val="Note"/>
    <w:rsid w:val="009E0F49"/>
    <w:pPr>
      <w:tabs>
        <w:tab w:val="clear" w:pos="680"/>
      </w:tabs>
      <w:spacing w:before="60" w:after="60"/>
    </w:pPr>
  </w:style>
  <w:style w:type="paragraph" w:customStyle="1" w:styleId="SubHeading2">
    <w:name w:val="SubHeading2"/>
    <w:basedOn w:val="HeadingBase"/>
    <w:rsid w:val="009E0F49"/>
    <w:pPr>
      <w:spacing w:before="240" w:after="60"/>
    </w:pPr>
    <w:rPr>
      <w:sz w:val="20"/>
    </w:rPr>
  </w:style>
  <w:style w:type="paragraph" w:customStyle="1" w:styleId="SubHeading1">
    <w:name w:val="SubHeading1"/>
    <w:basedOn w:val="HeadingBase"/>
    <w:rsid w:val="009E0F49"/>
    <w:pPr>
      <w:spacing w:before="240" w:after="60"/>
    </w:pPr>
    <w:rPr>
      <w:color w:val="918585"/>
      <w:sz w:val="22"/>
    </w:rPr>
  </w:style>
  <w:style w:type="paragraph" w:customStyle="1" w:styleId="SideHeading">
    <w:name w:val="Side Heading"/>
    <w:basedOn w:val="HeadingBase"/>
    <w:rsid w:val="009E0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F49"/>
    <w:pPr>
      <w:tabs>
        <w:tab w:val="num" w:pos="360"/>
      </w:tabs>
    </w:pPr>
  </w:style>
  <w:style w:type="paragraph" w:styleId="PlainText">
    <w:name w:val="Plain Text"/>
    <w:basedOn w:val="Normal"/>
    <w:link w:val="PlainTextChar"/>
    <w:rsid w:val="009E0F49"/>
    <w:rPr>
      <w:sz w:val="20"/>
    </w:rPr>
  </w:style>
  <w:style w:type="character" w:customStyle="1" w:styleId="PlainTextChar">
    <w:name w:val="Plain Text Char"/>
    <w:basedOn w:val="DefaultParagraphFont"/>
    <w:link w:val="PlainText"/>
    <w:rsid w:val="009E0F49"/>
    <w:rPr>
      <w:rFonts w:ascii="Courier New" w:eastAsia="Times New Roman" w:hAnsi="Courier New" w:cs="Times New Roman"/>
      <w:sz w:val="20"/>
      <w:szCs w:val="20"/>
      <w:lang w:eastAsia="en-US"/>
    </w:rPr>
  </w:style>
  <w:style w:type="character" w:customStyle="1" w:styleId="MenuOption">
    <w:name w:val="Menu Option"/>
    <w:basedOn w:val="DefaultParagraphFont"/>
    <w:rsid w:val="009E0F49"/>
    <w:rPr>
      <w:b/>
      <w:smallCaps/>
    </w:rPr>
  </w:style>
  <w:style w:type="paragraph" w:customStyle="1" w:styleId="TableListNumber">
    <w:name w:val="Table List Number"/>
    <w:basedOn w:val="ListNumber"/>
    <w:rsid w:val="009E0F49"/>
    <w:pPr>
      <w:numPr>
        <w:numId w:val="0"/>
      </w:numPr>
    </w:pPr>
  </w:style>
  <w:style w:type="paragraph" w:styleId="TOC4">
    <w:name w:val="toc 4"/>
    <w:basedOn w:val="TOCBase"/>
    <w:next w:val="Normal"/>
    <w:semiHidden/>
    <w:rsid w:val="009E0F49"/>
    <w:pPr>
      <w:tabs>
        <w:tab w:val="right" w:leader="dot" w:pos="9071"/>
      </w:tabs>
      <w:ind w:left="1701"/>
    </w:pPr>
  </w:style>
  <w:style w:type="paragraph" w:customStyle="1" w:styleId="ListAlpha">
    <w:name w:val="List Alpha"/>
    <w:basedOn w:val="List"/>
    <w:rsid w:val="009E0F49"/>
    <w:pPr>
      <w:numPr>
        <w:numId w:val="9"/>
      </w:numPr>
    </w:pPr>
  </w:style>
  <w:style w:type="paragraph" w:customStyle="1" w:styleId="ListAlpha2">
    <w:name w:val="List Alpha 2"/>
    <w:basedOn w:val="List2"/>
    <w:rsid w:val="009E0F49"/>
    <w:pPr>
      <w:numPr>
        <w:numId w:val="8"/>
      </w:numPr>
    </w:pPr>
  </w:style>
  <w:style w:type="paragraph" w:styleId="List2">
    <w:name w:val="List 2"/>
    <w:basedOn w:val="BodyText"/>
    <w:rsid w:val="009E0F49"/>
    <w:pPr>
      <w:tabs>
        <w:tab w:val="left" w:pos="680"/>
      </w:tabs>
      <w:spacing w:before="60" w:after="60"/>
      <w:ind w:left="680" w:hanging="340"/>
    </w:pPr>
  </w:style>
  <w:style w:type="paragraph" w:styleId="List3">
    <w:name w:val="List 3"/>
    <w:basedOn w:val="BodyText"/>
    <w:rsid w:val="009E0F49"/>
    <w:pPr>
      <w:tabs>
        <w:tab w:val="left" w:pos="1021"/>
      </w:tabs>
      <w:spacing w:before="60" w:after="60"/>
      <w:ind w:left="1020" w:hanging="340"/>
    </w:pPr>
  </w:style>
  <w:style w:type="paragraph" w:styleId="List4">
    <w:name w:val="List 4"/>
    <w:basedOn w:val="BodyText"/>
    <w:rsid w:val="009E0F49"/>
    <w:pPr>
      <w:tabs>
        <w:tab w:val="left" w:pos="1361"/>
      </w:tabs>
      <w:spacing w:before="60" w:after="60"/>
      <w:ind w:left="1361" w:hanging="340"/>
    </w:pPr>
  </w:style>
  <w:style w:type="paragraph" w:styleId="List5">
    <w:name w:val="List 5"/>
    <w:basedOn w:val="BodyText"/>
    <w:rsid w:val="009E0F49"/>
    <w:pPr>
      <w:tabs>
        <w:tab w:val="left" w:pos="1701"/>
      </w:tabs>
      <w:spacing w:before="60" w:after="60"/>
      <w:ind w:left="1701" w:hanging="340"/>
    </w:pPr>
  </w:style>
  <w:style w:type="paragraph" w:styleId="ListBullet3">
    <w:name w:val="List Bullet 3"/>
    <w:basedOn w:val="List3"/>
    <w:rsid w:val="009E0F49"/>
    <w:pPr>
      <w:numPr>
        <w:numId w:val="14"/>
      </w:numPr>
      <w:tabs>
        <w:tab w:val="clear" w:pos="1021"/>
      </w:tabs>
      <w:ind w:left="1037" w:hanging="357"/>
    </w:pPr>
  </w:style>
  <w:style w:type="paragraph" w:styleId="ListBullet4">
    <w:name w:val="List Bullet 4"/>
    <w:basedOn w:val="List4"/>
    <w:rsid w:val="009E0F49"/>
    <w:pPr>
      <w:numPr>
        <w:numId w:val="3"/>
      </w:numPr>
      <w:tabs>
        <w:tab w:val="clear" w:pos="1361"/>
      </w:tabs>
    </w:pPr>
  </w:style>
  <w:style w:type="paragraph" w:styleId="ListBullet5">
    <w:name w:val="List Bullet 5"/>
    <w:basedOn w:val="List5"/>
    <w:rsid w:val="009E0F49"/>
    <w:pPr>
      <w:numPr>
        <w:numId w:val="4"/>
      </w:numPr>
    </w:pPr>
  </w:style>
  <w:style w:type="paragraph" w:styleId="ListContinue2">
    <w:name w:val="List Continue 2"/>
    <w:basedOn w:val="List2"/>
    <w:rsid w:val="009E0F49"/>
    <w:pPr>
      <w:ind w:firstLine="0"/>
    </w:pPr>
  </w:style>
  <w:style w:type="paragraph" w:styleId="ListContinue3">
    <w:name w:val="List Continue 3"/>
    <w:basedOn w:val="List3"/>
    <w:rsid w:val="009E0F49"/>
    <w:pPr>
      <w:ind w:left="1021" w:firstLine="0"/>
    </w:pPr>
  </w:style>
  <w:style w:type="paragraph" w:styleId="ListContinue4">
    <w:name w:val="List Continue 4"/>
    <w:basedOn w:val="List4"/>
    <w:rsid w:val="009E0F49"/>
    <w:pPr>
      <w:ind w:firstLine="0"/>
    </w:pPr>
  </w:style>
  <w:style w:type="paragraph" w:styleId="ListContinue5">
    <w:name w:val="List Continue 5"/>
    <w:basedOn w:val="List5"/>
    <w:rsid w:val="009E0F49"/>
    <w:pPr>
      <w:ind w:firstLine="0"/>
    </w:pPr>
  </w:style>
  <w:style w:type="paragraph" w:styleId="ListNumber3">
    <w:name w:val="List Number 3"/>
    <w:basedOn w:val="List3"/>
    <w:rsid w:val="009E0F49"/>
    <w:pPr>
      <w:numPr>
        <w:numId w:val="5"/>
      </w:numPr>
    </w:pPr>
  </w:style>
  <w:style w:type="paragraph" w:styleId="ListNumber4">
    <w:name w:val="List Number 4"/>
    <w:basedOn w:val="List4"/>
    <w:rsid w:val="009E0F49"/>
    <w:pPr>
      <w:numPr>
        <w:numId w:val="6"/>
      </w:numPr>
    </w:pPr>
  </w:style>
  <w:style w:type="paragraph" w:styleId="ListNumber5">
    <w:name w:val="List Number 5"/>
    <w:basedOn w:val="List5"/>
    <w:rsid w:val="009E0F49"/>
    <w:pPr>
      <w:numPr>
        <w:numId w:val="7"/>
      </w:numPr>
    </w:pPr>
  </w:style>
  <w:style w:type="paragraph" w:styleId="BlockText">
    <w:name w:val="Block Text"/>
    <w:basedOn w:val="Normal"/>
    <w:rsid w:val="009E0F49"/>
    <w:pPr>
      <w:spacing w:after="120"/>
      <w:ind w:left="1440" w:right="1440"/>
    </w:pPr>
  </w:style>
  <w:style w:type="character" w:customStyle="1" w:styleId="Subscript">
    <w:name w:val="Subscript"/>
    <w:basedOn w:val="DefaultParagraphFont"/>
    <w:rsid w:val="009E0F49"/>
    <w:rPr>
      <w:sz w:val="16"/>
      <w:vertAlign w:val="subscript"/>
    </w:rPr>
  </w:style>
  <w:style w:type="character" w:customStyle="1" w:styleId="Superscript">
    <w:name w:val="Superscript"/>
    <w:basedOn w:val="DefaultParagraphFont"/>
    <w:rsid w:val="009E0F49"/>
    <w:rPr>
      <w:sz w:val="16"/>
      <w:vertAlign w:val="superscript"/>
    </w:rPr>
  </w:style>
  <w:style w:type="character" w:customStyle="1" w:styleId="Symbols">
    <w:name w:val="Symbols"/>
    <w:basedOn w:val="DefaultParagraphFont"/>
    <w:rsid w:val="009E0F49"/>
    <w:rPr>
      <w:rFonts w:ascii="Symbol" w:hAnsi="Symbol"/>
    </w:rPr>
  </w:style>
  <w:style w:type="character" w:customStyle="1" w:styleId="MenuOptions">
    <w:name w:val="Menu Options"/>
    <w:basedOn w:val="DefaultParagraphFont"/>
    <w:rsid w:val="009E0F49"/>
    <w:rPr>
      <w:rFonts w:ascii="Arial Narrow" w:hAnsi="Arial Narrow"/>
      <w:smallCaps/>
    </w:rPr>
  </w:style>
  <w:style w:type="character" w:customStyle="1" w:styleId="Buttons">
    <w:name w:val="Buttons"/>
    <w:basedOn w:val="DefaultParagraphFont"/>
    <w:rsid w:val="009E0F49"/>
    <w:rPr>
      <w:b/>
    </w:rPr>
  </w:style>
  <w:style w:type="character" w:customStyle="1" w:styleId="Underlined">
    <w:name w:val="Underlined"/>
    <w:basedOn w:val="DefaultParagraphFont"/>
    <w:rsid w:val="009E0F49"/>
    <w:rPr>
      <w:u w:val="single"/>
    </w:rPr>
  </w:style>
  <w:style w:type="paragraph" w:customStyle="1" w:styleId="TableBodyTextRight">
    <w:name w:val="Table Body Text Right"/>
    <w:basedOn w:val="TableBodyText"/>
    <w:rsid w:val="009E0F49"/>
    <w:pPr>
      <w:widowControl w:val="0"/>
      <w:autoSpaceDE w:val="0"/>
      <w:autoSpaceDN w:val="0"/>
      <w:adjustRightInd w:val="0"/>
      <w:jc w:val="right"/>
    </w:pPr>
    <w:rPr>
      <w:rFonts w:cs="Arial"/>
      <w:szCs w:val="18"/>
    </w:rPr>
  </w:style>
  <w:style w:type="paragraph" w:customStyle="1" w:styleId="CopyrightText">
    <w:name w:val="Copyright Text"/>
    <w:basedOn w:val="BodyText"/>
    <w:rsid w:val="009E0F49"/>
    <w:rPr>
      <w:sz w:val="18"/>
    </w:rPr>
  </w:style>
  <w:style w:type="paragraph" w:customStyle="1" w:styleId="BodySmallRight">
    <w:name w:val="Body Small Right"/>
    <w:basedOn w:val="BodyTextRight"/>
    <w:rsid w:val="009E0F49"/>
    <w:rPr>
      <w:sz w:val="18"/>
      <w:szCs w:val="18"/>
    </w:rPr>
  </w:style>
  <w:style w:type="paragraph" w:customStyle="1" w:styleId="MarginEdition">
    <w:name w:val="Margin Edition"/>
    <w:basedOn w:val="MarginNote"/>
    <w:rsid w:val="009E0F49"/>
    <w:pPr>
      <w:spacing w:before="0" w:after="0"/>
    </w:pPr>
    <w:rPr>
      <w:rFonts w:ascii="Times New Roman" w:hAnsi="Times New Roman"/>
      <w:color w:val="999999"/>
    </w:rPr>
  </w:style>
  <w:style w:type="paragraph" w:customStyle="1" w:styleId="Spacer">
    <w:name w:val="Spacer"/>
    <w:basedOn w:val="Normal"/>
    <w:rsid w:val="009E0F49"/>
    <w:rPr>
      <w:sz w:val="2"/>
      <w:szCs w:val="2"/>
    </w:rPr>
  </w:style>
  <w:style w:type="character" w:customStyle="1" w:styleId="Small">
    <w:name w:val="Small"/>
    <w:basedOn w:val="DefaultParagraphFont"/>
    <w:rsid w:val="009E0F49"/>
    <w:rPr>
      <w:sz w:val="16"/>
    </w:rPr>
  </w:style>
  <w:style w:type="paragraph" w:customStyle="1" w:styleId="WideTable">
    <w:name w:val="Wide Table"/>
    <w:basedOn w:val="Normal"/>
    <w:rsid w:val="009E0F49"/>
    <w:pPr>
      <w:ind w:left="-1418"/>
    </w:pPr>
    <w:rPr>
      <w:sz w:val="2"/>
      <w:szCs w:val="2"/>
    </w:rPr>
  </w:style>
  <w:style w:type="character" w:styleId="PageNumber">
    <w:name w:val="page number"/>
    <w:basedOn w:val="DefaultParagraphFont"/>
    <w:rsid w:val="009E0F49"/>
  </w:style>
  <w:style w:type="paragraph" w:styleId="Quote">
    <w:name w:val="Quote"/>
    <w:basedOn w:val="Heading1"/>
    <w:link w:val="QuoteChar"/>
    <w:qFormat/>
    <w:rsid w:val="009E0F49"/>
    <w:rPr>
      <w:b w:val="0"/>
      <w:sz w:val="72"/>
      <w:szCs w:val="72"/>
      <w:lang w:val="en-NZ"/>
    </w:rPr>
  </w:style>
  <w:style w:type="character" w:customStyle="1" w:styleId="QuoteChar">
    <w:name w:val="Quote Char"/>
    <w:basedOn w:val="DefaultParagraphFont"/>
    <w:link w:val="Quote"/>
    <w:rsid w:val="009E0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F49"/>
    <w:pPr>
      <w:pageBreakBefore/>
    </w:pPr>
  </w:style>
  <w:style w:type="paragraph" w:customStyle="1" w:styleId="Border">
    <w:name w:val="Border"/>
    <w:basedOn w:val="Normal"/>
    <w:qFormat/>
    <w:rsid w:val="009E0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F49"/>
    <w:rPr>
      <w:b/>
      <w:bCs/>
      <w:i/>
      <w:iCs/>
      <w:color w:val="auto"/>
    </w:rPr>
  </w:style>
  <w:style w:type="paragraph" w:styleId="IntenseQuote">
    <w:name w:val="Intense Quote"/>
    <w:basedOn w:val="Normal"/>
    <w:next w:val="Normal"/>
    <w:link w:val="IntenseQuoteChar"/>
    <w:uiPriority w:val="30"/>
    <w:qFormat/>
    <w:rsid w:val="009E0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F49"/>
    <w:rPr>
      <w:smallCaps/>
      <w:color w:val="auto"/>
      <w:u w:val="single"/>
    </w:rPr>
  </w:style>
  <w:style w:type="character" w:styleId="IntenseReference">
    <w:name w:val="Intense Reference"/>
    <w:basedOn w:val="DefaultParagraphFont"/>
    <w:uiPriority w:val="32"/>
    <w:qFormat/>
    <w:rsid w:val="009E0F49"/>
    <w:rPr>
      <w:b/>
      <w:bCs/>
      <w:smallCaps/>
      <w:color w:val="auto"/>
      <w:spacing w:val="5"/>
      <w:u w:val="single"/>
    </w:rPr>
  </w:style>
  <w:style w:type="paragraph" w:customStyle="1" w:styleId="2ColumnHeading">
    <w:name w:val="2Column Heading"/>
    <w:basedOn w:val="BodyText"/>
    <w:qFormat/>
    <w:rsid w:val="009E0F49"/>
    <w:pPr>
      <w:spacing w:after="60"/>
      <w:ind w:left="-2268"/>
    </w:pPr>
    <w:rPr>
      <w:b/>
    </w:rPr>
  </w:style>
  <w:style w:type="paragraph" w:customStyle="1" w:styleId="Heading1TOC">
    <w:name w:val="Heading1 TOC"/>
    <w:basedOn w:val="Normal"/>
    <w:qFormat/>
    <w:rsid w:val="009E0F49"/>
    <w:pPr>
      <w:spacing w:before="240" w:after="120"/>
    </w:pPr>
    <w:rPr>
      <w:rFonts w:ascii="Times New Roman" w:hAnsi="Times New Roman"/>
      <w:b/>
      <w:sz w:val="32"/>
    </w:rPr>
  </w:style>
  <w:style w:type="paragraph" w:customStyle="1" w:styleId="Heading2TOC">
    <w:name w:val="Heading2 TOC"/>
    <w:basedOn w:val="Normal"/>
    <w:qFormat/>
    <w:rsid w:val="009E0F49"/>
    <w:pPr>
      <w:spacing w:before="240" w:after="60"/>
    </w:pPr>
    <w:rPr>
      <w:rFonts w:ascii="Times New Roman" w:hAnsi="Times New Roman"/>
      <w:b/>
      <w:sz w:val="28"/>
    </w:rPr>
  </w:style>
  <w:style w:type="character" w:customStyle="1" w:styleId="Underline">
    <w:name w:val="Underline"/>
    <w:basedOn w:val="DefaultParagraphFont"/>
    <w:qFormat/>
    <w:rsid w:val="009E0F49"/>
    <w:rPr>
      <w:u w:val="single"/>
    </w:rPr>
  </w:style>
  <w:style w:type="character" w:customStyle="1" w:styleId="BoldandItalics">
    <w:name w:val="Bold and Italics"/>
    <w:qFormat/>
    <w:rsid w:val="009E0F49"/>
    <w:rPr>
      <w:b/>
      <w:i/>
      <w:u w:val="none"/>
    </w:rPr>
  </w:style>
  <w:style w:type="paragraph" w:styleId="BalloonText">
    <w:name w:val="Balloon Text"/>
    <w:basedOn w:val="Normal"/>
    <w:link w:val="BalloonTextChar"/>
    <w:rsid w:val="009E0F49"/>
    <w:rPr>
      <w:rFonts w:ascii="Tahoma" w:hAnsi="Tahoma" w:cs="Tahoma"/>
      <w:sz w:val="16"/>
      <w:szCs w:val="16"/>
    </w:rPr>
  </w:style>
  <w:style w:type="character" w:customStyle="1" w:styleId="BalloonTextChar">
    <w:name w:val="Balloon Text Char"/>
    <w:basedOn w:val="DefaultParagraphFont"/>
    <w:link w:val="BalloonText"/>
    <w:rsid w:val="009E0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F49"/>
    <w:rPr>
      <w:b/>
      <w:color w:val="660033"/>
      <w:spacing w:val="0"/>
    </w:rPr>
  </w:style>
  <w:style w:type="paragraph" w:customStyle="1" w:styleId="Nameditemlist">
    <w:name w:val="Named item list"/>
    <w:basedOn w:val="BodyText"/>
    <w:qFormat/>
    <w:rsid w:val="009E0F49"/>
    <w:pPr>
      <w:tabs>
        <w:tab w:val="left" w:pos="2835"/>
      </w:tabs>
      <w:ind w:left="2835" w:hanging="2835"/>
    </w:pPr>
  </w:style>
  <w:style w:type="paragraph" w:customStyle="1" w:styleId="BodyTextnopadding">
    <w:name w:val="Body Text no padding"/>
    <w:basedOn w:val="BodyText"/>
    <w:qFormat/>
    <w:rsid w:val="009E0F49"/>
    <w:pPr>
      <w:spacing w:before="0" w:after="0"/>
    </w:pPr>
  </w:style>
  <w:style w:type="paragraph" w:customStyle="1" w:styleId="BodyTextBold">
    <w:name w:val="Body Text Bold"/>
    <w:basedOn w:val="BodyText"/>
    <w:qFormat/>
    <w:rsid w:val="009E0F49"/>
    <w:rPr>
      <w:b/>
    </w:rPr>
  </w:style>
  <w:style w:type="character" w:styleId="Hyperlink">
    <w:name w:val="Hyperlink"/>
    <w:basedOn w:val="DefaultParagraphFont"/>
    <w:uiPriority w:val="99"/>
    <w:unhideWhenUsed/>
    <w:rsid w:val="00DB60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6005</Characters>
  <Application>Microsoft Office Word</Application>
  <DocSecurity>0</DocSecurity>
  <Lines>181</Lines>
  <Paragraphs>121</Paragraphs>
  <ScaleCrop>false</ScaleCrop>
  <Company>Author-it Software Corporation Ltd.</Company>
  <LinksUpToDate>false</LinksUpToDate>
  <CharactersWithSpaces>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TLIX5050 Determine origin of goods and apply preference schemes or free trade agreements</dc:title>
  <dc:subject>Approved</dc:subject>
  <dc:creator>Industry 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