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CF2" w:rsidP="00FD7C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TLIX5049 Determine indirect taxes</w:t>
      </w:r>
      <w:r>
        <w:fldChar w:fldCharType="end"/>
      </w:r>
    </w:p>
    <w:p w:rsidR="00FD7CF2" w:rsidP="00FD7CF2">
      <w:pPr>
        <w:pStyle w:val="Version"/>
        <w:sectPr w:rsidSect="006C20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20EA" w:rsidP="006C20EA">
      <w:pPr>
        <w:pStyle w:val="SuperHeading"/>
      </w:pPr>
      <w:r w:rsidRPr="006C20EA">
        <w:t>TLIX5049 Determine indirect taxes</w:t>
      </w:r>
    </w:p>
    <w:p w:rsidR="00000000" w:rsidRPr="006C20EA" w:rsidP="006C20EA">
      <w:pPr>
        <w:pStyle w:val="Heading1"/>
      </w:pPr>
      <w:bookmarkStart w:id="1" w:name="O_838519"/>
      <w:bookmarkEnd w:id="1"/>
      <w:r w:rsidRPr="006C20EA">
        <w:t>Modification History</w:t>
      </w:r>
    </w:p>
    <w:p w:rsidR="00FD7CF2" w:rsidP="00FD7CF2">
      <w:pPr>
        <w:pStyle w:val="BodyText"/>
      </w:pPr>
      <w:r w:rsidRPr="006C20EA">
        <w:t>Release 1. This is the first release of this unit of competency in the TLI Transport and Logistics Training Package.</w:t>
      </w:r>
    </w:p>
    <w:p w:rsidR="00000000" w:rsidRPr="006C20EA" w:rsidP="006C20EA">
      <w:pPr>
        <w:pStyle w:val="Heading1"/>
      </w:pPr>
      <w:bookmarkStart w:id="2" w:name="O_838520"/>
      <w:bookmarkEnd w:id="2"/>
      <w:r w:rsidRPr="006C20EA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D7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0EA" w:rsidP="006C20EA">
            <w:pPr>
              <w:pStyle w:val="BodyText"/>
            </w:pPr>
            <w:r w:rsidRPr="006C20EA">
              <w:t>This unit involves the skills and knowledge required to determine indirect taxes as part</w:t>
            </w:r>
            <w:r w:rsidRPr="006C20EA">
              <w:t xml:space="preserve"> of customs broking activities. </w:t>
            </w:r>
          </w:p>
          <w:p w:rsidR="00000000" w:rsidRPr="006C20EA" w:rsidP="006C20EA">
            <w:pPr>
              <w:pStyle w:val="BodyText"/>
            </w:pPr>
            <w:r w:rsidRPr="006C20EA">
              <w:t xml:space="preserve">It includes assessing the applicability of indirect taxes, determining tax exemptions and taxes to be paid, and documenting the results of all tax determinations. </w:t>
            </w:r>
          </w:p>
          <w:p w:rsidR="00000000" w:rsidRPr="006C20EA" w:rsidP="006C20EA">
            <w:pPr>
              <w:pStyle w:val="BodyText"/>
            </w:pPr>
            <w:r w:rsidRPr="006C20EA">
              <w:t>This unit applies to individuals working as a customs broke</w:t>
            </w:r>
            <w:r w:rsidRPr="006C20EA">
              <w:t>r. Work must be carried out in compliance with relevant legislation, and workplace policies and procedures.</w:t>
            </w:r>
          </w:p>
          <w:p w:rsidR="00000000" w:rsidRPr="006C20EA" w:rsidP="006C20EA">
            <w:pPr>
              <w:pStyle w:val="BodyText"/>
            </w:pPr>
            <w:r w:rsidRPr="006C20EA">
              <w:t>Work is undertaken in a range of environments including small to large worksites in the customs broking, international freight forwarding, integrate</w:t>
            </w:r>
            <w:r w:rsidRPr="006C20EA">
              <w:t xml:space="preserve">d express delivery and import/export industries. </w:t>
            </w:r>
          </w:p>
          <w:p w:rsidR="00000000" w:rsidRPr="006C20EA" w:rsidP="006C20EA">
            <w:pPr>
              <w:pStyle w:val="BodyText"/>
            </w:pPr>
            <w:r w:rsidRPr="006C20EA">
              <w:t>No licensing, legislative or certification requirements apply to this unit at the time of publication.</w:t>
            </w:r>
          </w:p>
        </w:tc>
      </w:tr>
    </w:tbl>
    <w:p w:rsidR="00FD7CF2" w:rsidP="006C20EA">
      <w:pPr>
        <w:pStyle w:val="BodyText"/>
      </w:pPr>
    </w:p>
    <w:p w:rsidR="00FD7CF2" w:rsidP="006C20EA">
      <w:pPr>
        <w:pStyle w:val="BodyText"/>
      </w:pPr>
    </w:p>
    <w:p w:rsidR="00000000" w:rsidRPr="006C20EA" w:rsidP="006C20EA">
      <w:pPr>
        <w:pStyle w:val="Heading1"/>
      </w:pPr>
      <w:bookmarkStart w:id="3" w:name="O_838521"/>
      <w:bookmarkEnd w:id="3"/>
      <w:r w:rsidRPr="006C20EA">
        <w:t>Pre-requisite Unit</w:t>
      </w:r>
    </w:p>
    <w:p w:rsidR="00FD7CF2" w:rsidP="00FD7CF2">
      <w:pPr>
        <w:pStyle w:val="BodyText"/>
      </w:pPr>
      <w:r w:rsidRPr="006C20EA">
        <w:t>Not applicable.</w:t>
      </w:r>
    </w:p>
    <w:p w:rsidR="00000000" w:rsidRPr="006C20EA" w:rsidP="006C20EA">
      <w:pPr>
        <w:pStyle w:val="Heading1"/>
      </w:pPr>
      <w:bookmarkStart w:id="4" w:name="O_838522"/>
      <w:bookmarkEnd w:id="4"/>
      <w:r w:rsidRPr="006C20EA">
        <w:t>Competency Field</w:t>
      </w:r>
    </w:p>
    <w:p w:rsidR="00FD7CF2" w:rsidP="00FD7CF2">
      <w:pPr>
        <w:pStyle w:val="BodyText"/>
      </w:pPr>
      <w:r w:rsidRPr="006C20EA">
        <w:t>X – Logistics</w:t>
      </w:r>
    </w:p>
    <w:p w:rsidR="00000000" w:rsidRPr="006C20EA" w:rsidP="006C20EA">
      <w:pPr>
        <w:pStyle w:val="Heading1"/>
      </w:pPr>
      <w:bookmarkStart w:id="5" w:name="O_838523"/>
      <w:bookmarkEnd w:id="5"/>
      <w:r w:rsidRPr="006C20EA">
        <w:t>Unit Sector</w:t>
      </w:r>
    </w:p>
    <w:p w:rsidR="00FD7CF2" w:rsidP="00FD7CF2">
      <w:pPr>
        <w:pStyle w:val="BodyText"/>
      </w:pPr>
      <w:r w:rsidRPr="006C20EA">
        <w:t>Not applicable.</w:t>
      </w:r>
    </w:p>
    <w:p w:rsidR="00000000" w:rsidRPr="006C20EA" w:rsidP="006C20EA">
      <w:pPr>
        <w:pStyle w:val="Heading1"/>
      </w:pPr>
      <w:bookmarkStart w:id="6" w:name="O_838524"/>
      <w:bookmarkEnd w:id="6"/>
      <w:r w:rsidRPr="006C20E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FD7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0EA" w:rsidP="006C20EA">
            <w:pPr>
              <w:pStyle w:val="BodyText"/>
            </w:pPr>
            <w:r w:rsidRPr="006C20EA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rPr>
                <w:rStyle w:val="SpecialBold"/>
              </w:rPr>
              <w:t>PERFORMANCE CRITERIA</w:t>
            </w:r>
          </w:p>
        </w:tc>
      </w:tr>
      <w:tr w:rsidTr="00FD7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t xml:space="preserve">Elements describe the </w:t>
            </w:r>
            <w:r w:rsidRPr="006C20EA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t xml:space="preserve">Performance criteria describe the performance needed to demonstrate achievement of the </w:t>
            </w:r>
            <w:r w:rsidRPr="006C20EA">
              <w:t>element.</w:t>
            </w:r>
          </w:p>
        </w:tc>
      </w:tr>
      <w:tr w:rsidTr="00FD7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0EA" w:rsidP="006C20EA">
            <w:pPr>
              <w:pStyle w:val="BodyText"/>
            </w:pPr>
            <w:r w:rsidRPr="006C20E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rPr>
                <w:rStyle w:val="SpecialBold"/>
              </w:rPr>
              <w:t>Assess applicability of indirect taxes to goods, commodities and transactions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t>Applicability of indirect taxes to goods and commodities is analysed and d</w:t>
            </w:r>
            <w:r w:rsidRPr="006C20EA">
              <w:t>ocumented</w:t>
            </w:r>
          </w:p>
        </w:tc>
      </w:tr>
      <w:tr w:rsidTr="00FD7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t>Allowable exemptions and specialised schemes relating to indirect taxes are researched for applicability to specific commodities and/or transactions</w:t>
            </w:r>
          </w:p>
        </w:tc>
      </w:tr>
      <w:tr w:rsidTr="00FD7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t>Allowable exemptions are applied to goods and commodities in accordance with relevant legislation</w:t>
            </w:r>
          </w:p>
        </w:tc>
      </w:tr>
      <w:tr w:rsidTr="00FD7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t>Accuracy of assessments is checked and verified</w:t>
            </w:r>
          </w:p>
        </w:tc>
      </w:tr>
      <w:tr w:rsidTr="00FD7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0EA" w:rsidP="006C20EA">
            <w:pPr>
              <w:pStyle w:val="BodyText"/>
            </w:pPr>
            <w:r w:rsidRPr="006C20E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rPr>
                <w:rStyle w:val="SpecialBold"/>
              </w:rPr>
              <w:t>Calculate indirect taxes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t>Correct rate of indirect tax on goods and services is identified and applied in accordance with legislative requirements</w:t>
            </w:r>
          </w:p>
        </w:tc>
      </w:tr>
      <w:tr w:rsidTr="00FD7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t>Relevant information such as overseas freight and insurances is obtained as required</w:t>
            </w:r>
          </w:p>
        </w:tc>
      </w:tr>
      <w:tr w:rsidTr="00FD7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t>Data is input into software applicat</w:t>
            </w:r>
            <w:r w:rsidRPr="006C20EA">
              <w:t>ion systems for indirect tax calculation</w:t>
            </w:r>
          </w:p>
        </w:tc>
      </w:tr>
      <w:tr w:rsidTr="00FD7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0EA" w:rsidP="006C20EA">
            <w:pPr>
              <w:pStyle w:val="BodyText"/>
            </w:pPr>
            <w:r w:rsidRPr="006C20EA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rPr>
                <w:rStyle w:val="SpecialBold"/>
              </w:rPr>
              <w:t>Document indirect tax assessments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t>Indirect tax assessment results are recorded on appropriate documentation in accordance with legislative requirements</w:t>
            </w:r>
          </w:p>
        </w:tc>
      </w:tr>
      <w:tr w:rsidTr="00FD7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t>Rates and amounts of indirect taxes payable are checked for accuracy and are verified in accordance with workplace procedures</w:t>
            </w:r>
          </w:p>
        </w:tc>
      </w:tr>
      <w:tr w:rsidTr="00FD7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0EA">
            <w:pPr>
              <w:pStyle w:val="BodyText"/>
              <w:rPr>
                <w:lang w:val="en-NZ"/>
              </w:rPr>
            </w:pPr>
            <w:r w:rsidRPr="006C20EA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0EA" w:rsidP="006C20EA">
            <w:pPr>
              <w:pStyle w:val="BodyText"/>
            </w:pPr>
            <w:r w:rsidRPr="006C20EA">
              <w:t xml:space="preserve">Completed documentation is stored, retained and provided to clients and other relevant personnel as required in accordance </w:t>
            </w:r>
            <w:r w:rsidRPr="006C20EA">
              <w:t>with current Australian Customs Act and relevant legislation and workplace procedures</w:t>
            </w:r>
          </w:p>
        </w:tc>
      </w:tr>
    </w:tbl>
    <w:p w:rsidR="00FD7CF2" w:rsidP="006C20EA">
      <w:pPr>
        <w:pStyle w:val="BodyText"/>
      </w:pPr>
    </w:p>
    <w:p w:rsidR="00FD7CF2" w:rsidP="006C20EA">
      <w:pPr>
        <w:pStyle w:val="BodyText"/>
      </w:pPr>
    </w:p>
    <w:p w:rsidR="00000000" w:rsidRPr="006C20EA" w:rsidP="006C20EA">
      <w:pPr>
        <w:pStyle w:val="Heading1"/>
      </w:pPr>
      <w:bookmarkStart w:id="7" w:name="O_838525"/>
      <w:bookmarkEnd w:id="7"/>
      <w:r w:rsidRPr="006C20EA">
        <w:t>Foundation Skills</w:t>
      </w:r>
    </w:p>
    <w:p w:rsidR="00FD7CF2" w:rsidP="00FD7CF2">
      <w:pPr>
        <w:pStyle w:val="BodyText"/>
      </w:pPr>
      <w:r w:rsidRPr="006C20EA">
        <w:t>Foundation skills essential to performance are explicit in the performance criteria of this unit of competency.</w:t>
      </w:r>
    </w:p>
    <w:p w:rsidR="00000000" w:rsidRPr="006C20EA" w:rsidP="006C20EA">
      <w:pPr>
        <w:pStyle w:val="Heading1"/>
      </w:pPr>
      <w:bookmarkStart w:id="8" w:name="O_838526"/>
      <w:bookmarkEnd w:id="8"/>
      <w:r w:rsidRPr="006C20EA">
        <w:t>Range of Conditions</w:t>
      </w:r>
    </w:p>
    <w:p w:rsidR="00000000" w:rsidRPr="006C20EA" w:rsidP="00FD7CF2">
      <w:pPr>
        <w:pStyle w:val="BodyText"/>
      </w:pPr>
      <w:r w:rsidRPr="006C20EA">
        <w:t>Range is restricted to essential operating conditions and any other variables essential to the work environment.</w:t>
      </w:r>
    </w:p>
    <w:p w:rsidR="00FD7CF2" w:rsidP="00FD7CF2">
      <w:pPr>
        <w:pStyle w:val="BodyText"/>
      </w:pPr>
      <w:r w:rsidRPr="006C20EA">
        <w:t>Non-essential conditions can be found in the Companion Volume Implementation Guide.</w:t>
      </w:r>
    </w:p>
    <w:p w:rsidR="00000000" w:rsidRPr="006C20EA" w:rsidP="006C20EA">
      <w:pPr>
        <w:pStyle w:val="Heading1"/>
      </w:pPr>
      <w:bookmarkStart w:id="9" w:name="O_838527"/>
      <w:bookmarkEnd w:id="9"/>
      <w:r w:rsidRPr="006C20EA">
        <w:t>Unit Mapping Informat</w:t>
      </w:r>
      <w:r w:rsidRPr="006C20EA">
        <w:t>ion</w:t>
      </w:r>
    </w:p>
    <w:p w:rsidR="00FD7CF2" w:rsidP="00FD7CF2">
      <w:pPr>
        <w:pStyle w:val="BodyText"/>
      </w:pPr>
      <w:r w:rsidRPr="006C20EA">
        <w:t>This unit replaces and is equivalent to TLIX5049A Determine indirect taxes.</w:t>
      </w:r>
    </w:p>
    <w:p w:rsidR="00000000" w:rsidRPr="006C20EA" w:rsidP="006C20EA">
      <w:pPr>
        <w:pStyle w:val="Heading1"/>
      </w:pPr>
      <w:bookmarkStart w:id="10" w:name="O_838534"/>
      <w:bookmarkEnd w:id="10"/>
      <w:r w:rsidRPr="006C20EA">
        <w:t>Links</w:t>
      </w:r>
    </w:p>
    <w:p w:rsidR="00000000" w:rsidRPr="006C20EA" w:rsidP="00FD7CF2">
      <w:pPr>
        <w:pStyle w:val="BodyText"/>
      </w:pPr>
      <w:r w:rsidRPr="006C20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40EA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C20EA" w:rsidP="006C20EA"/>
    <w:sectPr w:rsidSect="006C20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0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0EA" w:rsidRPr="00FD7CF2" w:rsidP="00FD7C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0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CF2" w:rsidP="006C20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7CF2" w:rsidP="006C20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D7CF2" w:rsidP="006C20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0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C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0EA" w:rsidRPr="00FD7CF2" w:rsidP="00FD7C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0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CF2" w:rsidRPr="002D2AF8" w:rsidP="006C20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TLIX5049 Determine indirect taxes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April 2022</w:t>
    </w:r>
    <w:r>
      <w:fldChar w:fldCharType="end"/>
    </w:r>
  </w:p>
  <w:p w:rsidR="00FD7CF2" w:rsidP="006C20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0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0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0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0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0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0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0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0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0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0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0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0EA"/>
  </w:style>
  <w:style w:type="character" w:customStyle="1" w:styleId="Heading1Char">
    <w:name w:val="Heading 1 Char"/>
    <w:basedOn w:val="DefaultParagraphFont"/>
    <w:link w:val="Heading1"/>
    <w:rsid w:val="006C20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0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0E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C20EA"/>
    <w:rPr>
      <w:b/>
      <w:spacing w:val="0"/>
    </w:rPr>
  </w:style>
  <w:style w:type="paragraph" w:customStyle="1" w:styleId="SuperHeading">
    <w:name w:val="SuperHeading"/>
    <w:basedOn w:val="Normal"/>
    <w:rsid w:val="006C20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20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20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0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0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0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0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0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0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0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0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0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0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0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0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0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20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20E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20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20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0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0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20E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20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0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0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0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0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0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0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0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0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20EA"/>
    <w:rPr>
      <w:i/>
    </w:rPr>
  </w:style>
  <w:style w:type="paragraph" w:styleId="Caption">
    <w:name w:val="caption"/>
    <w:basedOn w:val="BodyText"/>
    <w:next w:val="Normal"/>
    <w:qFormat/>
    <w:rsid w:val="006C20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0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0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0EA"/>
  </w:style>
  <w:style w:type="paragraph" w:styleId="TableofFigures">
    <w:name w:val="table of figures"/>
    <w:basedOn w:val="Normal"/>
    <w:next w:val="Normal"/>
    <w:semiHidden/>
    <w:rsid w:val="006C20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0E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C20EA"/>
    <w:rPr>
      <w:rFonts w:ascii="Wingdings" w:hAnsi="Wingdings"/>
    </w:rPr>
  </w:style>
  <w:style w:type="paragraph" w:customStyle="1" w:styleId="TableHeading">
    <w:name w:val="Table Heading"/>
    <w:basedOn w:val="HeadingBase"/>
    <w:rsid w:val="006C20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20EA"/>
    <w:rPr>
      <w:color w:val="0033CC"/>
      <w:u w:val="none"/>
    </w:rPr>
  </w:style>
  <w:style w:type="paragraph" w:customStyle="1" w:styleId="BodyTextRight">
    <w:name w:val="Body Text Right"/>
    <w:basedOn w:val="BodyText"/>
    <w:rsid w:val="006C20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0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0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0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0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0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0EA"/>
    <w:rPr>
      <w:sz w:val="32"/>
    </w:rPr>
  </w:style>
  <w:style w:type="paragraph" w:customStyle="1" w:styleId="HeadingProcedure">
    <w:name w:val="Heading Procedure"/>
    <w:basedOn w:val="HeadingBase"/>
    <w:next w:val="Normal"/>
    <w:rsid w:val="006C20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0EA"/>
    <w:pPr>
      <w:spacing w:before="60" w:after="60"/>
    </w:pPr>
  </w:style>
  <w:style w:type="paragraph" w:styleId="ListContinue">
    <w:name w:val="List Continue"/>
    <w:basedOn w:val="List"/>
    <w:rsid w:val="006C20EA"/>
    <w:pPr>
      <w:ind w:firstLine="0"/>
    </w:pPr>
  </w:style>
  <w:style w:type="paragraph" w:customStyle="1" w:styleId="ListNote">
    <w:name w:val="List Note"/>
    <w:basedOn w:val="List"/>
    <w:rsid w:val="006C20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0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0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0EA"/>
    <w:rPr>
      <w:rFonts w:ascii="Courier New" w:hAnsi="Courier New"/>
    </w:rPr>
  </w:style>
  <w:style w:type="paragraph" w:customStyle="1" w:styleId="NoteBullet">
    <w:name w:val="Note Bullet"/>
    <w:basedOn w:val="Note"/>
    <w:rsid w:val="006C20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0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0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0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0E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C20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0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0EA"/>
    <w:rPr>
      <w:b/>
      <w:smallCaps/>
    </w:rPr>
  </w:style>
  <w:style w:type="paragraph" w:customStyle="1" w:styleId="TableListNumber">
    <w:name w:val="Table List Number"/>
    <w:basedOn w:val="ListNumber"/>
    <w:rsid w:val="006C20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0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0EA"/>
    <w:pPr>
      <w:numPr>
        <w:numId w:val="7"/>
      </w:numPr>
    </w:pPr>
  </w:style>
  <w:style w:type="paragraph" w:customStyle="1" w:styleId="ListAlpha2">
    <w:name w:val="List Alpha 2"/>
    <w:basedOn w:val="List2"/>
    <w:rsid w:val="006C20EA"/>
    <w:pPr>
      <w:numPr>
        <w:numId w:val="6"/>
      </w:numPr>
    </w:pPr>
  </w:style>
  <w:style w:type="paragraph" w:styleId="List2">
    <w:name w:val="List 2"/>
    <w:basedOn w:val="BodyText"/>
    <w:rsid w:val="006C20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0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0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0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20E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20E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C20EA"/>
    <w:pPr>
      <w:numPr>
        <w:numId w:val="2"/>
      </w:numPr>
    </w:pPr>
  </w:style>
  <w:style w:type="paragraph" w:styleId="ListContinue2">
    <w:name w:val="List Continue 2"/>
    <w:basedOn w:val="List2"/>
    <w:rsid w:val="006C20EA"/>
    <w:pPr>
      <w:ind w:firstLine="0"/>
    </w:pPr>
  </w:style>
  <w:style w:type="paragraph" w:styleId="ListContinue3">
    <w:name w:val="List Continue 3"/>
    <w:basedOn w:val="List3"/>
    <w:rsid w:val="006C20EA"/>
    <w:pPr>
      <w:ind w:left="1021" w:firstLine="0"/>
    </w:pPr>
  </w:style>
  <w:style w:type="paragraph" w:styleId="ListContinue4">
    <w:name w:val="List Continue 4"/>
    <w:basedOn w:val="List4"/>
    <w:rsid w:val="006C20EA"/>
    <w:pPr>
      <w:ind w:firstLine="0"/>
    </w:pPr>
  </w:style>
  <w:style w:type="paragraph" w:styleId="ListContinue5">
    <w:name w:val="List Continue 5"/>
    <w:basedOn w:val="List5"/>
    <w:rsid w:val="006C20EA"/>
    <w:pPr>
      <w:ind w:firstLine="0"/>
    </w:pPr>
  </w:style>
  <w:style w:type="paragraph" w:styleId="ListNumber3">
    <w:name w:val="List Number 3"/>
    <w:basedOn w:val="List3"/>
    <w:rsid w:val="006C20EA"/>
    <w:pPr>
      <w:numPr>
        <w:numId w:val="3"/>
      </w:numPr>
    </w:pPr>
  </w:style>
  <w:style w:type="paragraph" w:styleId="ListNumber4">
    <w:name w:val="List Number 4"/>
    <w:basedOn w:val="List4"/>
    <w:rsid w:val="006C20EA"/>
    <w:pPr>
      <w:numPr>
        <w:numId w:val="4"/>
      </w:numPr>
    </w:pPr>
  </w:style>
  <w:style w:type="paragraph" w:styleId="ListNumber5">
    <w:name w:val="List Number 5"/>
    <w:basedOn w:val="List5"/>
    <w:rsid w:val="006C20EA"/>
    <w:pPr>
      <w:numPr>
        <w:numId w:val="5"/>
      </w:numPr>
    </w:pPr>
  </w:style>
  <w:style w:type="paragraph" w:styleId="BlockText">
    <w:name w:val="Block Text"/>
    <w:basedOn w:val="Normal"/>
    <w:rsid w:val="006C20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0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0EA"/>
    <w:rPr>
      <w:sz w:val="16"/>
      <w:vertAlign w:val="superscript"/>
    </w:rPr>
  </w:style>
  <w:style w:type="character" w:customStyle="1" w:styleId="Symbols">
    <w:name w:val="Symbols"/>
    <w:basedOn w:val="DefaultParagraphFont"/>
    <w:rsid w:val="006C20EA"/>
    <w:rPr>
      <w:rFonts w:ascii="Symbol" w:hAnsi="Symbol"/>
    </w:rPr>
  </w:style>
  <w:style w:type="character" w:customStyle="1" w:styleId="MenuOptions">
    <w:name w:val="Menu Options"/>
    <w:basedOn w:val="DefaultParagraphFont"/>
    <w:rsid w:val="006C20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0EA"/>
    <w:rPr>
      <w:b/>
    </w:rPr>
  </w:style>
  <w:style w:type="character" w:customStyle="1" w:styleId="Underlined">
    <w:name w:val="Underlined"/>
    <w:basedOn w:val="DefaultParagraphFont"/>
    <w:rsid w:val="006C20EA"/>
    <w:rPr>
      <w:u w:val="single"/>
    </w:rPr>
  </w:style>
  <w:style w:type="paragraph" w:customStyle="1" w:styleId="TableBodyTextRight">
    <w:name w:val="Table Body Text Right"/>
    <w:basedOn w:val="TableBodyText"/>
    <w:rsid w:val="006C20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0EA"/>
    <w:rPr>
      <w:sz w:val="18"/>
    </w:rPr>
  </w:style>
  <w:style w:type="paragraph" w:customStyle="1" w:styleId="BodySmallRight">
    <w:name w:val="Body Small Right"/>
    <w:basedOn w:val="BodyTextRight"/>
    <w:rsid w:val="006C20EA"/>
    <w:rPr>
      <w:sz w:val="18"/>
      <w:szCs w:val="18"/>
    </w:rPr>
  </w:style>
  <w:style w:type="paragraph" w:customStyle="1" w:styleId="MarginEdition">
    <w:name w:val="Margin Edition"/>
    <w:basedOn w:val="MarginNote"/>
    <w:rsid w:val="006C20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0EA"/>
    <w:rPr>
      <w:sz w:val="2"/>
      <w:szCs w:val="2"/>
    </w:rPr>
  </w:style>
  <w:style w:type="character" w:customStyle="1" w:styleId="Small">
    <w:name w:val="Small"/>
    <w:basedOn w:val="DefaultParagraphFont"/>
    <w:rsid w:val="006C20EA"/>
    <w:rPr>
      <w:sz w:val="16"/>
    </w:rPr>
  </w:style>
  <w:style w:type="paragraph" w:customStyle="1" w:styleId="WideTable">
    <w:name w:val="Wide Table"/>
    <w:basedOn w:val="Normal"/>
    <w:rsid w:val="006C20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0EA"/>
  </w:style>
  <w:style w:type="paragraph" w:styleId="Quote">
    <w:name w:val="Quote"/>
    <w:basedOn w:val="Heading1"/>
    <w:link w:val="QuoteChar"/>
    <w:qFormat/>
    <w:rsid w:val="006C20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0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0EA"/>
    <w:pPr>
      <w:pageBreakBefore/>
    </w:pPr>
  </w:style>
  <w:style w:type="paragraph" w:customStyle="1" w:styleId="Border">
    <w:name w:val="Border"/>
    <w:basedOn w:val="Normal"/>
    <w:qFormat/>
    <w:rsid w:val="006C20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0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0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0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0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0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0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0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0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0EA"/>
    <w:rPr>
      <w:u w:val="single"/>
    </w:rPr>
  </w:style>
  <w:style w:type="character" w:customStyle="1" w:styleId="BoldandItalics">
    <w:name w:val="Bold and Italics"/>
    <w:qFormat/>
    <w:rsid w:val="006C20EA"/>
    <w:rPr>
      <w:b/>
      <w:i/>
      <w:u w:val="none"/>
    </w:rPr>
  </w:style>
  <w:style w:type="paragraph" w:styleId="BalloonText">
    <w:name w:val="Balloon Text"/>
    <w:basedOn w:val="Normal"/>
    <w:link w:val="BalloonTextChar"/>
    <w:rsid w:val="006C2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0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0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0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0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0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20EA"/>
    <w:pPr>
      <w:spacing w:before="0" w:after="0"/>
    </w:pPr>
  </w:style>
  <w:style w:type="paragraph" w:customStyle="1" w:styleId="BodyTextBold">
    <w:name w:val="Body Text Bold"/>
    <w:basedOn w:val="BodyText"/>
    <w:qFormat/>
    <w:rsid w:val="006C20EA"/>
    <w:rPr>
      <w:b/>
    </w:rPr>
  </w:style>
  <w:style w:type="character" w:styleId="Hyperlink">
    <w:name w:val="Hyperlink"/>
    <w:basedOn w:val="DefaultParagraphFont"/>
    <w:uiPriority w:val="99"/>
    <w:unhideWhenUsed/>
    <w:rsid w:val="00FD7C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2918</Characters>
  <Application>Microsoft Office Word</Application>
  <DocSecurity>0</DocSecurity>
  <Lines>112</Lines>
  <Paragraphs>68</Paragraphs>
  <ScaleCrop>false</ScaleCrop>
  <Company>Author-it Software Corporation Ltd.</Company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TLIX5049 Determine indirect taxes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2022-04-07T07:26:00Z</dcterms:created>
  <dcterms:modified xsi:type="dcterms:W3CDTF">2022-04-07T07:26:00Z</dcterms:modified>
</cp:coreProperties>
</file>