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415" w:rsidP="004F2415">
      <w:pPr>
        <w:pStyle w:val="Title"/>
      </w:pPr>
      <w:r>
        <w:fldChar w:fldCharType="begin"/>
      </w:r>
      <w:r>
        <w:instrText xml:space="preserve"> TITLE   \* MERGEFORMAT </w:instrText>
      </w:r>
      <w:r>
        <w:fldChar w:fldCharType="separate"/>
      </w:r>
      <w:r>
        <w:t>Assessment Requirements for TLIX5049 Determine indirect taxes</w:t>
      </w:r>
      <w:r>
        <w:fldChar w:fldCharType="end"/>
      </w:r>
    </w:p>
    <w:p w:rsidR="004F2415" w:rsidP="004F2415">
      <w:pPr>
        <w:pStyle w:val="Version"/>
        <w:sectPr w:rsidSect="001E4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4F7" w:rsidP="001E44F7">
      <w:pPr>
        <w:pStyle w:val="SuperHeading"/>
      </w:pPr>
      <w:r w:rsidRPr="001E44F7">
        <w:t>Assessment Requirements for TLIX5049 Determine indirect taxes</w:t>
      </w:r>
    </w:p>
    <w:p w:rsidR="00000000" w:rsidRPr="001E44F7" w:rsidP="001E44F7">
      <w:pPr>
        <w:pStyle w:val="Heading1"/>
      </w:pPr>
      <w:bookmarkStart w:id="1" w:name="O_838529"/>
      <w:bookmarkEnd w:id="1"/>
      <w:r w:rsidRPr="001E44F7">
        <w:t>Modification History</w:t>
      </w:r>
    </w:p>
    <w:p w:rsidR="004F2415" w:rsidP="004F2415">
      <w:pPr>
        <w:pStyle w:val="BodyText"/>
      </w:pPr>
      <w:r w:rsidRPr="001E44F7">
        <w:t>Release 1. This is the first release of this unit of competency in the TLI Transport and Logistics Training Package.</w:t>
      </w:r>
    </w:p>
    <w:p w:rsidR="00000000" w:rsidRPr="001E44F7" w:rsidP="001E44F7">
      <w:pPr>
        <w:pStyle w:val="Heading1"/>
      </w:pPr>
      <w:bookmarkStart w:id="2" w:name="O_838530"/>
      <w:bookmarkEnd w:id="2"/>
      <w:r w:rsidRPr="001E44F7">
        <w:t>Performance Evidence</w:t>
      </w:r>
    </w:p>
    <w:tbl>
      <w:tblPr>
        <w:tblW w:w="0" w:type="auto"/>
        <w:tblCellMar>
          <w:left w:w="62" w:type="dxa"/>
          <w:right w:w="62" w:type="dxa"/>
        </w:tblCellMar>
        <w:tblLook w:val="0000"/>
      </w:tblPr>
      <w:tblGrid>
        <w:gridCol w:w="9196"/>
      </w:tblGrid>
      <w:tr w:rsidTr="004F241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E44F7">
            <w:pPr>
              <w:pStyle w:val="BodyText"/>
              <w:rPr>
                <w:lang w:val="en-NZ"/>
              </w:rPr>
            </w:pPr>
            <w:r w:rsidRPr="001E44F7">
              <w:t>Evidence required to demonstrate competence in this unit must be relevant to and satisfy all of the requirements of the elements and performance criteria on at least one occasion and include:</w:t>
            </w:r>
          </w:p>
        </w:tc>
      </w:tr>
      <w:tr w:rsidTr="004F241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E44F7" w:rsidP="001E44F7">
            <w:pPr>
              <w:pStyle w:val="ListBullet"/>
            </w:pPr>
            <w:r w:rsidRPr="001E44F7">
              <w:t>calculating indirect taxes accurately</w:t>
            </w:r>
          </w:p>
          <w:p w:rsidR="00000000" w:rsidRPr="001E44F7" w:rsidP="001E44F7">
            <w:pPr>
              <w:pStyle w:val="ListBullet"/>
            </w:pPr>
            <w:r w:rsidRPr="001E44F7">
              <w:t>completing documentation</w:t>
            </w:r>
            <w:r w:rsidRPr="001E44F7">
              <w:t xml:space="preserve"> related to work activities accurately</w:t>
            </w:r>
          </w:p>
          <w:p w:rsidR="00000000" w:rsidRPr="001E44F7" w:rsidP="001E44F7">
            <w:pPr>
              <w:pStyle w:val="ListBullet"/>
            </w:pPr>
            <w:r w:rsidRPr="001E44F7">
              <w:t>communicating and liaising effectively with others when applying goods and services tax (GST) and other indirect tax legislation as part of customs broking activities</w:t>
            </w:r>
          </w:p>
          <w:p w:rsidR="00000000" w:rsidRPr="001E44F7" w:rsidP="001E44F7">
            <w:pPr>
              <w:pStyle w:val="ListBullet"/>
            </w:pPr>
            <w:r w:rsidRPr="001E44F7">
              <w:t>determining applicability of GST and determining o</w:t>
            </w:r>
            <w:r w:rsidRPr="001E44F7">
              <w:t>ther indirect taxes</w:t>
            </w:r>
          </w:p>
          <w:p w:rsidR="00000000" w:rsidRPr="001E44F7" w:rsidP="001E44F7">
            <w:pPr>
              <w:pStyle w:val="ListBullet"/>
            </w:pPr>
            <w:r w:rsidRPr="001E44F7">
              <w:t>documenting indirect tax assessments</w:t>
            </w:r>
          </w:p>
          <w:p w:rsidR="00000000" w:rsidRPr="001E44F7" w:rsidP="001E44F7">
            <w:pPr>
              <w:pStyle w:val="ListBullet"/>
            </w:pPr>
            <w:r w:rsidRPr="001E44F7">
              <w:t>identifying and interpreting:</w:t>
            </w:r>
          </w:p>
          <w:p w:rsidR="00000000" w:rsidRPr="001E44F7" w:rsidP="001E44F7">
            <w:pPr>
              <w:pStyle w:val="ListBullet2"/>
            </w:pPr>
            <w:r w:rsidRPr="001E44F7">
              <w:t>luxury car tax (LCT) problems that may occur when applying indirect taxes and appropriate action that can be taken to resolve these identified problems</w:t>
            </w:r>
          </w:p>
          <w:p w:rsidR="00000000" w:rsidRPr="001E44F7" w:rsidP="001E44F7">
            <w:pPr>
              <w:pStyle w:val="ListBullet2"/>
            </w:pPr>
            <w:r w:rsidRPr="001E44F7">
              <w:t>non-taxable importations rules</w:t>
            </w:r>
          </w:p>
          <w:p w:rsidR="00000000" w:rsidRPr="001E44F7" w:rsidP="001E44F7">
            <w:pPr>
              <w:pStyle w:val="ListBullet2"/>
            </w:pPr>
            <w:r w:rsidRPr="001E44F7">
              <w:t>wine equalisation tax (WET) rules</w:t>
            </w:r>
          </w:p>
          <w:p w:rsidR="00000000" w:rsidRPr="001E44F7" w:rsidP="001E44F7">
            <w:pPr>
              <w:pStyle w:val="ListBullet"/>
            </w:pPr>
            <w:r w:rsidRPr="001E44F7">
              <w:t>reading and interpreting:</w:t>
            </w:r>
          </w:p>
          <w:p w:rsidR="00000000" w:rsidRPr="001E44F7" w:rsidP="001E44F7">
            <w:pPr>
              <w:pStyle w:val="ListBullet2"/>
            </w:pPr>
            <w:r w:rsidRPr="001E44F7">
              <w:t>indirect tax schedules</w:t>
            </w:r>
          </w:p>
          <w:p w:rsidR="00000000" w:rsidRPr="001E44F7" w:rsidP="001E44F7">
            <w:pPr>
              <w:pStyle w:val="ListBullet2"/>
            </w:pPr>
            <w:r w:rsidRPr="001E44F7">
              <w:t>instructions, procedures and information relevant to applying indirect tax legislation, as they relate to customs broking activities.</w:t>
            </w:r>
          </w:p>
        </w:tc>
      </w:tr>
    </w:tbl>
    <w:p w:rsidR="004F2415" w:rsidP="001E44F7">
      <w:pPr>
        <w:pStyle w:val="BodyText"/>
      </w:pPr>
    </w:p>
    <w:p w:rsidR="004F2415" w:rsidP="001E44F7">
      <w:pPr>
        <w:pStyle w:val="BodyText"/>
      </w:pPr>
    </w:p>
    <w:p w:rsidR="00000000" w:rsidRPr="001E44F7" w:rsidP="001E44F7">
      <w:pPr>
        <w:pStyle w:val="Heading1"/>
      </w:pPr>
      <w:bookmarkStart w:id="3" w:name="O_838531"/>
      <w:bookmarkEnd w:id="3"/>
      <w:r w:rsidRPr="001E44F7">
        <w:t>Knowledge Evidence</w:t>
      </w:r>
    </w:p>
    <w:tbl>
      <w:tblPr>
        <w:tblW w:w="0" w:type="auto"/>
        <w:tblCellMar>
          <w:left w:w="62" w:type="dxa"/>
          <w:right w:w="62" w:type="dxa"/>
        </w:tblCellMar>
        <w:tblLook w:val="0000"/>
      </w:tblPr>
      <w:tblGrid>
        <w:gridCol w:w="9196"/>
      </w:tblGrid>
      <w:tr w:rsidTr="004F241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E44F7">
            <w:pPr>
              <w:pStyle w:val="BodyText"/>
              <w:rPr>
                <w:lang w:val="en-NZ"/>
              </w:rPr>
            </w:pPr>
            <w:r w:rsidRPr="001E44F7">
              <w:t>Evidence required to demonstrate competence in this unit must be relevant to and satisfy all of the requirements of the elements and performance criteria and include knowledge of:</w:t>
            </w:r>
          </w:p>
        </w:tc>
      </w:tr>
      <w:tr w:rsidTr="004F241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E44F7" w:rsidP="001E44F7">
            <w:pPr>
              <w:pStyle w:val="ListBullet"/>
            </w:pPr>
            <w:r w:rsidRPr="001E44F7">
              <w:t>applicable legislation and regulations:</w:t>
            </w:r>
          </w:p>
          <w:p w:rsidR="00000000" w:rsidRPr="001E44F7" w:rsidP="001E44F7">
            <w:pPr>
              <w:pStyle w:val="ListBullet2"/>
            </w:pPr>
            <w:r w:rsidRPr="001E44F7">
              <w:t>A New Tax System (Goods and Services Tax) Act 1999, customs and other indirect tax legislation as they relate to implementing indirect tax legislation as part of customs broking activities</w:t>
            </w:r>
          </w:p>
          <w:p w:rsidR="00000000" w:rsidRPr="001E44F7" w:rsidP="001E44F7">
            <w:pPr>
              <w:pStyle w:val="ListBullet2"/>
            </w:pPr>
            <w:r w:rsidRPr="001E44F7">
              <w:t>current Australian Customs Act and related legislation</w:t>
            </w:r>
          </w:p>
          <w:p w:rsidR="00000000" w:rsidRPr="001E44F7" w:rsidP="001E44F7">
            <w:pPr>
              <w:pStyle w:val="ListBullet2"/>
            </w:pPr>
            <w:r w:rsidRPr="001E44F7">
              <w:t>export/import/quarantine/bond requirements</w:t>
            </w:r>
          </w:p>
          <w:p w:rsidR="00000000" w:rsidRPr="001E44F7" w:rsidP="001E44F7">
            <w:pPr>
              <w:pStyle w:val="ListBullet2"/>
            </w:pPr>
            <w:r w:rsidRPr="001E44F7">
              <w:t>other indirect taxation legislation</w:t>
            </w:r>
          </w:p>
          <w:p w:rsidR="00000000" w:rsidRPr="001E44F7" w:rsidP="001E44F7">
            <w:pPr>
              <w:pStyle w:val="ListBullet"/>
            </w:pPr>
            <w:r w:rsidRPr="001E44F7">
              <w:t>basic operation of the GST system</w:t>
            </w:r>
          </w:p>
          <w:p w:rsidR="00000000" w:rsidRPr="001E44F7" w:rsidP="001E44F7">
            <w:pPr>
              <w:pStyle w:val="ListBullet"/>
            </w:pPr>
            <w:r w:rsidRPr="001E44F7">
              <w:t>calculations of GST on taxable importations</w:t>
            </w:r>
          </w:p>
          <w:p w:rsidR="00000000" w:rsidRPr="001E44F7" w:rsidP="001E44F7">
            <w:pPr>
              <w:pStyle w:val="ListBullet"/>
            </w:pPr>
            <w:r w:rsidRPr="001E44F7">
              <w:t>delivered duty paid (DDP) transactions and impact on GST</w:t>
            </w:r>
          </w:p>
          <w:p w:rsidR="00000000" w:rsidRPr="001E44F7" w:rsidP="001E44F7">
            <w:pPr>
              <w:pStyle w:val="ListBullet"/>
            </w:pPr>
            <w:r w:rsidRPr="001E44F7">
              <w:t>documentation and/or software system requ</w:t>
            </w:r>
            <w:r w:rsidRPr="001E44F7">
              <w:t>irements for applying GST and other indirect tax legislation as they relate to customs broking activities</w:t>
            </w:r>
          </w:p>
          <w:p w:rsidR="00000000" w:rsidRPr="001E44F7" w:rsidP="001E44F7">
            <w:pPr>
              <w:pStyle w:val="ListBullet"/>
            </w:pPr>
            <w:r w:rsidRPr="001E44F7">
              <w:t>key features of GST legislation</w:t>
            </w:r>
          </w:p>
          <w:p w:rsidR="00000000" w:rsidRPr="001E44F7" w:rsidP="001E44F7">
            <w:pPr>
              <w:pStyle w:val="ListBullet"/>
            </w:pPr>
            <w:r w:rsidRPr="001E44F7">
              <w:t>GST:</w:t>
            </w:r>
          </w:p>
          <w:p w:rsidR="00000000" w:rsidRPr="001E44F7" w:rsidP="001E44F7">
            <w:pPr>
              <w:pStyle w:val="ListBullet2"/>
            </w:pPr>
            <w:r w:rsidRPr="001E44F7">
              <w:t>accounting requirements</w:t>
            </w:r>
          </w:p>
          <w:p w:rsidR="00000000" w:rsidRPr="001E44F7" w:rsidP="001E44F7">
            <w:pPr>
              <w:pStyle w:val="ListBullet2"/>
            </w:pPr>
            <w:r w:rsidRPr="001E44F7">
              <w:t>collection and remittance</w:t>
            </w:r>
          </w:p>
          <w:p w:rsidR="00000000" w:rsidRPr="001E44F7" w:rsidP="001E44F7">
            <w:pPr>
              <w:pStyle w:val="ListBullet2"/>
            </w:pPr>
            <w:r w:rsidRPr="001E44F7">
              <w:t>input-taxed supplies</w:t>
            </w:r>
          </w:p>
          <w:p w:rsidR="00000000" w:rsidRPr="001E44F7" w:rsidP="001E44F7">
            <w:pPr>
              <w:pStyle w:val="ListBullet2"/>
            </w:pPr>
            <w:r w:rsidRPr="001E44F7">
              <w:t>registration process</w:t>
            </w:r>
          </w:p>
          <w:p w:rsidR="00000000" w:rsidRPr="001E44F7" w:rsidP="001E44F7">
            <w:pPr>
              <w:pStyle w:val="ListBullet2"/>
            </w:pPr>
            <w:r w:rsidRPr="001E44F7">
              <w:t>system overview</w:t>
            </w:r>
          </w:p>
          <w:p w:rsidR="00000000" w:rsidRPr="001E44F7" w:rsidP="001E44F7">
            <w:pPr>
              <w:pStyle w:val="ListBullet"/>
            </w:pPr>
            <w:r w:rsidRPr="001E44F7">
              <w:t>GST</w:t>
            </w:r>
            <w:r w:rsidRPr="001E44F7">
              <w:t>-free goods and supplies</w:t>
            </w:r>
          </w:p>
          <w:p w:rsidR="00000000" w:rsidRPr="001E44F7" w:rsidP="001E44F7">
            <w:pPr>
              <w:pStyle w:val="ListBullet"/>
            </w:pPr>
            <w:r w:rsidRPr="001E44F7">
              <w:t>impact of GST on:</w:t>
            </w:r>
          </w:p>
          <w:p w:rsidR="00000000" w:rsidRPr="001E44F7" w:rsidP="001E44F7">
            <w:pPr>
              <w:pStyle w:val="ListBullet2"/>
            </w:pPr>
            <w:r w:rsidRPr="001E44F7">
              <w:t>customs functions</w:t>
            </w:r>
          </w:p>
          <w:p w:rsidR="00000000" w:rsidRPr="001E44F7" w:rsidP="001E44F7">
            <w:pPr>
              <w:pStyle w:val="ListBullet2"/>
            </w:pPr>
            <w:r w:rsidRPr="001E44F7">
              <w:t>importers and exporters</w:t>
            </w:r>
          </w:p>
          <w:p w:rsidR="00000000" w:rsidRPr="001E44F7" w:rsidP="001E44F7">
            <w:pPr>
              <w:pStyle w:val="ListBullet"/>
            </w:pPr>
            <w:r w:rsidRPr="001E44F7">
              <w:t>non-taxable importation</w:t>
            </w:r>
          </w:p>
          <w:p w:rsidR="00000000" w:rsidRPr="001E44F7" w:rsidP="001E44F7">
            <w:pPr>
              <w:pStyle w:val="ListBullet"/>
            </w:pPr>
            <w:r w:rsidRPr="001E44F7">
              <w:t>roles and responsibilities of relevant Australian Government departments such as customs and taxation, as they relate to GST</w:t>
            </w:r>
          </w:p>
          <w:p w:rsidR="00000000" w:rsidRPr="001E44F7" w:rsidP="001E44F7">
            <w:pPr>
              <w:pStyle w:val="ListBullet"/>
            </w:pPr>
            <w:r w:rsidRPr="001E44F7">
              <w:t>scope and operation of GST deferral scheme</w:t>
            </w:r>
          </w:p>
          <w:p w:rsidR="00000000" w:rsidRPr="001E44F7" w:rsidP="001E44F7">
            <w:pPr>
              <w:pStyle w:val="ListBullet"/>
            </w:pPr>
            <w:r w:rsidRPr="001E44F7">
              <w:t>sources of information to identify GST-free goods and exemption codes</w:t>
            </w:r>
          </w:p>
          <w:p w:rsidR="00000000" w:rsidRPr="001E44F7" w:rsidP="001E44F7">
            <w:pPr>
              <w:pStyle w:val="ListBullet"/>
            </w:pPr>
            <w:r w:rsidRPr="001E44F7">
              <w:t>sources of information on new developments in GST legislation as they relate to customs broking activities</w:t>
            </w:r>
          </w:p>
          <w:p w:rsidR="00000000" w:rsidRPr="001E44F7" w:rsidP="001E44F7">
            <w:pPr>
              <w:pStyle w:val="ListBullet"/>
            </w:pPr>
            <w:r w:rsidRPr="001E44F7">
              <w:t>special rules for GST requirements</w:t>
            </w:r>
          </w:p>
          <w:p w:rsidR="00000000" w:rsidRPr="001E44F7" w:rsidP="001E44F7">
            <w:pPr>
              <w:pStyle w:val="ListBullet"/>
            </w:pPr>
            <w:r w:rsidRPr="001E44F7">
              <w:t>t</w:t>
            </w:r>
            <w:r w:rsidRPr="001E44F7">
              <w:t>ransport and insurance costs attracting GST.</w:t>
            </w:r>
          </w:p>
        </w:tc>
      </w:tr>
    </w:tbl>
    <w:p w:rsidR="004F2415" w:rsidP="001E44F7">
      <w:pPr>
        <w:pStyle w:val="BodyText"/>
      </w:pPr>
    </w:p>
    <w:p w:rsidR="004F2415" w:rsidP="001E44F7">
      <w:pPr>
        <w:pStyle w:val="BodyText"/>
      </w:pPr>
    </w:p>
    <w:p w:rsidR="00000000" w:rsidRPr="001E44F7" w:rsidP="001E44F7">
      <w:pPr>
        <w:pStyle w:val="Heading1"/>
      </w:pPr>
      <w:bookmarkStart w:id="4" w:name="O_838532"/>
      <w:bookmarkEnd w:id="4"/>
      <w:r w:rsidRPr="001E44F7">
        <w:t>Assessment Conditions</w:t>
      </w:r>
    </w:p>
    <w:tbl>
      <w:tblPr>
        <w:tblW w:w="0" w:type="auto"/>
        <w:tblCellMar>
          <w:left w:w="62" w:type="dxa"/>
          <w:right w:w="62" w:type="dxa"/>
        </w:tblCellMar>
        <w:tblLook w:val="0000"/>
      </w:tblPr>
      <w:tblGrid>
        <w:gridCol w:w="9196"/>
      </w:tblGrid>
      <w:tr w:rsidTr="004F24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44F7" w:rsidP="001E44F7">
            <w:pPr>
              <w:pStyle w:val="BodyText"/>
            </w:pPr>
            <w:r w:rsidRPr="001E44F7">
              <w:t xml:space="preserve">As a minimum, assessors must satisfy applicable regulatory requirements, which include requirements in the </w:t>
            </w:r>
            <w:r w:rsidRPr="001E44F7">
              <w:rPr>
                <w:rStyle w:val="Emphasis"/>
              </w:rPr>
              <w:t>Standards for Registered Training Organisations</w:t>
            </w:r>
            <w:r w:rsidRPr="001E44F7">
              <w:t xml:space="preserve"> current at the time of assessment. </w:t>
            </w:r>
          </w:p>
          <w:p w:rsidR="00000000" w:rsidRPr="001E44F7" w:rsidP="001E44F7">
            <w:pPr>
              <w:pStyle w:val="BodyText"/>
            </w:pPr>
            <w:r w:rsidRPr="001E44F7">
              <w:t xml:space="preserve">As a minimum, assessment must satisfy applicable regulatory requirements, which include requirements in the </w:t>
            </w:r>
            <w:r w:rsidRPr="001E44F7">
              <w:rPr>
                <w:rStyle w:val="Emphasis"/>
              </w:rPr>
              <w:t>Standards for Registered Training Organisations</w:t>
            </w:r>
            <w:r w:rsidRPr="001E44F7">
              <w:t xml:space="preserve"> current at the time of assessment.</w:t>
            </w:r>
          </w:p>
          <w:p w:rsidR="00000000" w:rsidRPr="001E44F7" w:rsidP="001E44F7">
            <w:pPr>
              <w:pStyle w:val="BodyText"/>
            </w:pPr>
            <w:r w:rsidRPr="001E44F7">
              <w:t>Assessment must occur in wor</w:t>
            </w:r>
            <w:r w:rsidRPr="001E44F7">
              <w:t xml:space="preserve">kplace operational situations where it is appropriate to do so. Where this is not </w:t>
            </w:r>
            <w:r w:rsidRPr="001E44F7">
              <w:t xml:space="preserve">appropriate, assessment must occur in simulated workplace operational situations that replicate workplace conditions. </w:t>
            </w:r>
          </w:p>
          <w:p w:rsidR="00000000" w:rsidRPr="001E44F7" w:rsidP="001E44F7">
            <w:pPr>
              <w:pStyle w:val="BodyText"/>
            </w:pPr>
            <w:r w:rsidRPr="001E44F7">
              <w:t>Assessment processes and techniques must be appropriate</w:t>
            </w:r>
            <w:r w:rsidRPr="001E44F7">
              <w:t xml:space="preserve"> to the language, literacy and numeracy requirements of the work being performed and the needs of the candidate.</w:t>
            </w:r>
          </w:p>
          <w:p w:rsidR="00000000" w:rsidRPr="001E44F7" w:rsidP="001E44F7">
            <w:pPr>
              <w:pStyle w:val="BodyText"/>
            </w:pPr>
            <w:r w:rsidRPr="001E44F7">
              <w:t>Resources for assessment include:</w:t>
            </w:r>
          </w:p>
          <w:p w:rsidR="00000000" w:rsidRPr="001E44F7" w:rsidP="001E44F7">
            <w:pPr>
              <w:pStyle w:val="ListBullet"/>
            </w:pPr>
            <w:r w:rsidRPr="001E44F7">
              <w:t>a range of relevant exercises, case studies and/or simulations</w:t>
            </w:r>
          </w:p>
          <w:p w:rsidR="00000000" w:rsidRPr="001E44F7" w:rsidP="001E44F7">
            <w:pPr>
              <w:pStyle w:val="ListBullet"/>
            </w:pPr>
            <w:r w:rsidRPr="001E44F7">
              <w:t xml:space="preserve">applicable documentation including workplace </w:t>
            </w:r>
            <w:r w:rsidRPr="001E44F7">
              <w:t xml:space="preserve">procedures, regulations, codes of practice and operation manuals </w:t>
            </w:r>
          </w:p>
          <w:p w:rsidR="00000000" w:rsidRPr="001E44F7" w:rsidP="001E44F7">
            <w:pPr>
              <w:pStyle w:val="ListBullet"/>
            </w:pPr>
            <w:r w:rsidRPr="001E44F7">
              <w:t>relevant materials, tools, equipment and personal protective equipment currently used in industry.</w:t>
            </w:r>
          </w:p>
        </w:tc>
      </w:tr>
    </w:tbl>
    <w:p w:rsidR="004F2415" w:rsidP="001E44F7">
      <w:pPr>
        <w:pStyle w:val="BodyText"/>
      </w:pPr>
    </w:p>
    <w:p w:rsidR="004F2415" w:rsidP="001E44F7">
      <w:pPr>
        <w:pStyle w:val="BodyText"/>
      </w:pPr>
    </w:p>
    <w:p w:rsidR="00000000" w:rsidRPr="001E44F7" w:rsidP="001E44F7">
      <w:pPr>
        <w:pStyle w:val="Heading1"/>
      </w:pPr>
      <w:bookmarkStart w:id="5" w:name="O_838535"/>
      <w:bookmarkEnd w:id="5"/>
      <w:r w:rsidRPr="001E44F7">
        <w:t>Links</w:t>
      </w:r>
    </w:p>
    <w:p w:rsidR="00000000" w:rsidRPr="001E44F7" w:rsidP="004F2415">
      <w:pPr>
        <w:pStyle w:val="BodyText"/>
      </w:pPr>
      <w:r w:rsidRPr="001E44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87C78">
        <w:rPr>
          <w:rStyle w:val="Hyperlink"/>
        </w:rPr>
        <w:t>https://vetnet.gov.au/Pages/TrainingDocs.aspx?q=df441c6e-213d-43e3-874c-0b3f7036d851</w:t>
      </w:r>
      <w:r>
        <w:fldChar w:fldCharType="end"/>
      </w:r>
    </w:p>
    <w:p w:rsidR="00000000" w:rsidRPr="001E44F7" w:rsidP="001E44F7"/>
    <w:sectPr w:rsidSect="001E4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F7" w:rsidRPr="004F2415" w:rsidP="004F2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15" w:rsidP="001E4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415" w:rsidP="001E44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2415" w:rsidP="001E4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4F7" w:rsidRPr="004F2415" w:rsidP="004F24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15" w:rsidRPr="002D2AF8" w:rsidP="001E44F7">
    <w:pPr>
      <w:pStyle w:val="Header"/>
      <w:framePr w:wrap="around"/>
    </w:pPr>
    <w:r>
      <w:fldChar w:fldCharType="begin"/>
    </w:r>
    <w:r>
      <w:instrText xml:space="preserve"> TITLE   \* MERGEFORMAT </w:instrText>
    </w:r>
    <w:r>
      <w:fldChar w:fldCharType="separate"/>
    </w:r>
    <w:r>
      <w:t>Assessment Requirements for TLIX5049 Determine indirect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4F2415" w:rsidP="001E4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47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87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4C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4F7"/>
    <w:pPr>
      <w:spacing w:before="360" w:after="60"/>
      <w:outlineLvl w:val="0"/>
    </w:pPr>
    <w:rPr>
      <w:sz w:val="32"/>
    </w:rPr>
  </w:style>
  <w:style w:type="paragraph" w:styleId="Heading2">
    <w:name w:val="heading 2"/>
    <w:basedOn w:val="HeadingBase"/>
    <w:next w:val="BodyText"/>
    <w:link w:val="Heading2Char"/>
    <w:qFormat/>
    <w:rsid w:val="001E44F7"/>
    <w:pPr>
      <w:keepLines/>
      <w:spacing w:before="240" w:after="120"/>
      <w:outlineLvl w:val="1"/>
    </w:pPr>
    <w:rPr>
      <w:sz w:val="28"/>
      <w:szCs w:val="40"/>
    </w:rPr>
  </w:style>
  <w:style w:type="paragraph" w:styleId="Heading3">
    <w:name w:val="heading 3"/>
    <w:basedOn w:val="HeadingBase"/>
    <w:next w:val="BodyText"/>
    <w:link w:val="Heading3Char"/>
    <w:qFormat/>
    <w:rsid w:val="001E44F7"/>
    <w:pPr>
      <w:spacing w:before="180" w:after="120"/>
      <w:outlineLvl w:val="2"/>
    </w:pPr>
    <w:rPr>
      <w:spacing w:val="-10"/>
      <w:kern w:val="32"/>
    </w:rPr>
  </w:style>
  <w:style w:type="paragraph" w:styleId="Heading4">
    <w:name w:val="heading 4"/>
    <w:basedOn w:val="HeadingBase"/>
    <w:next w:val="BodyText"/>
    <w:link w:val="Heading4Char"/>
    <w:qFormat/>
    <w:rsid w:val="001E44F7"/>
    <w:pPr>
      <w:spacing w:before="160" w:after="120"/>
      <w:outlineLvl w:val="3"/>
    </w:pPr>
    <w:rPr>
      <w:sz w:val="22"/>
    </w:rPr>
  </w:style>
  <w:style w:type="paragraph" w:styleId="Heading5">
    <w:name w:val="heading 5"/>
    <w:basedOn w:val="HeadingBase"/>
    <w:next w:val="Normal"/>
    <w:link w:val="Heading5Char"/>
    <w:qFormat/>
    <w:rsid w:val="001E44F7"/>
    <w:pPr>
      <w:spacing w:before="80"/>
      <w:outlineLvl w:val="4"/>
    </w:pPr>
    <w:rPr>
      <w:color w:val="918585"/>
      <w:sz w:val="20"/>
    </w:rPr>
  </w:style>
  <w:style w:type="paragraph" w:styleId="Heading6">
    <w:name w:val="heading 6"/>
    <w:basedOn w:val="HeadingBase"/>
    <w:next w:val="Normal"/>
    <w:link w:val="Heading6Char"/>
    <w:qFormat/>
    <w:rsid w:val="001E44F7"/>
    <w:pPr>
      <w:spacing w:before="60"/>
      <w:outlineLvl w:val="5"/>
    </w:pPr>
    <w:rPr>
      <w:color w:val="918585"/>
      <w:sz w:val="20"/>
    </w:rPr>
  </w:style>
  <w:style w:type="paragraph" w:styleId="Heading7">
    <w:name w:val="heading 7"/>
    <w:basedOn w:val="Normal"/>
    <w:next w:val="Normal"/>
    <w:link w:val="Heading7Char"/>
    <w:qFormat/>
    <w:rsid w:val="001E44F7"/>
    <w:pPr>
      <w:ind w:left="720"/>
      <w:outlineLvl w:val="6"/>
    </w:pPr>
    <w:rPr>
      <w:i/>
    </w:rPr>
  </w:style>
  <w:style w:type="paragraph" w:styleId="Heading8">
    <w:name w:val="heading 8"/>
    <w:basedOn w:val="Normal"/>
    <w:next w:val="Normal"/>
    <w:link w:val="Heading8Char"/>
    <w:qFormat/>
    <w:rsid w:val="001E44F7"/>
    <w:pPr>
      <w:ind w:left="720"/>
      <w:outlineLvl w:val="7"/>
    </w:pPr>
    <w:rPr>
      <w:i/>
    </w:rPr>
  </w:style>
  <w:style w:type="paragraph" w:styleId="Heading9">
    <w:name w:val="heading 9"/>
    <w:basedOn w:val="Normal"/>
    <w:next w:val="Normal"/>
    <w:link w:val="Heading9Char"/>
    <w:qFormat/>
    <w:rsid w:val="001E44F7"/>
    <w:pPr>
      <w:ind w:left="720"/>
      <w:outlineLvl w:val="8"/>
    </w:pPr>
    <w:rPr>
      <w:i/>
    </w:rPr>
  </w:style>
  <w:style w:type="character" w:default="1" w:styleId="DefaultParagraphFont">
    <w:name w:val="Default Paragraph Font"/>
    <w:uiPriority w:val="1"/>
    <w:unhideWhenUsed/>
    <w:rsid w:val="001E4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4F7"/>
  </w:style>
  <w:style w:type="character" w:customStyle="1" w:styleId="Heading1Char">
    <w:name w:val="Heading 1 Char"/>
    <w:basedOn w:val="DefaultParagraphFont"/>
    <w:link w:val="Heading1"/>
    <w:rsid w:val="001E44F7"/>
    <w:rPr>
      <w:rFonts w:ascii="Times New Roman" w:eastAsia="Times New Roman" w:hAnsi="Times New Roman" w:cs="Times New Roman"/>
      <w:b/>
      <w:sz w:val="32"/>
      <w:szCs w:val="20"/>
      <w:lang w:eastAsia="en-US"/>
    </w:rPr>
  </w:style>
  <w:style w:type="paragraph" w:styleId="BodyText">
    <w:name w:val="Body Text"/>
    <w:basedOn w:val="Normal"/>
    <w:link w:val="BodyTextChar"/>
    <w:rsid w:val="001E4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4F7"/>
    <w:rPr>
      <w:rFonts w:ascii="Times New Roman" w:eastAsia="Times New Roman" w:hAnsi="Times New Roman" w:cs="Times New Roman"/>
      <w:sz w:val="24"/>
      <w:lang w:eastAsia="en-US"/>
    </w:rPr>
  </w:style>
  <w:style w:type="paragraph" w:styleId="ListBullet">
    <w:name w:val="List Bullet"/>
    <w:basedOn w:val="List"/>
    <w:rsid w:val="001E44F7"/>
    <w:pPr>
      <w:numPr>
        <w:numId w:val="12"/>
      </w:numPr>
      <w:tabs>
        <w:tab w:val="clear" w:pos="340"/>
      </w:tabs>
      <w:spacing w:before="40" w:after="40"/>
    </w:pPr>
  </w:style>
  <w:style w:type="paragraph" w:styleId="ListBullet2">
    <w:name w:val="List Bullet 2"/>
    <w:basedOn w:val="List2"/>
    <w:rsid w:val="001E44F7"/>
    <w:pPr>
      <w:numPr>
        <w:numId w:val="13"/>
      </w:numPr>
      <w:tabs>
        <w:tab w:val="clear" w:pos="680"/>
      </w:tabs>
    </w:pPr>
  </w:style>
  <w:style w:type="character" w:styleId="Emphasis">
    <w:name w:val="Emphasis"/>
    <w:basedOn w:val="DefaultParagraphFont"/>
    <w:qFormat/>
    <w:rsid w:val="001E44F7"/>
    <w:rPr>
      <w:i/>
    </w:rPr>
  </w:style>
  <w:style w:type="paragraph" w:customStyle="1" w:styleId="SuperHeading">
    <w:name w:val="SuperHeading"/>
    <w:basedOn w:val="Normal"/>
    <w:rsid w:val="001E44F7"/>
    <w:pPr>
      <w:spacing w:before="240" w:after="120"/>
      <w:outlineLvl w:val="0"/>
    </w:pPr>
    <w:rPr>
      <w:rFonts w:ascii="Times New Roman" w:hAnsi="Times New Roman"/>
      <w:b/>
      <w:sz w:val="32"/>
    </w:rPr>
  </w:style>
  <w:style w:type="paragraph" w:customStyle="1" w:styleId="AllowPageBreak">
    <w:name w:val="AllowPageBreak"/>
    <w:rsid w:val="001E4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4F7"/>
    <w:rPr>
      <w:rFonts w:ascii="Courier New" w:eastAsia="Times New Roman" w:hAnsi="Courier New" w:cs="Times New Roman"/>
      <w:i/>
      <w:szCs w:val="20"/>
      <w:lang w:eastAsia="en-US"/>
    </w:rPr>
  </w:style>
  <w:style w:type="paragraph" w:customStyle="1" w:styleId="HeadingBase">
    <w:name w:val="Heading Base"/>
    <w:rsid w:val="001E4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4F7"/>
    <w:pPr>
      <w:tabs>
        <w:tab w:val="right" w:leader="dot" w:pos="9072"/>
      </w:tabs>
      <w:ind w:left="567"/>
    </w:pPr>
    <w:rPr>
      <w:szCs w:val="22"/>
    </w:rPr>
  </w:style>
  <w:style w:type="paragraph" w:customStyle="1" w:styleId="TOCBase">
    <w:name w:val="TOC Base"/>
    <w:rsid w:val="001E4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4F7"/>
    <w:pPr>
      <w:tabs>
        <w:tab w:val="right" w:leader="dot" w:pos="9072"/>
      </w:tabs>
      <w:spacing w:before="40" w:after="40"/>
      <w:ind w:left="284"/>
    </w:pPr>
    <w:rPr>
      <w:rFonts w:ascii="Times New Roman" w:hAnsi="Times New Roman"/>
    </w:rPr>
  </w:style>
  <w:style w:type="paragraph" w:styleId="TOC1">
    <w:name w:val="toc 1"/>
    <w:basedOn w:val="TOCBase"/>
    <w:next w:val="Normal"/>
    <w:rsid w:val="001E4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4F7"/>
    <w:rPr>
      <w:rFonts w:ascii="Times New Roman" w:eastAsia="Times New Roman" w:hAnsi="Times New Roman" w:cs="Times New Roman"/>
      <w:sz w:val="16"/>
      <w:lang w:eastAsia="en-US"/>
    </w:rPr>
  </w:style>
  <w:style w:type="paragraph" w:styleId="Title">
    <w:name w:val="Title"/>
    <w:basedOn w:val="HeadingBase"/>
    <w:link w:val="TitleChar"/>
    <w:qFormat/>
    <w:rsid w:val="001E44F7"/>
    <w:pPr>
      <w:spacing w:before="5040"/>
      <w:jc w:val="center"/>
    </w:pPr>
    <w:rPr>
      <w:sz w:val="48"/>
      <w:szCs w:val="72"/>
      <w:lang w:val="en-US"/>
    </w:rPr>
  </w:style>
  <w:style w:type="character" w:customStyle="1" w:styleId="TitleChar">
    <w:name w:val="Title Char"/>
    <w:basedOn w:val="DefaultParagraphFont"/>
    <w:link w:val="Title"/>
    <w:rsid w:val="001E4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4F7"/>
    <w:pPr>
      <w:tabs>
        <w:tab w:val="left" w:pos="3600"/>
        <w:tab w:val="left" w:pos="3958"/>
      </w:tabs>
    </w:pPr>
  </w:style>
  <w:style w:type="paragraph" w:styleId="List">
    <w:name w:val="List"/>
    <w:basedOn w:val="BodyText"/>
    <w:next w:val="BodyText"/>
    <w:rsid w:val="001E44F7"/>
    <w:pPr>
      <w:tabs>
        <w:tab w:val="left" w:pos="340"/>
      </w:tabs>
      <w:spacing w:before="60" w:after="60"/>
      <w:ind w:left="340" w:hanging="340"/>
    </w:pPr>
  </w:style>
  <w:style w:type="paragraph" w:customStyle="1" w:styleId="Note">
    <w:name w:val="Note"/>
    <w:basedOn w:val="BodyText"/>
    <w:rsid w:val="001E44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44F7"/>
    <w:rPr>
      <w:b/>
      <w:spacing w:val="0"/>
    </w:rPr>
  </w:style>
  <w:style w:type="paragraph" w:customStyle="1" w:styleId="SuperTitle">
    <w:name w:val="SuperTitle"/>
    <w:basedOn w:val="Title"/>
    <w:rsid w:val="001E44F7"/>
    <w:pPr>
      <w:framePr w:wrap="auto" w:hAnchor="text" w:y="6049"/>
    </w:pPr>
    <w:rPr>
      <w:color w:val="000000"/>
      <w:sz w:val="40"/>
    </w:rPr>
  </w:style>
  <w:style w:type="paragraph" w:customStyle="1" w:styleId="TOCTitle">
    <w:name w:val="TOCTitle"/>
    <w:basedOn w:val="Heading1"/>
    <w:rsid w:val="001E44F7"/>
    <w:pPr>
      <w:spacing w:after="240"/>
      <w:jc w:val="center"/>
      <w:outlineLvl w:val="9"/>
    </w:pPr>
    <w:rPr>
      <w:caps/>
    </w:rPr>
  </w:style>
  <w:style w:type="paragraph" w:customStyle="1" w:styleId="Version">
    <w:name w:val="Version"/>
    <w:rsid w:val="001E4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4F7"/>
    <w:pPr>
      <w:keepNext w:val="0"/>
      <w:tabs>
        <w:tab w:val="right" w:pos="4176"/>
      </w:tabs>
      <w:ind w:left="198" w:hanging="198"/>
    </w:pPr>
    <w:rPr>
      <w:rFonts w:ascii="Garamond" w:hAnsi="Garamond"/>
    </w:rPr>
  </w:style>
  <w:style w:type="paragraph" w:styleId="IndexHeading">
    <w:name w:val="index heading"/>
    <w:basedOn w:val="Normal"/>
    <w:next w:val="Index1"/>
    <w:semiHidden/>
    <w:rsid w:val="001E44F7"/>
    <w:pPr>
      <w:spacing w:before="120" w:after="120"/>
    </w:pPr>
    <w:rPr>
      <w:rFonts w:ascii="Arial" w:hAnsi="Arial"/>
      <w:b/>
      <w:color w:val="918585"/>
      <w:sz w:val="24"/>
    </w:rPr>
  </w:style>
  <w:style w:type="paragraph" w:styleId="Header">
    <w:name w:val="header"/>
    <w:basedOn w:val="Normal"/>
    <w:link w:val="HeaderChar"/>
    <w:rsid w:val="001E4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4F7"/>
    <w:rPr>
      <w:rFonts w:ascii="Times New Roman" w:eastAsia="Times New Roman" w:hAnsi="Times New Roman" w:cs="Times New Roman"/>
      <w:sz w:val="16"/>
      <w:szCs w:val="20"/>
      <w:lang w:val="en-GB" w:eastAsia="en-US"/>
    </w:rPr>
  </w:style>
  <w:style w:type="paragraph" w:customStyle="1" w:styleId="Chapter">
    <w:name w:val="Chapter"/>
    <w:basedOn w:val="Normal"/>
    <w:rsid w:val="001E44F7"/>
    <w:pPr>
      <w:spacing w:before="240"/>
    </w:pPr>
    <w:rPr>
      <w:rFonts w:ascii="Times New Roman" w:hAnsi="Times New Roman"/>
      <w:smallCaps/>
      <w:spacing w:val="80"/>
      <w:sz w:val="28"/>
    </w:rPr>
  </w:style>
  <w:style w:type="paragraph" w:customStyle="1" w:styleId="InChapter">
    <w:name w:val="InChapter"/>
    <w:basedOn w:val="Heading3"/>
    <w:rsid w:val="001E44F7"/>
    <w:pPr>
      <w:spacing w:after="240"/>
      <w:outlineLvl w:val="9"/>
    </w:pPr>
    <w:rPr>
      <w:noProof/>
    </w:rPr>
  </w:style>
  <w:style w:type="paragraph" w:styleId="Index2">
    <w:name w:val="index 2"/>
    <w:basedOn w:val="Normal"/>
    <w:next w:val="Normal"/>
    <w:semiHidden/>
    <w:rsid w:val="001E44F7"/>
    <w:pPr>
      <w:tabs>
        <w:tab w:val="right" w:pos="4176"/>
      </w:tabs>
      <w:ind w:left="568" w:hanging="284"/>
    </w:pPr>
    <w:rPr>
      <w:rFonts w:ascii="Garamond" w:hAnsi="Garamond"/>
    </w:rPr>
  </w:style>
  <w:style w:type="paragraph" w:customStyle="1" w:styleId="Byline">
    <w:name w:val="Byline"/>
    <w:rsid w:val="001E4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4F7"/>
    <w:pPr>
      <w:tabs>
        <w:tab w:val="clear" w:pos="3600"/>
        <w:tab w:val="clear" w:pos="3958"/>
      </w:tabs>
      <w:jc w:val="right"/>
    </w:pPr>
  </w:style>
  <w:style w:type="paragraph" w:styleId="Caption">
    <w:name w:val="caption"/>
    <w:basedOn w:val="BodyText"/>
    <w:next w:val="Normal"/>
    <w:qFormat/>
    <w:rsid w:val="001E44F7"/>
    <w:pPr>
      <w:framePr w:w="2268" w:hSpace="181" w:vSpace="181" w:wrap="around" w:vAnchor="text" w:hAnchor="page" w:x="1135" w:y="285" w:anchorLock="1"/>
    </w:pPr>
    <w:rPr>
      <w:i/>
    </w:rPr>
  </w:style>
  <w:style w:type="paragraph" w:customStyle="1" w:styleId="MiniTOCTitle">
    <w:name w:val="MiniTOCTitle"/>
    <w:basedOn w:val="Heading4"/>
    <w:rsid w:val="001E44F7"/>
    <w:pPr>
      <w:spacing w:before="240"/>
      <w:outlineLvl w:val="9"/>
    </w:pPr>
    <w:rPr>
      <w:noProof/>
      <w:sz w:val="24"/>
    </w:rPr>
  </w:style>
  <w:style w:type="paragraph" w:customStyle="1" w:styleId="MiniTOCItem">
    <w:name w:val="MiniTOCItem"/>
    <w:basedOn w:val="ListBullet"/>
    <w:rsid w:val="001E44F7"/>
    <w:pPr>
      <w:numPr>
        <w:numId w:val="0"/>
      </w:numPr>
      <w:tabs>
        <w:tab w:val="right" w:leader="dot" w:pos="6521"/>
      </w:tabs>
      <w:spacing w:before="0" w:after="0"/>
    </w:pPr>
  </w:style>
  <w:style w:type="paragraph" w:customStyle="1" w:styleId="TOFTitle">
    <w:name w:val="TOFTitle"/>
    <w:basedOn w:val="TOCTitle"/>
    <w:rsid w:val="001E44F7"/>
  </w:style>
  <w:style w:type="paragraph" w:styleId="TableofFigures">
    <w:name w:val="table of figures"/>
    <w:basedOn w:val="Normal"/>
    <w:next w:val="Normal"/>
    <w:semiHidden/>
    <w:rsid w:val="001E44F7"/>
    <w:pPr>
      <w:tabs>
        <w:tab w:val="right" w:leader="dot" w:pos="9072"/>
      </w:tabs>
      <w:ind w:left="970" w:hanging="403"/>
    </w:pPr>
    <w:rPr>
      <w:rFonts w:ascii="Times New Roman" w:hAnsi="Times New Roman"/>
      <w:b/>
    </w:rPr>
  </w:style>
  <w:style w:type="paragraph" w:styleId="ListNumber">
    <w:name w:val="List Number"/>
    <w:basedOn w:val="List"/>
    <w:rsid w:val="001E44F7"/>
    <w:pPr>
      <w:numPr>
        <w:numId w:val="15"/>
      </w:numPr>
      <w:tabs>
        <w:tab w:val="clear" w:pos="340"/>
      </w:tabs>
    </w:pPr>
  </w:style>
  <w:style w:type="character" w:customStyle="1" w:styleId="WingdingSymbols">
    <w:name w:val="Wingding Symbols"/>
    <w:rsid w:val="001E44F7"/>
    <w:rPr>
      <w:rFonts w:ascii="Wingdings" w:hAnsi="Wingdings"/>
    </w:rPr>
  </w:style>
  <w:style w:type="paragraph" w:customStyle="1" w:styleId="TableHeading">
    <w:name w:val="Table Heading"/>
    <w:basedOn w:val="HeadingBase"/>
    <w:rsid w:val="001E44F7"/>
    <w:pPr>
      <w:keepLines/>
      <w:pBdr>
        <w:bottom w:val="single" w:sz="6" w:space="1" w:color="918585"/>
      </w:pBdr>
      <w:spacing w:before="240"/>
    </w:pPr>
  </w:style>
  <w:style w:type="character" w:customStyle="1" w:styleId="HotSpot">
    <w:name w:val="HotSpot"/>
    <w:rsid w:val="001E44F7"/>
    <w:rPr>
      <w:color w:val="0033CC"/>
      <w:u w:val="none"/>
    </w:rPr>
  </w:style>
  <w:style w:type="paragraph" w:customStyle="1" w:styleId="BodyTextRight">
    <w:name w:val="Body Text Right"/>
    <w:basedOn w:val="BodyText"/>
    <w:rsid w:val="001E44F7"/>
    <w:pPr>
      <w:spacing w:before="0" w:after="0"/>
      <w:jc w:val="right"/>
    </w:pPr>
  </w:style>
  <w:style w:type="paragraph" w:styleId="Index3">
    <w:name w:val="index 3"/>
    <w:basedOn w:val="ListNumber2"/>
    <w:next w:val="Normal"/>
    <w:semiHidden/>
    <w:rsid w:val="001E44F7"/>
    <w:pPr>
      <w:numPr>
        <w:numId w:val="0"/>
      </w:numPr>
      <w:tabs>
        <w:tab w:val="right" w:leader="dot" w:pos="4176"/>
      </w:tabs>
    </w:pPr>
  </w:style>
  <w:style w:type="paragraph" w:styleId="ListNumber2">
    <w:name w:val="List Number 2"/>
    <w:basedOn w:val="List2"/>
    <w:rsid w:val="001E44F7"/>
    <w:pPr>
      <w:numPr>
        <w:numId w:val="10"/>
      </w:numPr>
      <w:tabs>
        <w:tab w:val="clear" w:pos="1060"/>
      </w:tabs>
    </w:pPr>
  </w:style>
  <w:style w:type="paragraph" w:customStyle="1" w:styleId="MarginNote">
    <w:name w:val="Margin Note"/>
    <w:basedOn w:val="BodyText"/>
    <w:rsid w:val="001E4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4F7"/>
    <w:rPr>
      <w:sz w:val="32"/>
    </w:rPr>
  </w:style>
  <w:style w:type="paragraph" w:customStyle="1" w:styleId="HeadingProcedure">
    <w:name w:val="Heading Procedure"/>
    <w:basedOn w:val="HeadingBase"/>
    <w:next w:val="Normal"/>
    <w:rsid w:val="001E44F7"/>
    <w:pPr>
      <w:tabs>
        <w:tab w:val="left" w:pos="0"/>
      </w:tabs>
      <w:spacing w:before="120" w:after="60"/>
    </w:pPr>
    <w:rPr>
      <w:i/>
      <w:color w:val="918585"/>
      <w:sz w:val="22"/>
    </w:rPr>
  </w:style>
  <w:style w:type="paragraph" w:customStyle="1" w:styleId="TableBodyText">
    <w:name w:val="Table Body Text"/>
    <w:basedOn w:val="BodyText"/>
    <w:rsid w:val="001E44F7"/>
    <w:pPr>
      <w:spacing w:before="60" w:after="60"/>
    </w:pPr>
  </w:style>
  <w:style w:type="paragraph" w:styleId="ListContinue">
    <w:name w:val="List Continue"/>
    <w:basedOn w:val="List"/>
    <w:rsid w:val="001E44F7"/>
    <w:pPr>
      <w:ind w:firstLine="0"/>
    </w:pPr>
  </w:style>
  <w:style w:type="paragraph" w:customStyle="1" w:styleId="ListNote">
    <w:name w:val="List Note"/>
    <w:basedOn w:val="List"/>
    <w:rsid w:val="001E44F7"/>
    <w:pPr>
      <w:pBdr>
        <w:top w:val="single" w:sz="6" w:space="2" w:color="918585"/>
        <w:bottom w:val="single" w:sz="6" w:space="2" w:color="918585"/>
      </w:pBdr>
      <w:tabs>
        <w:tab w:val="left" w:pos="1021"/>
      </w:tabs>
      <w:ind w:firstLine="0"/>
    </w:pPr>
  </w:style>
  <w:style w:type="paragraph" w:customStyle="1" w:styleId="Warning">
    <w:name w:val="Warning"/>
    <w:basedOn w:val="BodyText"/>
    <w:rsid w:val="001E44F7"/>
    <w:pPr>
      <w:shd w:val="clear" w:color="auto" w:fill="D9D9D9"/>
      <w:tabs>
        <w:tab w:val="left" w:pos="992"/>
      </w:tabs>
      <w:ind w:left="119" w:right="119"/>
    </w:pPr>
    <w:rPr>
      <w:sz w:val="20"/>
    </w:rPr>
  </w:style>
  <w:style w:type="paragraph" w:customStyle="1" w:styleId="MarginIcons">
    <w:name w:val="Margin Icons"/>
    <w:basedOn w:val="BodyText"/>
    <w:rsid w:val="001E4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4F7"/>
    <w:rPr>
      <w:rFonts w:ascii="Courier New" w:hAnsi="Courier New"/>
    </w:rPr>
  </w:style>
  <w:style w:type="paragraph" w:customStyle="1" w:styleId="NoteBullet">
    <w:name w:val="Note Bullet"/>
    <w:basedOn w:val="Note"/>
    <w:rsid w:val="001E44F7"/>
    <w:pPr>
      <w:tabs>
        <w:tab w:val="clear" w:pos="680"/>
      </w:tabs>
      <w:spacing w:before="60" w:after="60"/>
    </w:pPr>
  </w:style>
  <w:style w:type="paragraph" w:customStyle="1" w:styleId="SubHeading2">
    <w:name w:val="SubHeading2"/>
    <w:basedOn w:val="HeadingBase"/>
    <w:rsid w:val="001E44F7"/>
    <w:pPr>
      <w:spacing w:before="240" w:after="60"/>
    </w:pPr>
    <w:rPr>
      <w:sz w:val="20"/>
    </w:rPr>
  </w:style>
  <w:style w:type="paragraph" w:customStyle="1" w:styleId="SubHeading1">
    <w:name w:val="SubHeading1"/>
    <w:basedOn w:val="HeadingBase"/>
    <w:rsid w:val="001E44F7"/>
    <w:pPr>
      <w:spacing w:before="240" w:after="60"/>
    </w:pPr>
    <w:rPr>
      <w:color w:val="918585"/>
      <w:sz w:val="22"/>
    </w:rPr>
  </w:style>
  <w:style w:type="paragraph" w:customStyle="1" w:styleId="SideHeading">
    <w:name w:val="Side Heading"/>
    <w:basedOn w:val="HeadingBase"/>
    <w:rsid w:val="001E4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4F7"/>
    <w:pPr>
      <w:tabs>
        <w:tab w:val="num" w:pos="360"/>
      </w:tabs>
    </w:pPr>
  </w:style>
  <w:style w:type="paragraph" w:styleId="PlainText">
    <w:name w:val="Plain Text"/>
    <w:basedOn w:val="Normal"/>
    <w:link w:val="PlainTextChar"/>
    <w:rsid w:val="001E44F7"/>
    <w:rPr>
      <w:sz w:val="20"/>
    </w:rPr>
  </w:style>
  <w:style w:type="character" w:customStyle="1" w:styleId="PlainTextChar">
    <w:name w:val="Plain Text Char"/>
    <w:basedOn w:val="DefaultParagraphFont"/>
    <w:link w:val="PlainText"/>
    <w:rsid w:val="001E44F7"/>
    <w:rPr>
      <w:rFonts w:ascii="Courier New" w:eastAsia="Times New Roman" w:hAnsi="Courier New" w:cs="Times New Roman"/>
      <w:sz w:val="20"/>
      <w:szCs w:val="20"/>
      <w:lang w:eastAsia="en-US"/>
    </w:rPr>
  </w:style>
  <w:style w:type="character" w:customStyle="1" w:styleId="MenuOption">
    <w:name w:val="Menu Option"/>
    <w:basedOn w:val="DefaultParagraphFont"/>
    <w:rsid w:val="001E44F7"/>
    <w:rPr>
      <w:b/>
      <w:smallCaps/>
    </w:rPr>
  </w:style>
  <w:style w:type="paragraph" w:customStyle="1" w:styleId="TableListNumber">
    <w:name w:val="Table List Number"/>
    <w:basedOn w:val="ListNumber"/>
    <w:rsid w:val="001E44F7"/>
    <w:pPr>
      <w:numPr>
        <w:numId w:val="0"/>
      </w:numPr>
    </w:pPr>
  </w:style>
  <w:style w:type="paragraph" w:styleId="TOC4">
    <w:name w:val="toc 4"/>
    <w:basedOn w:val="TOCBase"/>
    <w:next w:val="Normal"/>
    <w:semiHidden/>
    <w:rsid w:val="001E44F7"/>
    <w:pPr>
      <w:tabs>
        <w:tab w:val="right" w:leader="dot" w:pos="9071"/>
      </w:tabs>
      <w:ind w:left="1701"/>
    </w:pPr>
  </w:style>
  <w:style w:type="paragraph" w:customStyle="1" w:styleId="ListAlpha">
    <w:name w:val="List Alpha"/>
    <w:basedOn w:val="List"/>
    <w:rsid w:val="001E44F7"/>
    <w:pPr>
      <w:numPr>
        <w:numId w:val="9"/>
      </w:numPr>
    </w:pPr>
  </w:style>
  <w:style w:type="paragraph" w:customStyle="1" w:styleId="ListAlpha2">
    <w:name w:val="List Alpha 2"/>
    <w:basedOn w:val="List2"/>
    <w:rsid w:val="001E44F7"/>
    <w:pPr>
      <w:numPr>
        <w:numId w:val="8"/>
      </w:numPr>
    </w:pPr>
  </w:style>
  <w:style w:type="paragraph" w:styleId="List2">
    <w:name w:val="List 2"/>
    <w:basedOn w:val="BodyText"/>
    <w:rsid w:val="001E44F7"/>
    <w:pPr>
      <w:tabs>
        <w:tab w:val="left" w:pos="680"/>
      </w:tabs>
      <w:spacing w:before="60" w:after="60"/>
      <w:ind w:left="680" w:hanging="340"/>
    </w:pPr>
  </w:style>
  <w:style w:type="paragraph" w:styleId="List3">
    <w:name w:val="List 3"/>
    <w:basedOn w:val="BodyText"/>
    <w:rsid w:val="001E44F7"/>
    <w:pPr>
      <w:tabs>
        <w:tab w:val="left" w:pos="1021"/>
      </w:tabs>
      <w:spacing w:before="60" w:after="60"/>
      <w:ind w:left="1020" w:hanging="340"/>
    </w:pPr>
  </w:style>
  <w:style w:type="paragraph" w:styleId="List4">
    <w:name w:val="List 4"/>
    <w:basedOn w:val="BodyText"/>
    <w:rsid w:val="001E44F7"/>
    <w:pPr>
      <w:tabs>
        <w:tab w:val="left" w:pos="1361"/>
      </w:tabs>
      <w:spacing w:before="60" w:after="60"/>
      <w:ind w:left="1361" w:hanging="340"/>
    </w:pPr>
  </w:style>
  <w:style w:type="paragraph" w:styleId="List5">
    <w:name w:val="List 5"/>
    <w:basedOn w:val="BodyText"/>
    <w:rsid w:val="001E44F7"/>
    <w:pPr>
      <w:tabs>
        <w:tab w:val="left" w:pos="1701"/>
      </w:tabs>
      <w:spacing w:before="60" w:after="60"/>
      <w:ind w:left="1701" w:hanging="340"/>
    </w:pPr>
  </w:style>
  <w:style w:type="paragraph" w:styleId="ListBullet3">
    <w:name w:val="List Bullet 3"/>
    <w:basedOn w:val="List3"/>
    <w:rsid w:val="001E44F7"/>
    <w:pPr>
      <w:numPr>
        <w:numId w:val="14"/>
      </w:numPr>
      <w:tabs>
        <w:tab w:val="clear" w:pos="1021"/>
      </w:tabs>
      <w:ind w:left="1037" w:hanging="357"/>
    </w:pPr>
  </w:style>
  <w:style w:type="paragraph" w:styleId="ListBullet4">
    <w:name w:val="List Bullet 4"/>
    <w:basedOn w:val="List4"/>
    <w:rsid w:val="001E44F7"/>
    <w:pPr>
      <w:numPr>
        <w:numId w:val="3"/>
      </w:numPr>
      <w:tabs>
        <w:tab w:val="clear" w:pos="1361"/>
      </w:tabs>
    </w:pPr>
  </w:style>
  <w:style w:type="paragraph" w:styleId="ListBullet5">
    <w:name w:val="List Bullet 5"/>
    <w:basedOn w:val="List5"/>
    <w:rsid w:val="001E44F7"/>
    <w:pPr>
      <w:numPr>
        <w:numId w:val="4"/>
      </w:numPr>
    </w:pPr>
  </w:style>
  <w:style w:type="paragraph" w:styleId="ListContinue2">
    <w:name w:val="List Continue 2"/>
    <w:basedOn w:val="List2"/>
    <w:rsid w:val="001E44F7"/>
    <w:pPr>
      <w:ind w:firstLine="0"/>
    </w:pPr>
  </w:style>
  <w:style w:type="paragraph" w:styleId="ListContinue3">
    <w:name w:val="List Continue 3"/>
    <w:basedOn w:val="List3"/>
    <w:rsid w:val="001E44F7"/>
    <w:pPr>
      <w:ind w:left="1021" w:firstLine="0"/>
    </w:pPr>
  </w:style>
  <w:style w:type="paragraph" w:styleId="ListContinue4">
    <w:name w:val="List Continue 4"/>
    <w:basedOn w:val="List4"/>
    <w:rsid w:val="001E44F7"/>
    <w:pPr>
      <w:ind w:firstLine="0"/>
    </w:pPr>
  </w:style>
  <w:style w:type="paragraph" w:styleId="ListContinue5">
    <w:name w:val="List Continue 5"/>
    <w:basedOn w:val="List5"/>
    <w:rsid w:val="001E44F7"/>
    <w:pPr>
      <w:ind w:firstLine="0"/>
    </w:pPr>
  </w:style>
  <w:style w:type="paragraph" w:styleId="ListNumber3">
    <w:name w:val="List Number 3"/>
    <w:basedOn w:val="List3"/>
    <w:rsid w:val="001E44F7"/>
    <w:pPr>
      <w:numPr>
        <w:numId w:val="5"/>
      </w:numPr>
    </w:pPr>
  </w:style>
  <w:style w:type="paragraph" w:styleId="ListNumber4">
    <w:name w:val="List Number 4"/>
    <w:basedOn w:val="List4"/>
    <w:rsid w:val="001E44F7"/>
    <w:pPr>
      <w:numPr>
        <w:numId w:val="6"/>
      </w:numPr>
    </w:pPr>
  </w:style>
  <w:style w:type="paragraph" w:styleId="ListNumber5">
    <w:name w:val="List Number 5"/>
    <w:basedOn w:val="List5"/>
    <w:rsid w:val="001E44F7"/>
    <w:pPr>
      <w:numPr>
        <w:numId w:val="7"/>
      </w:numPr>
    </w:pPr>
  </w:style>
  <w:style w:type="paragraph" w:styleId="BlockText">
    <w:name w:val="Block Text"/>
    <w:basedOn w:val="Normal"/>
    <w:rsid w:val="001E44F7"/>
    <w:pPr>
      <w:spacing w:after="120"/>
      <w:ind w:left="1440" w:right="1440"/>
    </w:pPr>
  </w:style>
  <w:style w:type="character" w:customStyle="1" w:styleId="Subscript">
    <w:name w:val="Subscript"/>
    <w:basedOn w:val="DefaultParagraphFont"/>
    <w:rsid w:val="001E44F7"/>
    <w:rPr>
      <w:sz w:val="16"/>
      <w:vertAlign w:val="subscript"/>
    </w:rPr>
  </w:style>
  <w:style w:type="character" w:customStyle="1" w:styleId="Superscript">
    <w:name w:val="Superscript"/>
    <w:basedOn w:val="DefaultParagraphFont"/>
    <w:rsid w:val="001E44F7"/>
    <w:rPr>
      <w:sz w:val="16"/>
      <w:vertAlign w:val="superscript"/>
    </w:rPr>
  </w:style>
  <w:style w:type="character" w:customStyle="1" w:styleId="Symbols">
    <w:name w:val="Symbols"/>
    <w:basedOn w:val="DefaultParagraphFont"/>
    <w:rsid w:val="001E44F7"/>
    <w:rPr>
      <w:rFonts w:ascii="Symbol" w:hAnsi="Symbol"/>
    </w:rPr>
  </w:style>
  <w:style w:type="character" w:customStyle="1" w:styleId="MenuOptions">
    <w:name w:val="Menu Options"/>
    <w:basedOn w:val="DefaultParagraphFont"/>
    <w:rsid w:val="001E44F7"/>
    <w:rPr>
      <w:rFonts w:ascii="Arial Narrow" w:hAnsi="Arial Narrow"/>
      <w:smallCaps/>
    </w:rPr>
  </w:style>
  <w:style w:type="character" w:customStyle="1" w:styleId="Buttons">
    <w:name w:val="Buttons"/>
    <w:basedOn w:val="DefaultParagraphFont"/>
    <w:rsid w:val="001E44F7"/>
    <w:rPr>
      <w:b/>
    </w:rPr>
  </w:style>
  <w:style w:type="character" w:customStyle="1" w:styleId="Underlined">
    <w:name w:val="Underlined"/>
    <w:basedOn w:val="DefaultParagraphFont"/>
    <w:rsid w:val="001E44F7"/>
    <w:rPr>
      <w:u w:val="single"/>
    </w:rPr>
  </w:style>
  <w:style w:type="paragraph" w:customStyle="1" w:styleId="TableBodyTextRight">
    <w:name w:val="Table Body Text Right"/>
    <w:basedOn w:val="TableBodyText"/>
    <w:rsid w:val="001E44F7"/>
    <w:pPr>
      <w:widowControl w:val="0"/>
      <w:autoSpaceDE w:val="0"/>
      <w:autoSpaceDN w:val="0"/>
      <w:adjustRightInd w:val="0"/>
      <w:jc w:val="right"/>
    </w:pPr>
    <w:rPr>
      <w:rFonts w:cs="Arial"/>
      <w:szCs w:val="18"/>
    </w:rPr>
  </w:style>
  <w:style w:type="paragraph" w:customStyle="1" w:styleId="CopyrightText">
    <w:name w:val="Copyright Text"/>
    <w:basedOn w:val="BodyText"/>
    <w:rsid w:val="001E44F7"/>
    <w:rPr>
      <w:sz w:val="18"/>
    </w:rPr>
  </w:style>
  <w:style w:type="paragraph" w:customStyle="1" w:styleId="BodySmallRight">
    <w:name w:val="Body Small Right"/>
    <w:basedOn w:val="BodyTextRight"/>
    <w:rsid w:val="001E44F7"/>
    <w:rPr>
      <w:sz w:val="18"/>
      <w:szCs w:val="18"/>
    </w:rPr>
  </w:style>
  <w:style w:type="paragraph" w:customStyle="1" w:styleId="MarginEdition">
    <w:name w:val="Margin Edition"/>
    <w:basedOn w:val="MarginNote"/>
    <w:rsid w:val="001E44F7"/>
    <w:pPr>
      <w:spacing w:before="0" w:after="0"/>
    </w:pPr>
    <w:rPr>
      <w:rFonts w:ascii="Times New Roman" w:hAnsi="Times New Roman"/>
      <w:color w:val="999999"/>
    </w:rPr>
  </w:style>
  <w:style w:type="paragraph" w:customStyle="1" w:styleId="Spacer">
    <w:name w:val="Spacer"/>
    <w:basedOn w:val="Normal"/>
    <w:rsid w:val="001E44F7"/>
    <w:rPr>
      <w:sz w:val="2"/>
      <w:szCs w:val="2"/>
    </w:rPr>
  </w:style>
  <w:style w:type="character" w:customStyle="1" w:styleId="Small">
    <w:name w:val="Small"/>
    <w:basedOn w:val="DefaultParagraphFont"/>
    <w:rsid w:val="001E44F7"/>
    <w:rPr>
      <w:sz w:val="16"/>
    </w:rPr>
  </w:style>
  <w:style w:type="paragraph" w:customStyle="1" w:styleId="WideTable">
    <w:name w:val="Wide Table"/>
    <w:basedOn w:val="Normal"/>
    <w:rsid w:val="001E44F7"/>
    <w:pPr>
      <w:ind w:left="-1418"/>
    </w:pPr>
    <w:rPr>
      <w:sz w:val="2"/>
      <w:szCs w:val="2"/>
    </w:rPr>
  </w:style>
  <w:style w:type="character" w:styleId="PageNumber">
    <w:name w:val="page number"/>
    <w:basedOn w:val="DefaultParagraphFont"/>
    <w:rsid w:val="001E44F7"/>
  </w:style>
  <w:style w:type="paragraph" w:styleId="Quote">
    <w:name w:val="Quote"/>
    <w:basedOn w:val="Heading1"/>
    <w:link w:val="QuoteChar"/>
    <w:qFormat/>
    <w:rsid w:val="001E44F7"/>
    <w:rPr>
      <w:b w:val="0"/>
      <w:sz w:val="72"/>
      <w:szCs w:val="72"/>
      <w:lang w:val="en-NZ"/>
    </w:rPr>
  </w:style>
  <w:style w:type="character" w:customStyle="1" w:styleId="QuoteChar">
    <w:name w:val="Quote Char"/>
    <w:basedOn w:val="DefaultParagraphFont"/>
    <w:link w:val="Quote"/>
    <w:rsid w:val="001E4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4F7"/>
    <w:pPr>
      <w:pageBreakBefore/>
    </w:pPr>
  </w:style>
  <w:style w:type="paragraph" w:customStyle="1" w:styleId="Border">
    <w:name w:val="Border"/>
    <w:basedOn w:val="Normal"/>
    <w:qFormat/>
    <w:rsid w:val="001E4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4F7"/>
    <w:rPr>
      <w:b/>
      <w:bCs/>
      <w:i/>
      <w:iCs/>
      <w:color w:val="auto"/>
    </w:rPr>
  </w:style>
  <w:style w:type="paragraph" w:styleId="IntenseQuote">
    <w:name w:val="Intense Quote"/>
    <w:basedOn w:val="Normal"/>
    <w:next w:val="Normal"/>
    <w:link w:val="IntenseQuoteChar"/>
    <w:uiPriority w:val="30"/>
    <w:qFormat/>
    <w:rsid w:val="001E4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4F7"/>
    <w:rPr>
      <w:smallCaps/>
      <w:color w:val="auto"/>
      <w:u w:val="single"/>
    </w:rPr>
  </w:style>
  <w:style w:type="character" w:styleId="IntenseReference">
    <w:name w:val="Intense Reference"/>
    <w:basedOn w:val="DefaultParagraphFont"/>
    <w:uiPriority w:val="32"/>
    <w:qFormat/>
    <w:rsid w:val="001E44F7"/>
    <w:rPr>
      <w:b/>
      <w:bCs/>
      <w:smallCaps/>
      <w:color w:val="auto"/>
      <w:spacing w:val="5"/>
      <w:u w:val="single"/>
    </w:rPr>
  </w:style>
  <w:style w:type="paragraph" w:customStyle="1" w:styleId="2ColumnHeading">
    <w:name w:val="2Column Heading"/>
    <w:basedOn w:val="BodyText"/>
    <w:qFormat/>
    <w:rsid w:val="001E44F7"/>
    <w:pPr>
      <w:spacing w:after="60"/>
      <w:ind w:left="-2268"/>
    </w:pPr>
    <w:rPr>
      <w:b/>
    </w:rPr>
  </w:style>
  <w:style w:type="paragraph" w:customStyle="1" w:styleId="Heading1TOC">
    <w:name w:val="Heading1 TOC"/>
    <w:basedOn w:val="Normal"/>
    <w:qFormat/>
    <w:rsid w:val="001E44F7"/>
    <w:pPr>
      <w:spacing w:before="240" w:after="120"/>
    </w:pPr>
    <w:rPr>
      <w:rFonts w:ascii="Times New Roman" w:hAnsi="Times New Roman"/>
      <w:b/>
      <w:sz w:val="32"/>
    </w:rPr>
  </w:style>
  <w:style w:type="paragraph" w:customStyle="1" w:styleId="Heading2TOC">
    <w:name w:val="Heading2 TOC"/>
    <w:basedOn w:val="Normal"/>
    <w:qFormat/>
    <w:rsid w:val="001E44F7"/>
    <w:pPr>
      <w:spacing w:before="240" w:after="60"/>
    </w:pPr>
    <w:rPr>
      <w:rFonts w:ascii="Times New Roman" w:hAnsi="Times New Roman"/>
      <w:b/>
      <w:sz w:val="28"/>
    </w:rPr>
  </w:style>
  <w:style w:type="character" w:customStyle="1" w:styleId="Underline">
    <w:name w:val="Underline"/>
    <w:basedOn w:val="DefaultParagraphFont"/>
    <w:qFormat/>
    <w:rsid w:val="001E44F7"/>
    <w:rPr>
      <w:u w:val="single"/>
    </w:rPr>
  </w:style>
  <w:style w:type="character" w:customStyle="1" w:styleId="BoldandItalics">
    <w:name w:val="Bold and Italics"/>
    <w:qFormat/>
    <w:rsid w:val="001E44F7"/>
    <w:rPr>
      <w:b/>
      <w:i/>
      <w:u w:val="none"/>
    </w:rPr>
  </w:style>
  <w:style w:type="paragraph" w:styleId="BalloonText">
    <w:name w:val="Balloon Text"/>
    <w:basedOn w:val="Normal"/>
    <w:link w:val="BalloonTextChar"/>
    <w:rsid w:val="001E44F7"/>
    <w:rPr>
      <w:rFonts w:ascii="Tahoma" w:hAnsi="Tahoma" w:cs="Tahoma"/>
      <w:sz w:val="16"/>
      <w:szCs w:val="16"/>
    </w:rPr>
  </w:style>
  <w:style w:type="character" w:customStyle="1" w:styleId="BalloonTextChar">
    <w:name w:val="Balloon Text Char"/>
    <w:basedOn w:val="DefaultParagraphFont"/>
    <w:link w:val="BalloonText"/>
    <w:rsid w:val="001E4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4F7"/>
    <w:rPr>
      <w:b/>
      <w:color w:val="660033"/>
      <w:spacing w:val="0"/>
    </w:rPr>
  </w:style>
  <w:style w:type="paragraph" w:customStyle="1" w:styleId="Nameditemlist">
    <w:name w:val="Named item list"/>
    <w:basedOn w:val="BodyText"/>
    <w:qFormat/>
    <w:rsid w:val="001E44F7"/>
    <w:pPr>
      <w:tabs>
        <w:tab w:val="left" w:pos="2835"/>
      </w:tabs>
      <w:ind w:left="2835" w:hanging="2835"/>
    </w:pPr>
  </w:style>
  <w:style w:type="paragraph" w:customStyle="1" w:styleId="BodyTextnopadding">
    <w:name w:val="Body Text no padding"/>
    <w:basedOn w:val="BodyText"/>
    <w:qFormat/>
    <w:rsid w:val="001E44F7"/>
    <w:pPr>
      <w:spacing w:before="0" w:after="0"/>
    </w:pPr>
  </w:style>
  <w:style w:type="paragraph" w:customStyle="1" w:styleId="BodyTextBold">
    <w:name w:val="Body Text Bold"/>
    <w:basedOn w:val="BodyText"/>
    <w:qFormat/>
    <w:rsid w:val="001E44F7"/>
    <w:rPr>
      <w:b/>
    </w:rPr>
  </w:style>
  <w:style w:type="character" w:styleId="Hyperlink">
    <w:name w:val="Hyperlink"/>
    <w:basedOn w:val="DefaultParagraphFont"/>
    <w:uiPriority w:val="99"/>
    <w:unhideWhenUsed/>
    <w:rsid w:val="004F24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3696</Characters>
  <Application>Microsoft Office Word</Application>
  <DocSecurity>0</DocSecurity>
  <Lines>85</Lines>
  <Paragraphs>69</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TLIX5049 Determine indirect taxes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2022-04-07T07:06:00Z</dcterms:created>
  <dcterms:modified xsi:type="dcterms:W3CDTF">2022-04-07T07:06:00Z</dcterms:modified>
</cp:coreProperties>
</file>