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5555" w:rsidP="00EB55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TLIX5048 Determine import/export prohibitions/restrictions</w:t>
      </w:r>
      <w:r>
        <w:fldChar w:fldCharType="end"/>
      </w:r>
    </w:p>
    <w:p w:rsidR="00EB5555" w:rsidP="00EB5555">
      <w:pPr>
        <w:pStyle w:val="Version"/>
        <w:sectPr w:rsidSect="00E761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61A8" w:rsidP="00E761A8">
      <w:pPr>
        <w:pStyle w:val="SuperHeading"/>
      </w:pPr>
      <w:r w:rsidRPr="00E761A8">
        <w:t>TLIX5048 Determine import/export prohibitions/restrictions</w:t>
      </w:r>
    </w:p>
    <w:p w:rsidR="00000000" w:rsidRPr="00E761A8" w:rsidP="00E761A8">
      <w:pPr>
        <w:pStyle w:val="Heading1"/>
      </w:pPr>
      <w:bookmarkStart w:id="1" w:name="O_838500"/>
      <w:bookmarkEnd w:id="1"/>
      <w:r w:rsidRPr="00E761A8">
        <w:t>Modification History</w:t>
      </w:r>
    </w:p>
    <w:p w:rsidR="00EB5555" w:rsidP="00EB5555">
      <w:pPr>
        <w:pStyle w:val="BodyText"/>
      </w:pPr>
      <w:r w:rsidRPr="00E761A8">
        <w:t>Release 1. This is the first release of this unit of competency in the TLI Transport and Logistics Training Package.</w:t>
      </w:r>
    </w:p>
    <w:p w:rsidR="00000000" w:rsidRPr="00E761A8" w:rsidP="00E761A8">
      <w:pPr>
        <w:pStyle w:val="Heading1"/>
      </w:pPr>
      <w:bookmarkStart w:id="2" w:name="O_838501"/>
      <w:bookmarkEnd w:id="2"/>
      <w:r w:rsidRPr="00E761A8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B55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1A8" w:rsidP="00E761A8">
            <w:pPr>
              <w:pStyle w:val="BodyText"/>
            </w:pPr>
            <w:r w:rsidRPr="00E761A8">
              <w:t>This unit involves the skills and knowledge required to apply special pe</w:t>
            </w:r>
            <w:r w:rsidRPr="00E761A8">
              <w:t xml:space="preserve">rmit requirements as part of customs broking activities in accordance with the current Australian Customs Act, relevant legislation and workplace requirements. </w:t>
            </w:r>
          </w:p>
          <w:p w:rsidR="00000000" w:rsidRPr="00E761A8" w:rsidP="00E761A8">
            <w:pPr>
              <w:pStyle w:val="BodyText"/>
            </w:pPr>
            <w:r w:rsidRPr="00E761A8">
              <w:t>It includes identifying goods subject to import/export restrictions and/or prohibitions, identi</w:t>
            </w:r>
            <w:r w:rsidRPr="00E761A8">
              <w:t xml:space="preserve">fying required permits, assessing permits for compliance, and facilitating the gaining of such permits. </w:t>
            </w:r>
          </w:p>
          <w:p w:rsidR="00000000" w:rsidRPr="00E761A8" w:rsidP="00E761A8">
            <w:pPr>
              <w:pStyle w:val="BodyText"/>
            </w:pPr>
            <w:r w:rsidRPr="00E761A8">
              <w:t xml:space="preserve">This unit applies to individuals working as a customs broker. </w:t>
            </w:r>
          </w:p>
          <w:p w:rsidR="00000000" w:rsidRPr="00E761A8" w:rsidP="00E761A8">
            <w:pPr>
              <w:pStyle w:val="BodyText"/>
            </w:pPr>
            <w:r w:rsidRPr="00E761A8">
              <w:t xml:space="preserve">Work is undertaken in a range of environments including small to large worksites in the </w:t>
            </w:r>
            <w:r w:rsidRPr="00E761A8">
              <w:t>customs broking industry.</w:t>
            </w:r>
          </w:p>
          <w:p w:rsidR="00000000" w:rsidRPr="00E761A8" w:rsidP="00E761A8">
            <w:pPr>
              <w:pStyle w:val="BodyText"/>
            </w:pPr>
            <w:r w:rsidRPr="00E761A8">
              <w:t>No licensing, legislative or certification requirements apply to this unit at the time of publication.</w:t>
            </w:r>
          </w:p>
        </w:tc>
      </w:tr>
    </w:tbl>
    <w:p w:rsidR="00EB5555" w:rsidP="00E761A8">
      <w:pPr>
        <w:pStyle w:val="BodyText"/>
      </w:pPr>
    </w:p>
    <w:p w:rsidR="00EB5555" w:rsidP="00E761A8">
      <w:pPr>
        <w:pStyle w:val="BodyText"/>
      </w:pPr>
    </w:p>
    <w:p w:rsidR="00000000" w:rsidRPr="00E761A8" w:rsidP="00E761A8">
      <w:pPr>
        <w:pStyle w:val="Heading1"/>
      </w:pPr>
      <w:bookmarkStart w:id="3" w:name="O_838502"/>
      <w:bookmarkEnd w:id="3"/>
      <w:r w:rsidRPr="00E761A8">
        <w:t>Pre-requisite Unit</w:t>
      </w:r>
    </w:p>
    <w:p w:rsidR="00EB5555" w:rsidP="00EB5555">
      <w:pPr>
        <w:pStyle w:val="BodyText"/>
      </w:pPr>
      <w:r w:rsidRPr="00E761A8">
        <w:t>Not applicable.</w:t>
      </w:r>
    </w:p>
    <w:p w:rsidR="00000000" w:rsidRPr="00E761A8" w:rsidP="00E761A8">
      <w:pPr>
        <w:pStyle w:val="Heading1"/>
      </w:pPr>
      <w:bookmarkStart w:id="4" w:name="O_838503"/>
      <w:bookmarkEnd w:id="4"/>
      <w:r w:rsidRPr="00E761A8">
        <w:t>Competency Field</w:t>
      </w:r>
    </w:p>
    <w:p w:rsidR="00EB5555" w:rsidP="00EB5555">
      <w:pPr>
        <w:pStyle w:val="BodyText"/>
      </w:pPr>
      <w:r w:rsidRPr="00E761A8">
        <w:t>X – Logistics</w:t>
      </w:r>
    </w:p>
    <w:p w:rsidR="00000000" w:rsidRPr="00E761A8" w:rsidP="00E761A8">
      <w:pPr>
        <w:pStyle w:val="Heading1"/>
      </w:pPr>
      <w:bookmarkStart w:id="5" w:name="O_838504"/>
      <w:bookmarkEnd w:id="5"/>
      <w:r w:rsidRPr="00E761A8">
        <w:t>Unit Sector</w:t>
      </w:r>
    </w:p>
    <w:p w:rsidR="00EB5555" w:rsidP="00EB5555">
      <w:pPr>
        <w:pStyle w:val="BodyText"/>
      </w:pPr>
      <w:r w:rsidRPr="00E761A8">
        <w:t>Not applicable.</w:t>
      </w:r>
    </w:p>
    <w:p w:rsidR="00000000" w:rsidRPr="00E761A8" w:rsidP="00E761A8">
      <w:pPr>
        <w:pStyle w:val="Heading1"/>
      </w:pPr>
      <w:bookmarkStart w:id="6" w:name="O_838505"/>
      <w:bookmarkEnd w:id="6"/>
      <w:r w:rsidRPr="00E761A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8"/>
        <w:gridCol w:w="1852"/>
        <w:gridCol w:w="1"/>
        <w:gridCol w:w="578"/>
        <w:gridCol w:w="6417"/>
      </w:tblGrid>
      <w:tr w:rsidTr="00EB55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1A8" w:rsidP="00E761A8">
            <w:pPr>
              <w:pStyle w:val="BodyText"/>
            </w:pPr>
            <w:r w:rsidRPr="00E761A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1A8">
            <w:pPr>
              <w:pStyle w:val="BodyText"/>
              <w:rPr>
                <w:lang w:val="en-NZ"/>
              </w:rPr>
            </w:pPr>
            <w:r w:rsidRPr="00E761A8">
              <w:rPr>
                <w:rStyle w:val="SpecialBold"/>
              </w:rPr>
              <w:t>PERFORMANCE CRITERIA</w:t>
            </w:r>
          </w:p>
        </w:tc>
      </w:tr>
      <w:tr w:rsidTr="00EB55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1A8">
            <w:pPr>
              <w:pStyle w:val="BodyText"/>
              <w:rPr>
                <w:lang w:val="en-NZ"/>
              </w:rPr>
            </w:pPr>
            <w:r w:rsidRPr="00E761A8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1A8">
            <w:pPr>
              <w:pStyle w:val="BodyText"/>
              <w:rPr>
                <w:lang w:val="en-NZ"/>
              </w:rPr>
            </w:pPr>
            <w:r w:rsidRPr="00E761A8">
              <w:t>Performance criteria describe the performance needed to demonstrate achievement of the element.</w:t>
            </w:r>
          </w:p>
        </w:tc>
      </w:tr>
      <w:tr w:rsidTr="00EB55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1A8" w:rsidP="00E761A8">
            <w:pPr>
              <w:pStyle w:val="BodyText"/>
            </w:pPr>
            <w:r w:rsidRPr="00E761A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1A8">
            <w:pPr>
              <w:pStyle w:val="BodyText"/>
              <w:rPr>
                <w:lang w:val="en-NZ"/>
              </w:rPr>
            </w:pPr>
            <w:r w:rsidRPr="00E761A8">
              <w:rPr>
                <w:rStyle w:val="SpecialBold"/>
              </w:rPr>
              <w:t>Ensure goods comply with import/export restriction and/or prohibition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1A8">
            <w:pPr>
              <w:pStyle w:val="BodyText"/>
              <w:rPr>
                <w:lang w:val="en-NZ"/>
              </w:rPr>
            </w:pPr>
            <w:r w:rsidRPr="00E761A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1A8">
            <w:pPr>
              <w:pStyle w:val="BodyText"/>
              <w:rPr>
                <w:lang w:val="en-NZ"/>
              </w:rPr>
            </w:pPr>
            <w:r w:rsidRPr="00E761A8">
              <w:t>Goods subject to prohibitions and/or restrictions are correctly identified</w:t>
            </w:r>
          </w:p>
        </w:tc>
      </w:tr>
      <w:tr w:rsidTr="00EB55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1A8">
            <w:pPr>
              <w:pStyle w:val="BodyText"/>
              <w:rPr>
                <w:lang w:val="en-NZ"/>
              </w:rPr>
            </w:pPr>
            <w:r w:rsidRPr="00E761A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1A8">
            <w:pPr>
              <w:pStyle w:val="BodyText"/>
              <w:rPr>
                <w:lang w:val="en-NZ"/>
              </w:rPr>
            </w:pPr>
            <w:r w:rsidRPr="00E761A8">
              <w:t>Type and requirement of prohibition and/or restriction is correctly identified</w:t>
            </w:r>
          </w:p>
        </w:tc>
      </w:tr>
      <w:tr w:rsidTr="00EB55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1A8">
            <w:pPr>
              <w:pStyle w:val="BodyText"/>
              <w:rPr>
                <w:lang w:val="en-NZ"/>
              </w:rPr>
            </w:pPr>
            <w:r w:rsidRPr="00E761A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1A8">
            <w:pPr>
              <w:pStyle w:val="BodyText"/>
              <w:rPr>
                <w:lang w:val="en-NZ"/>
              </w:rPr>
            </w:pPr>
            <w:r w:rsidRPr="00E761A8">
              <w:t>Goods and c</w:t>
            </w:r>
            <w:r w:rsidRPr="00E761A8">
              <w:t>ommodities subject to prohibition and/or restriction are assessed for compliance under the relevant restriction/ permit requirement</w:t>
            </w:r>
          </w:p>
        </w:tc>
      </w:tr>
      <w:tr w:rsidTr="00EB55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1A8" w:rsidP="00E761A8">
            <w:pPr>
              <w:pStyle w:val="BodyText"/>
            </w:pPr>
            <w:r w:rsidRPr="00E761A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1A8">
            <w:pPr>
              <w:pStyle w:val="BodyText"/>
              <w:rPr>
                <w:lang w:val="en-NZ"/>
              </w:rPr>
            </w:pPr>
            <w:r w:rsidRPr="00E761A8">
              <w:rPr>
                <w:rStyle w:val="SpecialBold"/>
              </w:rPr>
              <w:t>Facilitate gaining of permits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1A8">
            <w:pPr>
              <w:pStyle w:val="BodyText"/>
              <w:rPr>
                <w:lang w:val="en-NZ"/>
              </w:rPr>
            </w:pPr>
            <w:r w:rsidRPr="00E761A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1A8">
            <w:pPr>
              <w:pStyle w:val="BodyText"/>
              <w:rPr>
                <w:lang w:val="en-NZ"/>
              </w:rPr>
            </w:pPr>
            <w:r w:rsidRPr="00E761A8">
              <w:t>Implications and expectations of special permits are clearly communicated to clients</w:t>
            </w:r>
          </w:p>
        </w:tc>
      </w:tr>
      <w:tr w:rsidTr="00EB55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1A8">
            <w:pPr>
              <w:pStyle w:val="BodyText"/>
              <w:rPr>
                <w:lang w:val="en-NZ"/>
              </w:rPr>
            </w:pPr>
            <w:r w:rsidRPr="00E761A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1A8">
            <w:pPr>
              <w:pStyle w:val="BodyText"/>
              <w:rPr>
                <w:lang w:val="en-NZ"/>
              </w:rPr>
            </w:pPr>
            <w:r w:rsidRPr="00E761A8">
              <w:t>Applications are reviewed at client request to ensure compliance with regulatory requirements and client requirements</w:t>
            </w:r>
          </w:p>
        </w:tc>
      </w:tr>
      <w:tr w:rsidTr="00EB55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1A8">
            <w:pPr>
              <w:pStyle w:val="BodyText"/>
              <w:rPr>
                <w:lang w:val="en-NZ"/>
              </w:rPr>
            </w:pPr>
            <w:r w:rsidRPr="00E761A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1A8">
            <w:pPr>
              <w:pStyle w:val="BodyText"/>
              <w:rPr>
                <w:lang w:val="en-NZ"/>
              </w:rPr>
            </w:pPr>
            <w:r w:rsidRPr="00E761A8">
              <w:t>Problems arising with permit applications are identified and addressed in accordance with relevant legislation, regulations an</w:t>
            </w:r>
            <w:r w:rsidRPr="00E761A8">
              <w:t>d workplace policies and procedures</w:t>
            </w:r>
          </w:p>
        </w:tc>
      </w:tr>
      <w:tr w:rsidTr="00EB55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1A8">
            <w:pPr>
              <w:pStyle w:val="BodyText"/>
              <w:rPr>
                <w:lang w:val="en-NZ"/>
              </w:rPr>
            </w:pPr>
            <w:r w:rsidRPr="00E761A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1A8">
            <w:pPr>
              <w:pStyle w:val="BodyText"/>
              <w:rPr>
                <w:lang w:val="en-NZ"/>
              </w:rPr>
            </w:pPr>
            <w:r w:rsidRPr="00E761A8">
              <w:t>Negotiations and discussions are entered into with clients and relevant personnel from permit issuing authorities as required to facilitate issuing of permits</w:t>
            </w:r>
          </w:p>
        </w:tc>
      </w:tr>
      <w:tr w:rsidTr="00EB55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1A8">
            <w:pPr>
              <w:pStyle w:val="BodyText"/>
              <w:rPr>
                <w:lang w:val="en-NZ"/>
              </w:rPr>
            </w:pPr>
            <w:r w:rsidRPr="00E761A8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1A8">
            <w:pPr>
              <w:pStyle w:val="BodyText"/>
              <w:rPr>
                <w:lang w:val="en-NZ"/>
              </w:rPr>
            </w:pPr>
            <w:r w:rsidRPr="00E761A8">
              <w:t>Application and permit documentati</w:t>
            </w:r>
            <w:r w:rsidRPr="00E761A8">
              <w:t>on is lodged in accordance with relevant regulatory and workplace requirements</w:t>
            </w:r>
          </w:p>
        </w:tc>
      </w:tr>
      <w:tr w:rsidTr="00EB55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1A8">
            <w:pPr>
              <w:pStyle w:val="BodyText"/>
              <w:rPr>
                <w:lang w:val="en-NZ"/>
              </w:rPr>
            </w:pPr>
            <w:r w:rsidRPr="00E761A8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1A8" w:rsidP="00E761A8">
            <w:pPr>
              <w:pStyle w:val="BodyText"/>
            </w:pPr>
            <w:r w:rsidRPr="00E761A8">
              <w:t>Application processing is followed up as required</w:t>
            </w:r>
          </w:p>
        </w:tc>
      </w:tr>
    </w:tbl>
    <w:p w:rsidR="00EB5555" w:rsidP="00E761A8">
      <w:pPr>
        <w:pStyle w:val="BodyText"/>
      </w:pPr>
    </w:p>
    <w:p w:rsidR="00EB5555" w:rsidP="00E761A8">
      <w:pPr>
        <w:pStyle w:val="BodyText"/>
      </w:pPr>
    </w:p>
    <w:p w:rsidR="00000000" w:rsidRPr="00E761A8" w:rsidP="00E761A8">
      <w:pPr>
        <w:pStyle w:val="Heading1"/>
      </w:pPr>
      <w:bookmarkStart w:id="7" w:name="O_838506"/>
      <w:bookmarkEnd w:id="7"/>
      <w:r w:rsidRPr="00E761A8">
        <w:t>Foundation Skills</w:t>
      </w:r>
    </w:p>
    <w:p w:rsidR="00EB5555" w:rsidP="00EB5555">
      <w:pPr>
        <w:pStyle w:val="BodyText"/>
      </w:pPr>
      <w:r w:rsidRPr="00E761A8">
        <w:t>Foundation skills essential to performance are explicit in the performance criteri</w:t>
      </w:r>
      <w:r w:rsidRPr="00E761A8">
        <w:t>a of this unit of competency.</w:t>
      </w:r>
    </w:p>
    <w:p w:rsidR="00000000" w:rsidRPr="00E761A8" w:rsidP="00E761A8">
      <w:pPr>
        <w:pStyle w:val="Heading1"/>
      </w:pPr>
      <w:bookmarkStart w:id="8" w:name="O_838507"/>
      <w:bookmarkEnd w:id="8"/>
      <w:r w:rsidRPr="00E761A8">
        <w:t>Range of Conditions</w:t>
      </w:r>
    </w:p>
    <w:p w:rsidR="00000000" w:rsidRPr="00E761A8" w:rsidP="00EB5555">
      <w:pPr>
        <w:pStyle w:val="BodyText"/>
      </w:pPr>
      <w:r w:rsidRPr="00E761A8">
        <w:t>Range is restricted to essential operating conditions and any other variables essential to the work environment.</w:t>
      </w:r>
    </w:p>
    <w:p w:rsidR="00EB5555" w:rsidP="00EB5555">
      <w:pPr>
        <w:pStyle w:val="BodyText"/>
      </w:pPr>
      <w:r w:rsidRPr="00E761A8">
        <w:t>Non-essential conditions can be found in the Companion Volume Implementatio</w:t>
      </w:r>
      <w:r w:rsidRPr="00E761A8">
        <w:t>n Guide.</w:t>
      </w:r>
    </w:p>
    <w:p w:rsidR="00000000" w:rsidRPr="00E761A8" w:rsidP="00E761A8">
      <w:pPr>
        <w:pStyle w:val="Heading1"/>
      </w:pPr>
      <w:bookmarkStart w:id="9" w:name="O_838508"/>
      <w:bookmarkEnd w:id="9"/>
      <w:r w:rsidRPr="00E761A8">
        <w:t>Unit Mapping Information</w:t>
      </w:r>
    </w:p>
    <w:p w:rsidR="00EB5555" w:rsidP="00EB5555">
      <w:pPr>
        <w:pStyle w:val="BodyText"/>
      </w:pPr>
      <w:r w:rsidRPr="00E761A8">
        <w:t>This unit replaces and is equivalent to TLIX5048A Determine import and/or export prohibitions and/or restrictions.</w:t>
      </w:r>
    </w:p>
    <w:p w:rsidR="00000000" w:rsidRPr="00E761A8" w:rsidP="00E761A8">
      <w:pPr>
        <w:pStyle w:val="Heading1"/>
      </w:pPr>
      <w:bookmarkStart w:id="10" w:name="O_838515"/>
      <w:bookmarkEnd w:id="10"/>
      <w:r w:rsidRPr="00E761A8">
        <w:t>Links</w:t>
      </w:r>
    </w:p>
    <w:p w:rsidR="00000000" w:rsidRPr="00E761A8" w:rsidP="00EB5555">
      <w:pPr>
        <w:pStyle w:val="BodyText"/>
      </w:pPr>
      <w:r w:rsidRPr="00E761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D691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761A8" w:rsidP="00E761A8"/>
    <w:sectPr w:rsidSect="00E761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1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1A8" w:rsidRPr="00EB5555" w:rsidP="00EB55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1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555" w:rsidP="00E761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5555" w:rsidP="00E761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B5555" w:rsidP="00E761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1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5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61A8" w:rsidRPr="00EB5555" w:rsidP="00EB55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1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555" w:rsidRPr="002D2AF8" w:rsidP="00E761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TLIX5048 Determine import/export prohibitions/restrictions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2022</w:t>
    </w:r>
    <w:r>
      <w:fldChar w:fldCharType="end"/>
    </w:r>
  </w:p>
  <w:p w:rsidR="00EB5555" w:rsidP="00E761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1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1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1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1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1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1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1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1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1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1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1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1A8"/>
  </w:style>
  <w:style w:type="character" w:customStyle="1" w:styleId="Heading1Char">
    <w:name w:val="Heading 1 Char"/>
    <w:basedOn w:val="DefaultParagraphFont"/>
    <w:link w:val="Heading1"/>
    <w:rsid w:val="00E761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1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1A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761A8"/>
    <w:rPr>
      <w:b/>
      <w:spacing w:val="0"/>
    </w:rPr>
  </w:style>
  <w:style w:type="paragraph" w:customStyle="1" w:styleId="SuperHeading">
    <w:name w:val="SuperHeading"/>
    <w:basedOn w:val="Normal"/>
    <w:rsid w:val="00E761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1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61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1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1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1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1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1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1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1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1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1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1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1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1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1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1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61A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61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61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1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1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61A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61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1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1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1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1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1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1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1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1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61A8"/>
    <w:rPr>
      <w:i/>
    </w:rPr>
  </w:style>
  <w:style w:type="paragraph" w:styleId="Caption">
    <w:name w:val="caption"/>
    <w:basedOn w:val="BodyText"/>
    <w:next w:val="Normal"/>
    <w:qFormat/>
    <w:rsid w:val="00E761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1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1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1A8"/>
  </w:style>
  <w:style w:type="paragraph" w:styleId="TableofFigures">
    <w:name w:val="table of figures"/>
    <w:basedOn w:val="Normal"/>
    <w:next w:val="Normal"/>
    <w:semiHidden/>
    <w:rsid w:val="00E761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1A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761A8"/>
    <w:rPr>
      <w:rFonts w:ascii="Wingdings" w:hAnsi="Wingdings"/>
    </w:rPr>
  </w:style>
  <w:style w:type="paragraph" w:customStyle="1" w:styleId="TableHeading">
    <w:name w:val="Table Heading"/>
    <w:basedOn w:val="HeadingBase"/>
    <w:rsid w:val="00E761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1A8"/>
    <w:rPr>
      <w:color w:val="0033CC"/>
      <w:u w:val="none"/>
    </w:rPr>
  </w:style>
  <w:style w:type="paragraph" w:customStyle="1" w:styleId="BodyTextRight">
    <w:name w:val="Body Text Right"/>
    <w:basedOn w:val="BodyText"/>
    <w:rsid w:val="00E761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1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1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1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1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1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1A8"/>
    <w:rPr>
      <w:sz w:val="32"/>
    </w:rPr>
  </w:style>
  <w:style w:type="paragraph" w:customStyle="1" w:styleId="HeadingProcedure">
    <w:name w:val="Heading Procedure"/>
    <w:basedOn w:val="HeadingBase"/>
    <w:next w:val="Normal"/>
    <w:rsid w:val="00E761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1A8"/>
    <w:pPr>
      <w:spacing w:before="60" w:after="60"/>
    </w:pPr>
  </w:style>
  <w:style w:type="paragraph" w:styleId="ListContinue">
    <w:name w:val="List Continue"/>
    <w:basedOn w:val="List"/>
    <w:rsid w:val="00E761A8"/>
    <w:pPr>
      <w:ind w:firstLine="0"/>
    </w:pPr>
  </w:style>
  <w:style w:type="paragraph" w:customStyle="1" w:styleId="ListNote">
    <w:name w:val="List Note"/>
    <w:basedOn w:val="List"/>
    <w:rsid w:val="00E761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1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1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1A8"/>
    <w:rPr>
      <w:rFonts w:ascii="Courier New" w:hAnsi="Courier New"/>
    </w:rPr>
  </w:style>
  <w:style w:type="paragraph" w:customStyle="1" w:styleId="NoteBullet">
    <w:name w:val="Note Bullet"/>
    <w:basedOn w:val="Note"/>
    <w:rsid w:val="00E761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1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1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1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1A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761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1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1A8"/>
    <w:rPr>
      <w:b/>
      <w:smallCaps/>
    </w:rPr>
  </w:style>
  <w:style w:type="paragraph" w:customStyle="1" w:styleId="TableListNumber">
    <w:name w:val="Table List Number"/>
    <w:basedOn w:val="ListNumber"/>
    <w:rsid w:val="00E761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1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1A8"/>
    <w:pPr>
      <w:numPr>
        <w:numId w:val="7"/>
      </w:numPr>
    </w:pPr>
  </w:style>
  <w:style w:type="paragraph" w:customStyle="1" w:styleId="ListAlpha2">
    <w:name w:val="List Alpha 2"/>
    <w:basedOn w:val="List2"/>
    <w:rsid w:val="00E761A8"/>
    <w:pPr>
      <w:numPr>
        <w:numId w:val="6"/>
      </w:numPr>
    </w:pPr>
  </w:style>
  <w:style w:type="paragraph" w:styleId="List2">
    <w:name w:val="List 2"/>
    <w:basedOn w:val="BodyText"/>
    <w:rsid w:val="00E761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1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1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1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61A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61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761A8"/>
    <w:pPr>
      <w:numPr>
        <w:numId w:val="2"/>
      </w:numPr>
    </w:pPr>
  </w:style>
  <w:style w:type="paragraph" w:styleId="ListContinue2">
    <w:name w:val="List Continue 2"/>
    <w:basedOn w:val="List2"/>
    <w:rsid w:val="00E761A8"/>
    <w:pPr>
      <w:ind w:firstLine="0"/>
    </w:pPr>
  </w:style>
  <w:style w:type="paragraph" w:styleId="ListContinue3">
    <w:name w:val="List Continue 3"/>
    <w:basedOn w:val="List3"/>
    <w:rsid w:val="00E761A8"/>
    <w:pPr>
      <w:ind w:left="1021" w:firstLine="0"/>
    </w:pPr>
  </w:style>
  <w:style w:type="paragraph" w:styleId="ListContinue4">
    <w:name w:val="List Continue 4"/>
    <w:basedOn w:val="List4"/>
    <w:rsid w:val="00E761A8"/>
    <w:pPr>
      <w:ind w:firstLine="0"/>
    </w:pPr>
  </w:style>
  <w:style w:type="paragraph" w:styleId="ListContinue5">
    <w:name w:val="List Continue 5"/>
    <w:basedOn w:val="List5"/>
    <w:rsid w:val="00E761A8"/>
    <w:pPr>
      <w:ind w:firstLine="0"/>
    </w:pPr>
  </w:style>
  <w:style w:type="paragraph" w:styleId="ListNumber3">
    <w:name w:val="List Number 3"/>
    <w:basedOn w:val="List3"/>
    <w:rsid w:val="00E761A8"/>
    <w:pPr>
      <w:numPr>
        <w:numId w:val="3"/>
      </w:numPr>
    </w:pPr>
  </w:style>
  <w:style w:type="paragraph" w:styleId="ListNumber4">
    <w:name w:val="List Number 4"/>
    <w:basedOn w:val="List4"/>
    <w:rsid w:val="00E761A8"/>
    <w:pPr>
      <w:numPr>
        <w:numId w:val="4"/>
      </w:numPr>
    </w:pPr>
  </w:style>
  <w:style w:type="paragraph" w:styleId="ListNumber5">
    <w:name w:val="List Number 5"/>
    <w:basedOn w:val="List5"/>
    <w:rsid w:val="00E761A8"/>
    <w:pPr>
      <w:numPr>
        <w:numId w:val="5"/>
      </w:numPr>
    </w:pPr>
  </w:style>
  <w:style w:type="paragraph" w:styleId="BlockText">
    <w:name w:val="Block Text"/>
    <w:basedOn w:val="Normal"/>
    <w:rsid w:val="00E761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1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1A8"/>
    <w:rPr>
      <w:sz w:val="16"/>
      <w:vertAlign w:val="superscript"/>
    </w:rPr>
  </w:style>
  <w:style w:type="character" w:customStyle="1" w:styleId="Symbols">
    <w:name w:val="Symbols"/>
    <w:basedOn w:val="DefaultParagraphFont"/>
    <w:rsid w:val="00E761A8"/>
    <w:rPr>
      <w:rFonts w:ascii="Symbol" w:hAnsi="Symbol"/>
    </w:rPr>
  </w:style>
  <w:style w:type="character" w:customStyle="1" w:styleId="MenuOptions">
    <w:name w:val="Menu Options"/>
    <w:basedOn w:val="DefaultParagraphFont"/>
    <w:rsid w:val="00E761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1A8"/>
    <w:rPr>
      <w:b/>
    </w:rPr>
  </w:style>
  <w:style w:type="character" w:customStyle="1" w:styleId="Underlined">
    <w:name w:val="Underlined"/>
    <w:basedOn w:val="DefaultParagraphFont"/>
    <w:rsid w:val="00E761A8"/>
    <w:rPr>
      <w:u w:val="single"/>
    </w:rPr>
  </w:style>
  <w:style w:type="paragraph" w:customStyle="1" w:styleId="TableBodyTextRight">
    <w:name w:val="Table Body Text Right"/>
    <w:basedOn w:val="TableBodyText"/>
    <w:rsid w:val="00E761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1A8"/>
    <w:rPr>
      <w:sz w:val="18"/>
    </w:rPr>
  </w:style>
  <w:style w:type="paragraph" w:customStyle="1" w:styleId="BodySmallRight">
    <w:name w:val="Body Small Right"/>
    <w:basedOn w:val="BodyTextRight"/>
    <w:rsid w:val="00E761A8"/>
    <w:rPr>
      <w:sz w:val="18"/>
      <w:szCs w:val="18"/>
    </w:rPr>
  </w:style>
  <w:style w:type="paragraph" w:customStyle="1" w:styleId="MarginEdition">
    <w:name w:val="Margin Edition"/>
    <w:basedOn w:val="MarginNote"/>
    <w:rsid w:val="00E761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1A8"/>
    <w:rPr>
      <w:sz w:val="2"/>
      <w:szCs w:val="2"/>
    </w:rPr>
  </w:style>
  <w:style w:type="character" w:customStyle="1" w:styleId="Small">
    <w:name w:val="Small"/>
    <w:basedOn w:val="DefaultParagraphFont"/>
    <w:rsid w:val="00E761A8"/>
    <w:rPr>
      <w:sz w:val="16"/>
    </w:rPr>
  </w:style>
  <w:style w:type="paragraph" w:customStyle="1" w:styleId="WideTable">
    <w:name w:val="Wide Table"/>
    <w:basedOn w:val="Normal"/>
    <w:rsid w:val="00E761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1A8"/>
  </w:style>
  <w:style w:type="paragraph" w:styleId="Quote">
    <w:name w:val="Quote"/>
    <w:basedOn w:val="Heading1"/>
    <w:link w:val="QuoteChar"/>
    <w:qFormat/>
    <w:rsid w:val="00E761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1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1A8"/>
    <w:pPr>
      <w:pageBreakBefore/>
    </w:pPr>
  </w:style>
  <w:style w:type="paragraph" w:customStyle="1" w:styleId="Border">
    <w:name w:val="Border"/>
    <w:basedOn w:val="Normal"/>
    <w:qFormat/>
    <w:rsid w:val="00E761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1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1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1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1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1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1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1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1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1A8"/>
    <w:rPr>
      <w:u w:val="single"/>
    </w:rPr>
  </w:style>
  <w:style w:type="character" w:customStyle="1" w:styleId="BoldandItalics">
    <w:name w:val="Bold and Italics"/>
    <w:qFormat/>
    <w:rsid w:val="00E761A8"/>
    <w:rPr>
      <w:b/>
      <w:i/>
      <w:u w:val="none"/>
    </w:rPr>
  </w:style>
  <w:style w:type="paragraph" w:styleId="BalloonText">
    <w:name w:val="Balloon Text"/>
    <w:basedOn w:val="Normal"/>
    <w:link w:val="BalloonTextChar"/>
    <w:rsid w:val="00E761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1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1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1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1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1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61A8"/>
    <w:pPr>
      <w:spacing w:before="0" w:after="0"/>
    </w:pPr>
  </w:style>
  <w:style w:type="paragraph" w:customStyle="1" w:styleId="BodyTextBold">
    <w:name w:val="Body Text Bold"/>
    <w:basedOn w:val="BodyText"/>
    <w:qFormat/>
    <w:rsid w:val="00E761A8"/>
    <w:rPr>
      <w:b/>
    </w:rPr>
  </w:style>
  <w:style w:type="character" w:styleId="Hyperlink">
    <w:name w:val="Hyperlink"/>
    <w:basedOn w:val="DefaultParagraphFont"/>
    <w:uiPriority w:val="99"/>
    <w:unhideWhenUsed/>
    <w:rsid w:val="00EB55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2832</Characters>
  <Application>Microsoft Office Word</Application>
  <DocSecurity>0</DocSecurity>
  <Lines>113</Lines>
  <Paragraphs>63</Paragraphs>
  <ScaleCrop>false</ScaleCrop>
  <Company>Author-it Software Corporation Ltd.</Company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TLIX5048 Determine import/export prohibitions/restrictions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2022-04-07T06:51:00Z</dcterms:created>
  <dcterms:modified xsi:type="dcterms:W3CDTF">2022-04-07T06:51:00Z</dcterms:modified>
</cp:coreProperties>
</file>